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Stage 3 Meta-Synthesis of Transient Expertise</w:t>
      </w:r>
    </w:p>
    <w:p>
      <w:r>
        <w:pict>
          <v:rect style="width:0;height:1.5pt" o:hralign="center" o:hrstd="t" o:hr="t"/>
        </w:pict>
      </w:r>
    </w:p>
    <w:bookmarkStart w:id="20" w:name="abstract"/>
    <w:p>
      <w:pPr>
        <w:pStyle w:val="Heading2"/>
      </w:pPr>
      <w:r>
        <w:t xml:space="preserve">Abstract</w:t>
      </w:r>
    </w:p>
    <w:p>
      <w:pPr>
        <w:pStyle w:val="FirstParagraph"/>
      </w:pPr>
      <w:r>
        <w:t xml:space="preserve">Transient Expertise (TE) emerges as a novel cognitive paradigm characterized by temporary, high-resolution domain mastery facilitated through recursive human-AI collaboration. This synthesis consolidates and expands upon five comprehensive analyses, distilling a coherent, actionable framework grounded in cognitive science, systems theory, symbolic computation, and epistemology. The proposed architecture challenges conventional static expertise, providing adaptive cognitive mechanisms optimized for rapidly evolving, interdisciplinary, and complex problem spaces.</w:t>
      </w:r>
    </w:p>
    <w:p>
      <w:r>
        <w:pict>
          <v:rect style="width:0;height:1.5pt" o:hralign="center" o:hrstd="t" o:hr="t"/>
        </w:pict>
      </w:r>
    </w:p>
    <w:bookmarkEnd w:id="20"/>
    <w:bookmarkStart w:id="21" w:name="executive-summary"/>
    <w:p>
      <w:pPr>
        <w:pStyle w:val="Heading2"/>
      </w:pPr>
      <w:r>
        <w:t xml:space="preserve">Executive Summary</w:t>
      </w:r>
    </w:p>
    <w:p>
      <w:pPr>
        <w:pStyle w:val="FirstParagraph"/>
      </w:pPr>
      <w:r>
        <w:t xml:space="preserve">The synthesized concept of Transient Expertise represents a dynamic cognitive system in which individuals transiently inhabit domain-specific mastery, leveraging intrinsic motivation (Ontologically Modulated Executive Function - OMEF), rigorous truth-filtering (False-Structure Intolerance - FSI), and rhythmic engagement (State-Contingent Motivational Filtering - SCMF), integrated through symbolic compression, recursive AI-assisted modeling, and tailored environmental design (Gestalt Systems Synthesis Environment - GSSE). This system demonstrates structural coherence, high cognitive fidelity, and pragmatic scalability, capable of redefining knowledge work and educational paradigms.</w:t>
      </w:r>
    </w:p>
    <w:p>
      <w:r>
        <w:pict>
          <v:rect style="width:0;height:1.5pt" o:hralign="center" o:hrstd="t" o:hr="t"/>
        </w:pict>
      </w:r>
    </w:p>
    <w:bookmarkEnd w:id="21"/>
    <w:bookmarkStart w:id="25" w:name="Xd7288c43399abf26f10d960b3c475f795c4550d"/>
    <w:p>
      <w:pPr>
        <w:pStyle w:val="Heading2"/>
      </w:pPr>
      <w:r>
        <w:t xml:space="preserve">Theoretical Core and Symbolic Architecture</w:t>
      </w:r>
    </w:p>
    <w:bookmarkStart w:id="22" w:name="defining-transient-expertise"/>
    <w:p>
      <w:pPr>
        <w:pStyle w:val="Heading3"/>
      </w:pPr>
      <w:r>
        <w:t xml:space="preserve">Defining Transient Expertise</w:t>
      </w:r>
    </w:p>
    <w:p>
      <w:pPr>
        <w:pStyle w:val="FirstParagraph"/>
      </w:pPr>
      <w:r>
        <w:t xml:space="preserve">Transient Expertise is formally defined as the capability to temporarily achieve profound domain-specific mastery for solving complex, symbolic problems without extensive prior training or long-term identity investment. Expertise manifests through intense, ephemeral engagement, culminating in actionable symbolic outputs.</w:t>
      </w:r>
    </w:p>
    <w:bookmarkEnd w:id="22"/>
    <w:bookmarkStart w:id="23" w:name="symbolic-and-ontological-machinery"/>
    <w:p>
      <w:pPr>
        <w:pStyle w:val="Heading3"/>
      </w:pPr>
      <w:r>
        <w:t xml:space="preserve">Symbolic and Ontological Machinery</w:t>
      </w:r>
    </w:p>
    <w:p>
      <w:pPr>
        <w:pStyle w:val="FirstParagraph"/>
      </w:pPr>
      <w:r>
        <w:rPr>
          <w:b/>
          <w:bCs/>
        </w:rPr>
        <w:t xml:space="preserve">Ontologically Modulated Executive Function (OMEF):</w:t>
      </w:r>
      <w:r>
        <w:br/>
      </w:r>
      <w:r>
        <w:t xml:space="preserve">Non-volitional executive activation contingent on intrinsic resonance between the individual and the task, establishing motivation as a binary resonance-gated switch.</w:t>
      </w:r>
    </w:p>
    <w:p>
      <w:pPr>
        <w:pStyle w:val="BodyText"/>
      </w:pPr>
      <w:r>
        <w:rPr>
          <w:b/>
          <w:bCs/>
        </w:rPr>
        <w:t xml:space="preserve">False-Structure Intolerance (FSI):</w:t>
      </w:r>
      <w:r>
        <w:br/>
      </w:r>
      <w:r>
        <w:t xml:space="preserve">Visceral cognitive rejection mechanism triggered by perceived incoherence, ensuring rigorous epistemic integrity by filtering out superficial or false narratives.</w:t>
      </w:r>
    </w:p>
    <w:p>
      <w:pPr>
        <w:pStyle w:val="BodyText"/>
      </w:pPr>
      <w:r>
        <w:rPr>
          <w:b/>
          <w:bCs/>
        </w:rPr>
        <w:t xml:space="preserve">State-Contingent Motivational Filtering (SCMF):</w:t>
      </w:r>
      <w:r>
        <w:br/>
      </w:r>
      <w:r>
        <w:t xml:space="preserve">Cognitive oscillation between high-intensity engagement and necessary quiescent incubation, recognizing rhythmic productivity as optimal.</w:t>
      </w:r>
    </w:p>
    <w:bookmarkEnd w:id="23"/>
    <w:bookmarkStart w:id="24" w:name="distinction-from-conventional-models"/>
    <w:p>
      <w:pPr>
        <w:pStyle w:val="Heading3"/>
      </w:pPr>
      <w:r>
        <w:t xml:space="preserve">Distinction from Conventional Models</w:t>
      </w:r>
    </w:p>
    <w:p>
      <w:pPr>
        <w:pStyle w:val="FirstParagraph"/>
      </w:pPr>
      <w:r>
        <w:t xml:space="preserve">Unlike traditional expertise (career-bound and credential-centric), polymathy (lifelong breadth-depth integration), or generalism (shallow breadth), Transient Expertise uniquely balances deep, ephemeral specialization with adaptable, problem-driven versatility. Its identity is defined by dynamic symbolic output rather than fixed domain knowledge.</w:t>
      </w:r>
    </w:p>
    <w:p>
      <w:r>
        <w:pict>
          <v:rect style="width:0;height:1.5pt" o:hralign="center" o:hrstd="t" o:hr="t"/>
        </w:pict>
      </w:r>
    </w:p>
    <w:bookmarkEnd w:id="24"/>
    <w:bookmarkEnd w:id="25"/>
    <w:bookmarkStart w:id="29" w:name="mechanics-of-transient-activation"/>
    <w:p>
      <w:pPr>
        <w:pStyle w:val="Heading2"/>
      </w:pPr>
      <w:r>
        <w:t xml:space="preserve">Mechanics of Transient Activation</w:t>
      </w:r>
    </w:p>
    <w:bookmarkStart w:id="26" w:name="generation-of-domain-limited-mastery"/>
    <w:p>
      <w:pPr>
        <w:pStyle w:val="Heading3"/>
      </w:pPr>
      <w:r>
        <w:t xml:space="preserve">Generation of Domain-Limited Mastery</w:t>
      </w:r>
    </w:p>
    <w:p>
      <w:pPr>
        <w:pStyle w:val="FirstParagraph"/>
      </w:pPr>
      <w:r>
        <w:t xml:space="preserve">Transient mastery emerges through a cycle of intense resonance-driven cognitive immersion, recursive AI-supported epistemic reflection, and iterative symbolic compression, enabling rapid assimilation and restructuring of knowledge.</w:t>
      </w:r>
    </w:p>
    <w:bookmarkEnd w:id="26"/>
    <w:bookmarkStart w:id="27" w:name="conditions-for-emergence"/>
    <w:p>
      <w:pPr>
        <w:pStyle w:val="Heading3"/>
      </w:pPr>
      <w:r>
        <w:t xml:space="preserve">Conditions for Emergence</w:t>
      </w:r>
    </w:p>
    <w:p>
      <w:pPr>
        <w:pStyle w:val="Compact"/>
        <w:numPr>
          <w:ilvl w:val="0"/>
          <w:numId w:val="1001"/>
        </w:numPr>
      </w:pPr>
      <w:r>
        <w:t xml:space="preserve">Intrinsic resonance with task ontology.</w:t>
      </w:r>
    </w:p>
    <w:p>
      <w:pPr>
        <w:pStyle w:val="Compact"/>
        <w:numPr>
          <w:ilvl w:val="0"/>
          <w:numId w:val="1001"/>
        </w:numPr>
      </w:pPr>
      <w:r>
        <w:t xml:space="preserve">High cognitive flexibility.</w:t>
      </w:r>
    </w:p>
    <w:p>
      <w:pPr>
        <w:pStyle w:val="Compact"/>
        <w:numPr>
          <w:ilvl w:val="0"/>
          <w:numId w:val="1001"/>
        </w:numPr>
      </w:pPr>
      <w:r>
        <w:t xml:space="preserve">Access to AI epistemic scaffolding.</w:t>
      </w:r>
    </w:p>
    <w:p>
      <w:pPr>
        <w:pStyle w:val="Compact"/>
        <w:numPr>
          <w:ilvl w:val="0"/>
          <w:numId w:val="1001"/>
        </w:numPr>
      </w:pPr>
      <w:r>
        <w:t xml:space="preserve">Optimized cognitive workspace (GSSE).</w:t>
      </w:r>
    </w:p>
    <w:bookmarkEnd w:id="27"/>
    <w:bookmarkStart w:id="28" w:name="X637f58ab334b9082aedab0967a6f380507921fc"/>
    <w:p>
      <w:pPr>
        <w:pStyle w:val="Heading3"/>
      </w:pPr>
      <w:r>
        <w:t xml:space="preserve">Relation to Symbolic Compression and Epistemic Resonance</w:t>
      </w:r>
    </w:p>
    <w:p>
      <w:pPr>
        <w:pStyle w:val="FirstParagraph"/>
      </w:pPr>
      <w:r>
        <w:t xml:space="preserve">Transient Expertise employs</w:t>
      </w:r>
      <w:r>
        <w:t xml:space="preserve"> </w:t>
      </w:r>
      <w:r>
        <w:t xml:space="preserve">“ontological compression,”</w:t>
      </w:r>
      <w:r>
        <w:t xml:space="preserve"> </w:t>
      </w:r>
      <w:r>
        <w:t xml:space="preserve">translating complex phenomena into simplified symbolic models, enabling immediate transferability and rapid deployment. Epistemic resonance acts as a gatekeeper for cognitive engagement, ensuring resources are allocated only to deeply meaningful challenges.</w:t>
      </w:r>
    </w:p>
    <w:p>
      <w:r>
        <w:pict>
          <v:rect style="width:0;height:1.5pt" o:hralign="center" o:hrstd="t" o:hr="t"/>
        </w:pict>
      </w:r>
    </w:p>
    <w:bookmarkEnd w:id="28"/>
    <w:bookmarkEnd w:id="29"/>
    <w:bookmarkStart w:id="32" w:name="meta-cognitive-feedback-loops"/>
    <w:p>
      <w:pPr>
        <w:pStyle w:val="Heading2"/>
      </w:pPr>
      <w:r>
        <w:t xml:space="preserve">Meta-Cognitive Feedback Loops</w:t>
      </w:r>
    </w:p>
    <w:bookmarkStart w:id="30" w:name="recursive-evaluation-and-meaning-pruning"/>
    <w:p>
      <w:pPr>
        <w:pStyle w:val="Heading3"/>
      </w:pPr>
      <w:r>
        <w:t xml:space="preserve">Recursive Evaluation and Meaning Pruning</w:t>
      </w:r>
    </w:p>
    <w:p>
      <w:pPr>
        <w:pStyle w:val="FirstParagraph"/>
      </w:pPr>
      <w:r>
        <w:t xml:space="preserve">Continuous reflection and recursive dialogue with AI systems refine insights, eliminating false narratives through aggressive pruning (FSI), reinforcing epistemic tightness.</w:t>
      </w:r>
    </w:p>
    <w:bookmarkEnd w:id="30"/>
    <w:bookmarkStart w:id="31" w:name="reflective-reinforcement"/>
    <w:p>
      <w:pPr>
        <w:pStyle w:val="Heading3"/>
      </w:pPr>
      <w:r>
        <w:t xml:space="preserve">Reflective Reinforcement</w:t>
      </w:r>
    </w:p>
    <w:p>
      <w:pPr>
        <w:pStyle w:val="FirstParagraph"/>
      </w:pPr>
      <w:r>
        <w:t xml:space="preserve">Feedback loops between practitioner and AI recursively test, refine, and synthesize knowledge, generating robust conceptual structures. Practitioners dynamically navigate symbolic terrain, embedding meaning through iterative abstraction and validation.</w:t>
      </w:r>
    </w:p>
    <w:p>
      <w:r>
        <w:pict>
          <v:rect style="width:0;height:1.5pt" o:hralign="center" o:hrstd="t" o:hr="t"/>
        </w:pict>
      </w:r>
    </w:p>
    <w:bookmarkEnd w:id="31"/>
    <w:bookmarkEnd w:id="32"/>
    <w:bookmarkStart w:id="37" w:name="viability-and-real-world-pathways"/>
    <w:p>
      <w:pPr>
        <w:pStyle w:val="Heading2"/>
      </w:pPr>
      <w:r>
        <w:t xml:space="preserve">Viability and Real-World Pathways</w:t>
      </w:r>
    </w:p>
    <w:bookmarkStart w:id="33" w:name="educational-models"/>
    <w:p>
      <w:pPr>
        <w:pStyle w:val="Heading3"/>
      </w:pPr>
      <w:r>
        <w:t xml:space="preserve">Educational Models</w:t>
      </w:r>
    </w:p>
    <w:p>
      <w:pPr>
        <w:pStyle w:val="Compact"/>
        <w:numPr>
          <w:ilvl w:val="0"/>
          <w:numId w:val="1002"/>
        </w:numPr>
      </w:pPr>
      <w:r>
        <w:t xml:space="preserve">AI-Prosthetic Pedagogy: personalized, just-in-time knowledge acquisition.</w:t>
      </w:r>
    </w:p>
    <w:p>
      <w:pPr>
        <w:pStyle w:val="Compact"/>
        <w:numPr>
          <w:ilvl w:val="0"/>
          <w:numId w:val="1002"/>
        </w:numPr>
      </w:pPr>
      <w:r>
        <w:t xml:space="preserve">Competency-based micro-credentials: validated problem-based expertise rather than static credentials.</w:t>
      </w:r>
    </w:p>
    <w:bookmarkEnd w:id="33"/>
    <w:bookmarkStart w:id="34" w:name="organizational-structures"/>
    <w:p>
      <w:pPr>
        <w:pStyle w:val="Heading3"/>
      </w:pPr>
      <w:r>
        <w:t xml:space="preserve">Organizational Structures</w:t>
      </w:r>
    </w:p>
    <w:p>
      <w:pPr>
        <w:pStyle w:val="Compact"/>
        <w:numPr>
          <w:ilvl w:val="0"/>
          <w:numId w:val="1003"/>
        </w:numPr>
      </w:pPr>
      <w:r>
        <w:t xml:space="preserve">Anti-siloed innovation teams.</w:t>
      </w:r>
    </w:p>
    <w:p>
      <w:pPr>
        <w:pStyle w:val="Compact"/>
        <w:numPr>
          <w:ilvl w:val="0"/>
          <w:numId w:val="1003"/>
        </w:numPr>
      </w:pPr>
      <w:r>
        <w:t xml:space="preserve">Agile, episodic project structures with transient expert roles.</w:t>
      </w:r>
    </w:p>
    <w:p>
      <w:pPr>
        <w:pStyle w:val="Compact"/>
        <w:numPr>
          <w:ilvl w:val="0"/>
          <w:numId w:val="1003"/>
        </w:numPr>
      </w:pPr>
      <w:r>
        <w:t xml:space="preserve">Orchestration engineers coordinating multi-domain expert integration.</w:t>
      </w:r>
    </w:p>
    <w:bookmarkEnd w:id="34"/>
    <w:bookmarkStart w:id="35" w:name="societal-functions"/>
    <w:p>
      <w:pPr>
        <w:pStyle w:val="Heading3"/>
      </w:pPr>
      <w:r>
        <w:t xml:space="preserve">Societal Functions</w:t>
      </w:r>
    </w:p>
    <w:p>
      <w:pPr>
        <w:pStyle w:val="Compact"/>
        <w:numPr>
          <w:ilvl w:val="0"/>
          <w:numId w:val="1004"/>
        </w:numPr>
      </w:pPr>
      <w:r>
        <w:t xml:space="preserve">Rapid policy prototyping.</w:t>
      </w:r>
    </w:p>
    <w:p>
      <w:pPr>
        <w:pStyle w:val="Compact"/>
        <w:numPr>
          <w:ilvl w:val="0"/>
          <w:numId w:val="1004"/>
        </w:numPr>
      </w:pPr>
      <w:r>
        <w:t xml:space="preserve">Crisis response leveraging immediate symbolic modeling.</w:t>
      </w:r>
    </w:p>
    <w:p>
      <w:pPr>
        <w:pStyle w:val="Compact"/>
        <w:numPr>
          <w:ilvl w:val="0"/>
          <w:numId w:val="1004"/>
        </w:numPr>
      </w:pPr>
      <w:r>
        <w:t xml:space="preserve">Democratization of expertise through open-access cognitive augmentation.</w:t>
      </w:r>
    </w:p>
    <w:bookmarkEnd w:id="35"/>
    <w:bookmarkStart w:id="36" w:name="viability-assessment"/>
    <w:p>
      <w:pPr>
        <w:pStyle w:val="Heading3"/>
      </w:pPr>
      <w:r>
        <w:t xml:space="preserve">Viability Assessment</w:t>
      </w:r>
    </w:p>
    <w:p>
      <w:pPr>
        <w:pStyle w:val="FirstParagraph"/>
      </w:pPr>
      <w:r>
        <w:t xml:space="preserve">Transient Expertise demonstrates robust theoretical coherence, alignment with cognitive science theories, and practical feasibility due to accessible AI tools and modular workspace design. Challenges remain in ensuring equitable access, safeguarding against cognitive overload, and institutional acceptance.</w:t>
      </w:r>
    </w:p>
    <w:p>
      <w:r>
        <w:pict>
          <v:rect style="width:0;height:1.5pt" o:hralign="center" o:hrstd="t" o:hr="t"/>
        </w:pict>
      </w:r>
    </w:p>
    <w:bookmarkEnd w:id="36"/>
    <w:bookmarkEnd w:id="37"/>
    <w:bookmarkStart w:id="40" w:name="comparative-and-philosophical-context"/>
    <w:p>
      <w:pPr>
        <w:pStyle w:val="Heading2"/>
      </w:pPr>
      <w:r>
        <w:t xml:space="preserve">Comparative and Philosophical Context</w:t>
      </w:r>
    </w:p>
    <w:bookmarkStart w:id="38" w:name="intellectual-traditions"/>
    <w:p>
      <w:pPr>
        <w:pStyle w:val="Heading3"/>
      </w:pPr>
      <w:r>
        <w:t xml:space="preserve">Intellectual Traditions</w:t>
      </w:r>
    </w:p>
    <w:p>
      <w:pPr>
        <w:pStyle w:val="Compact"/>
        <w:numPr>
          <w:ilvl w:val="0"/>
          <w:numId w:val="1005"/>
        </w:numPr>
      </w:pPr>
      <w:r>
        <w:t xml:space="preserve">Kuhnian paradigm shifts: TE introduces episodic cognitive revolutions at the individual level.</w:t>
      </w:r>
    </w:p>
    <w:p>
      <w:pPr>
        <w:pStyle w:val="Compact"/>
        <w:numPr>
          <w:ilvl w:val="0"/>
          <w:numId w:val="1005"/>
        </w:numPr>
      </w:pPr>
      <w:r>
        <w:t xml:space="preserve">Popperian falsifiability: emphasis on recursive epistemic validation.</w:t>
      </w:r>
    </w:p>
    <w:p>
      <w:pPr>
        <w:pStyle w:val="Compact"/>
        <w:numPr>
          <w:ilvl w:val="0"/>
          <w:numId w:val="1005"/>
        </w:numPr>
      </w:pPr>
      <w:r>
        <w:t xml:space="preserve">Poststructural epistemology: dynamic, fluid identities replace fixed credentialed authorities.</w:t>
      </w:r>
    </w:p>
    <w:bookmarkEnd w:id="38"/>
    <w:bookmarkStart w:id="39" w:name="Xa6b264f604f2aec16e29b4a8e051aee1fd9e33b"/>
    <w:p>
      <w:pPr>
        <w:pStyle w:val="Heading3"/>
      </w:pPr>
      <w:r>
        <w:t xml:space="preserve">Addressing Credentialist and Empiricist Critiques</w:t>
      </w:r>
    </w:p>
    <w:p>
      <w:pPr>
        <w:pStyle w:val="FirstParagraph"/>
      </w:pPr>
      <w:r>
        <w:t xml:space="preserve">Transient Expertise challenges credentialist perspectives by prioritizing demonstrable outcomes over institutional validation. Empiricist critiques are addressed through continuous recursive validation and empirical grounding in personality metrics (Big Five), cognitive flexibility theory, and embodied cognition.</w:t>
      </w:r>
    </w:p>
    <w:p>
      <w:r>
        <w:pict>
          <v:rect style="width:0;height:1.5pt" o:hralign="center" o:hrstd="t" o:hr="t"/>
        </w:pict>
      </w:r>
    </w:p>
    <w:bookmarkEnd w:id="39"/>
    <w:bookmarkEnd w:id="40"/>
    <w:bookmarkStart w:id="44" w:name="counterarguments-and-risk-model"/>
    <w:p>
      <w:pPr>
        <w:pStyle w:val="Heading2"/>
      </w:pPr>
      <w:r>
        <w:t xml:space="preserve">Counterarguments and Risk Model</w:t>
      </w:r>
    </w:p>
    <w:bookmarkStart w:id="41" w:name="dunning-kruger-masking"/>
    <w:p>
      <w:pPr>
        <w:pStyle w:val="Heading3"/>
      </w:pPr>
      <w:r>
        <w:t xml:space="preserve">Dunning-Kruger Masking</w:t>
      </w:r>
    </w:p>
    <w:p>
      <w:pPr>
        <w:pStyle w:val="FirstParagraph"/>
      </w:pPr>
      <w:r>
        <w:t xml:space="preserve">Risk of superficial confidence without true expertise mitigated through rigorous recursive epistemic validation (AI triangulation, aggressive FSI pruning).</w:t>
      </w:r>
    </w:p>
    <w:bookmarkEnd w:id="41"/>
    <w:bookmarkStart w:id="42" w:name="overreliance-on-ai"/>
    <w:p>
      <w:pPr>
        <w:pStyle w:val="Heading3"/>
      </w:pPr>
      <w:r>
        <w:t xml:space="preserve">Overreliance on AI</w:t>
      </w:r>
    </w:p>
    <w:p>
      <w:pPr>
        <w:pStyle w:val="FirstParagraph"/>
      </w:pPr>
      <w:r>
        <w:t xml:space="preserve">Balanced co-constitutive model emphasizing human cognitive sovereignty and AI as a reflective prosthetic rather than a determinant authority.</w:t>
      </w:r>
    </w:p>
    <w:bookmarkEnd w:id="42"/>
    <w:bookmarkStart w:id="43" w:name="institutional-resistance"/>
    <w:p>
      <w:pPr>
        <w:pStyle w:val="Heading3"/>
      </w:pPr>
      <w:r>
        <w:t xml:space="preserve">Institutional Resistance</w:t>
      </w:r>
    </w:p>
    <w:p>
      <w:pPr>
        <w:pStyle w:val="FirstParagraph"/>
      </w:pPr>
      <w:r>
        <w:t xml:space="preserve">Promoting demonstrable cognitive outcomes, dynamic credentialing, and empirical validations to gradually shift institutional recognition and legitimacy.</w:t>
      </w:r>
    </w:p>
    <w:p>
      <w:r>
        <w:pict>
          <v:rect style="width:0;height:1.5pt" o:hralign="center" o:hrstd="t" o:hr="t"/>
        </w:pict>
      </w:r>
    </w:p>
    <w:bookmarkEnd w:id="43"/>
    <w:bookmarkEnd w:id="44"/>
    <w:bookmarkStart w:id="49" w:name="X754d829006879d1a98409eaaf7c3bb9b19fdda9"/>
    <w:p>
      <w:pPr>
        <w:pStyle w:val="Heading2"/>
      </w:pPr>
      <w:r>
        <w:t xml:space="preserve">Future Implications and Ontological Shift</w:t>
      </w:r>
    </w:p>
    <w:bookmarkStart w:id="45" w:name="labor-market-reframing"/>
    <w:p>
      <w:pPr>
        <w:pStyle w:val="Heading3"/>
      </w:pPr>
      <w:r>
        <w:t xml:space="preserve">Labor Market Reframing</w:t>
      </w:r>
    </w:p>
    <w:p>
      <w:pPr>
        <w:pStyle w:val="FirstParagraph"/>
      </w:pPr>
      <w:r>
        <w:t xml:space="preserve">From static qualifications to dynamic, episodic cognitive engagements. Economic models transitioning toward gig-style, problem-focused cognitive economies.</w:t>
      </w:r>
    </w:p>
    <w:bookmarkEnd w:id="45"/>
    <w:bookmarkStart w:id="46" w:name="educational-credentialing"/>
    <w:p>
      <w:pPr>
        <w:pStyle w:val="Heading3"/>
      </w:pPr>
      <w:r>
        <w:t xml:space="preserve">Educational Credentialing</w:t>
      </w:r>
    </w:p>
    <w:p>
      <w:pPr>
        <w:pStyle w:val="FirstParagraph"/>
      </w:pPr>
      <w:r>
        <w:t xml:space="preserve">Replacing traditional degrees with dynamic</w:t>
      </w:r>
      <w:r>
        <w:t xml:space="preserve"> </w:t>
      </w:r>
      <w:r>
        <w:t xml:space="preserve">“problem badges”</w:t>
      </w:r>
      <w:r>
        <w:t xml:space="preserve"> </w:t>
      </w:r>
      <w:r>
        <w:t xml:space="preserve">and AI-assisted cognitive portfolios validating ephemeral expertise.</w:t>
      </w:r>
    </w:p>
    <w:bookmarkEnd w:id="46"/>
    <w:bookmarkStart w:id="47" w:name="ontology-of-human-knowledge"/>
    <w:p>
      <w:pPr>
        <w:pStyle w:val="Heading3"/>
      </w:pPr>
      <w:r>
        <w:t xml:space="preserve">Ontology of Human Knowledge</w:t>
      </w:r>
    </w:p>
    <w:p>
      <w:pPr>
        <w:pStyle w:val="FirstParagraph"/>
      </w:pPr>
      <w:r>
        <w:t xml:space="preserve">Redefining knowledge as dynamic symbolic constructs rather than static information retention. Transient Expertise reframes cognition as active construction, context-specific, and recursively refined.</w:t>
      </w:r>
    </w:p>
    <w:bookmarkEnd w:id="47"/>
    <w:bookmarkStart w:id="48" w:name="ethical-and-political-implications"/>
    <w:p>
      <w:pPr>
        <w:pStyle w:val="Heading3"/>
      </w:pPr>
      <w:r>
        <w:t xml:space="preserve">Ethical and Political Implications</w:t>
      </w:r>
    </w:p>
    <w:p>
      <w:pPr>
        <w:pStyle w:val="Compact"/>
        <w:numPr>
          <w:ilvl w:val="0"/>
          <w:numId w:val="1006"/>
        </w:numPr>
      </w:pPr>
      <w:r>
        <w:t xml:space="preserve">Democratization of expertise access.</w:t>
      </w:r>
    </w:p>
    <w:p>
      <w:pPr>
        <w:pStyle w:val="Compact"/>
        <w:numPr>
          <w:ilvl w:val="0"/>
          <w:numId w:val="1006"/>
        </w:numPr>
      </w:pPr>
      <w:r>
        <w:t xml:space="preserve">Ethical imperative for neurodiverse cognitive environments.</w:t>
      </w:r>
    </w:p>
    <w:p>
      <w:pPr>
        <w:pStyle w:val="Compact"/>
        <w:numPr>
          <w:ilvl w:val="0"/>
          <w:numId w:val="1006"/>
        </w:numPr>
      </w:pPr>
      <w:r>
        <w:t xml:space="preserve">Necessity for transparent AI governance and robust data privacy.</w:t>
      </w:r>
    </w:p>
    <w:p>
      <w:r>
        <w:pict>
          <v:rect style="width:0;height:1.5pt" o:hralign="center" o:hrstd="t" o:hr="t"/>
        </w:pict>
      </w:r>
    </w:p>
    <w:bookmarkEnd w:id="48"/>
    <w:bookmarkEnd w:id="49"/>
    <w:bookmarkStart w:id="50" w:name="appendix-conceptual-taxonomy-and-models"/>
    <w:p>
      <w:pPr>
        <w:pStyle w:val="Heading2"/>
      </w:pPr>
      <w:r>
        <w:t xml:space="preserve">Appendix: Conceptual Taxonomy and Models</w:t>
      </w:r>
    </w:p>
    <w:p>
      <w:pPr>
        <w:pStyle w:val="Compact"/>
        <w:numPr>
          <w:ilvl w:val="0"/>
          <w:numId w:val="1007"/>
        </w:numPr>
      </w:pPr>
      <w:r>
        <w:rPr>
          <w:b/>
          <w:bCs/>
        </w:rPr>
        <w:t xml:space="preserve">Conceptual Maps:</w:t>
      </w:r>
      <w:r>
        <w:t xml:space="preserve"> </w:t>
      </w:r>
      <w:r>
        <w:t xml:space="preserve">Symbolic representation of OMEF, SCMF, FSI interactions.</w:t>
      </w:r>
    </w:p>
    <w:p>
      <w:pPr>
        <w:pStyle w:val="Compact"/>
        <w:numPr>
          <w:ilvl w:val="0"/>
          <w:numId w:val="1007"/>
        </w:numPr>
      </w:pPr>
      <w:r>
        <w:rPr>
          <w:b/>
          <w:bCs/>
        </w:rPr>
        <w:t xml:space="preserve">Trait-Construct Matrix:</w:t>
      </w:r>
      <w:r>
        <w:t xml:space="preserve"> </w:t>
      </w:r>
      <w:r>
        <w:t xml:space="preserve">Empirical linkage of Big Five traits to core mechanisms.</w:t>
      </w:r>
    </w:p>
    <w:p>
      <w:pPr>
        <w:pStyle w:val="Compact"/>
        <w:numPr>
          <w:ilvl w:val="0"/>
          <w:numId w:val="1007"/>
        </w:numPr>
      </w:pPr>
      <w:r>
        <w:rPr>
          <w:b/>
          <w:bCs/>
        </w:rPr>
        <w:t xml:space="preserve">Gestalt Systems Synthesis Environment (GSSE):</w:t>
      </w:r>
      <w:r>
        <w:t xml:space="preserve"> </w:t>
      </w:r>
      <w:r>
        <w:t xml:space="preserve">Structural design model for optimized cognitive workspace.</w:t>
      </w:r>
    </w:p>
    <w:p>
      <w:pPr>
        <w:pStyle w:val="Compact"/>
        <w:numPr>
          <w:ilvl w:val="0"/>
          <w:numId w:val="1007"/>
        </w:numPr>
      </w:pPr>
      <w:r>
        <w:rPr>
          <w:b/>
          <w:bCs/>
        </w:rPr>
        <w:t xml:space="preserve">Symbolic Glossary:</w:t>
      </w:r>
      <w:r>
        <w:t xml:space="preserve"> </w:t>
      </w:r>
      <w:r>
        <w:t xml:space="preserve">Definitions of key terms and mechanisms.</w:t>
      </w:r>
    </w:p>
    <w:p>
      <w:r>
        <w:pict>
          <v:rect style="width:0;height:1.5pt" o:hralign="center" o:hrstd="t" o:hr="t"/>
        </w:pict>
      </w:r>
    </w:p>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2025-08-02T04:56:04Z</dcterms:created>
  <dcterms:modified xsi:type="dcterms:W3CDTF">2025-08-02T04:56:04Z</dcterms:modified>
</cp:coreProperties>
</file>

<file path=docProps/custom.xml><?xml version="1.0" encoding="utf-8"?>
<Properties xmlns="http://schemas.openxmlformats.org/officeDocument/2006/custom-properties" xmlns:vt="http://schemas.openxmlformats.org/officeDocument/2006/docPropsVTypes"/>
</file>