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959EC" w14:textId="77777777" w:rsidR="004C7883" w:rsidRPr="00B46341" w:rsidRDefault="004C7883" w:rsidP="004C7883">
      <w:pPr>
        <w:rPr>
          <w:rFonts w:ascii="Arial Narrow" w:hAnsi="Arial Narrow"/>
          <w:sz w:val="28"/>
          <w:szCs w:val="28"/>
        </w:rPr>
      </w:pPr>
      <w:r w:rsidRPr="00B46341">
        <w:rPr>
          <w:rFonts w:ascii="Arial Narrow" w:hAnsi="Arial Narrow"/>
          <w:b/>
          <w:bCs/>
          <w:sz w:val="32"/>
          <w:szCs w:val="32"/>
        </w:rPr>
        <w:t>Artificial Intelligence</w:t>
      </w:r>
      <w:r>
        <w:rPr>
          <w:rFonts w:ascii="Arial Narrow" w:hAnsi="Arial Narrow"/>
          <w:b/>
          <w:bCs/>
          <w:sz w:val="32"/>
          <w:szCs w:val="32"/>
        </w:rPr>
        <w:t xml:space="preserve"> Risk Management</w:t>
      </w:r>
      <w:r w:rsidRPr="00B46341">
        <w:rPr>
          <w:rFonts w:ascii="Arial Narrow" w:hAnsi="Arial Narrow"/>
          <w:b/>
          <w:bCs/>
          <w:sz w:val="32"/>
          <w:szCs w:val="32"/>
        </w:rPr>
        <w:t xml:space="preserve"> Policy</w:t>
      </w:r>
      <w:r>
        <w:rPr>
          <w:rFonts w:ascii="Arial Narrow" w:hAnsi="Arial Narrow"/>
          <w:b/>
          <w:bCs/>
          <w:sz w:val="32"/>
          <w:szCs w:val="32"/>
        </w:rPr>
        <w:t>.  V1.0</w:t>
      </w:r>
    </w:p>
    <w:p w14:paraId="347B9CE9" w14:textId="77777777" w:rsidR="004C7883" w:rsidRPr="00B11D5E" w:rsidRDefault="004C7883" w:rsidP="004C7883">
      <w:pPr>
        <w:rPr>
          <w:rFonts w:ascii="Arial Narrow" w:hAnsi="Arial Narrow"/>
          <w:b/>
          <w:bCs/>
          <w:u w:val="single"/>
        </w:rPr>
      </w:pPr>
      <w:r w:rsidRPr="00B11D5E">
        <w:rPr>
          <w:rFonts w:ascii="Arial Narrow" w:hAnsi="Arial Narrow"/>
          <w:b/>
          <w:bCs/>
          <w:u w:val="single"/>
        </w:rPr>
        <w:t>1. Purpose and Objective</w:t>
      </w:r>
    </w:p>
    <w:p w14:paraId="053F58F6" w14:textId="31A882E8" w:rsidR="004C7883" w:rsidRPr="00B11D5E" w:rsidRDefault="004C7883" w:rsidP="004C7883">
      <w:pPr>
        <w:rPr>
          <w:rFonts w:ascii="Arial Narrow" w:hAnsi="Arial Narrow"/>
        </w:rPr>
      </w:pPr>
      <w:r w:rsidRPr="00B11D5E">
        <w:rPr>
          <w:rFonts w:ascii="Arial Narrow" w:hAnsi="Arial Narrow"/>
        </w:rPr>
        <w:t xml:space="preserve">The purpose of this AI Risk Management Policy (“Policy”) is to establish a structured and consistent approach for identifying, assessing, mitigating, and monitoring risks associated with the development, deployment, and maintenance of Artificial Intelligence (AI) systems. This Policy ensures that the </w:t>
      </w:r>
      <w:r w:rsidR="00EF6134">
        <w:rPr>
          <w:rFonts w:ascii="Arial Narrow" w:hAnsi="Arial Narrow"/>
        </w:rPr>
        <w:t>organisation</w:t>
      </w:r>
      <w:r w:rsidRPr="00B11D5E">
        <w:rPr>
          <w:rFonts w:ascii="Arial Narrow" w:hAnsi="Arial Narrow"/>
        </w:rPr>
        <w:t xml:space="preserve">’s AI activities remain compliant with legal and regulatory requirements, uphold ethical standards, and align with the </w:t>
      </w:r>
      <w:r w:rsidR="00EF6134">
        <w:rPr>
          <w:rFonts w:ascii="Arial Narrow" w:hAnsi="Arial Narrow"/>
        </w:rPr>
        <w:t>organisation</w:t>
      </w:r>
      <w:r w:rsidRPr="00B11D5E">
        <w:rPr>
          <w:rFonts w:ascii="Arial Narrow" w:hAnsi="Arial Narrow"/>
        </w:rPr>
        <w:t>’s broader strategic objectives and defined risk appetite.</w:t>
      </w:r>
      <w:r>
        <w:rPr>
          <w:rFonts w:ascii="Arial Narrow" w:hAnsi="Arial Narrow"/>
        </w:rPr>
        <w:t xml:space="preserve"> </w:t>
      </w:r>
      <w:r w:rsidRPr="0082112A">
        <w:rPr>
          <w:rFonts w:ascii="Arial Narrow" w:hAnsi="Arial Narrow"/>
          <w:i/>
          <w:iCs/>
        </w:rPr>
        <w:t>(RM-1)</w:t>
      </w:r>
    </w:p>
    <w:p w14:paraId="6A447F53" w14:textId="77777777" w:rsidR="004C7883" w:rsidRPr="00B11D5E" w:rsidRDefault="004C7883" w:rsidP="004C7883">
      <w:pPr>
        <w:rPr>
          <w:rFonts w:ascii="Arial Narrow" w:hAnsi="Arial Narrow"/>
          <w:b/>
          <w:bCs/>
          <w:u w:val="single"/>
        </w:rPr>
      </w:pPr>
      <w:r w:rsidRPr="00B11D5E">
        <w:rPr>
          <w:rFonts w:ascii="Arial Narrow" w:hAnsi="Arial Narrow"/>
          <w:b/>
          <w:bCs/>
          <w:u w:val="single"/>
        </w:rPr>
        <w:t>2. Scope</w:t>
      </w:r>
    </w:p>
    <w:p w14:paraId="60D58890" w14:textId="70CF06C9" w:rsidR="004C7883" w:rsidRPr="00B11D5E" w:rsidRDefault="004C7883" w:rsidP="004C7883">
      <w:pPr>
        <w:spacing w:after="80"/>
        <w:rPr>
          <w:rFonts w:ascii="Arial Narrow" w:hAnsi="Arial Narrow"/>
        </w:rPr>
      </w:pPr>
      <w:r w:rsidRPr="00B11D5E">
        <w:rPr>
          <w:rFonts w:ascii="Arial Narrow" w:hAnsi="Arial Narrow"/>
          <w:b/>
          <w:bCs/>
        </w:rPr>
        <w:t>2.1 Applicability</w:t>
      </w:r>
      <w:r w:rsidRPr="00B11D5E">
        <w:rPr>
          <w:rFonts w:ascii="Arial Narrow" w:hAnsi="Arial Narrow"/>
        </w:rPr>
        <w:br/>
        <w:t>This Policy applies to all AI initiatives, projects, products, and services developed or utili</w:t>
      </w:r>
      <w:r>
        <w:rPr>
          <w:rFonts w:ascii="Arial Narrow" w:hAnsi="Arial Narrow"/>
        </w:rPr>
        <w:t>s</w:t>
      </w:r>
      <w:r w:rsidRPr="00B11D5E">
        <w:rPr>
          <w:rFonts w:ascii="Arial Narrow" w:hAnsi="Arial Narrow"/>
        </w:rPr>
        <w:t xml:space="preserve">ed by the </w:t>
      </w:r>
      <w:r w:rsidR="00EF6134">
        <w:rPr>
          <w:rFonts w:ascii="Arial Narrow" w:hAnsi="Arial Narrow"/>
        </w:rPr>
        <w:t>organisation</w:t>
      </w:r>
      <w:r w:rsidRPr="00B11D5E">
        <w:rPr>
          <w:rFonts w:ascii="Arial Narrow" w:hAnsi="Arial Narrow"/>
        </w:rPr>
        <w:t>, including but not limited to:</w:t>
      </w:r>
    </w:p>
    <w:p w14:paraId="7AE4EE5A" w14:textId="77777777" w:rsidR="004C7883" w:rsidRPr="00B11D5E" w:rsidRDefault="004C7883" w:rsidP="004C7883">
      <w:pPr>
        <w:numPr>
          <w:ilvl w:val="0"/>
          <w:numId w:val="1"/>
        </w:numPr>
        <w:spacing w:after="80"/>
        <w:rPr>
          <w:rFonts w:ascii="Arial Narrow" w:hAnsi="Arial Narrow"/>
        </w:rPr>
      </w:pPr>
      <w:r w:rsidRPr="00B11D5E">
        <w:rPr>
          <w:rFonts w:ascii="Arial Narrow" w:hAnsi="Arial Narrow"/>
        </w:rPr>
        <w:t>Proprietary AI models built in-house.</w:t>
      </w:r>
    </w:p>
    <w:p w14:paraId="3B98DE11" w14:textId="77777777" w:rsidR="004C7883" w:rsidRPr="00B11D5E" w:rsidRDefault="004C7883" w:rsidP="004C7883">
      <w:pPr>
        <w:numPr>
          <w:ilvl w:val="0"/>
          <w:numId w:val="1"/>
        </w:numPr>
        <w:spacing w:after="80"/>
        <w:rPr>
          <w:rFonts w:ascii="Arial Narrow" w:hAnsi="Arial Narrow"/>
        </w:rPr>
      </w:pPr>
      <w:r w:rsidRPr="00B11D5E">
        <w:rPr>
          <w:rFonts w:ascii="Arial Narrow" w:hAnsi="Arial Narrow"/>
        </w:rPr>
        <w:t>Third-party AI tools integrated into operational processes.</w:t>
      </w:r>
    </w:p>
    <w:p w14:paraId="728C1740" w14:textId="77777777" w:rsidR="004C7883" w:rsidRPr="00B11D5E" w:rsidRDefault="004C7883" w:rsidP="004C7883">
      <w:pPr>
        <w:numPr>
          <w:ilvl w:val="0"/>
          <w:numId w:val="1"/>
        </w:numPr>
        <w:rPr>
          <w:rFonts w:ascii="Arial Narrow" w:hAnsi="Arial Narrow"/>
        </w:rPr>
      </w:pPr>
      <w:r w:rsidRPr="00B11D5E">
        <w:rPr>
          <w:rFonts w:ascii="Arial Narrow" w:hAnsi="Arial Narrow"/>
        </w:rPr>
        <w:t>Pilot or proof-of-concept AI deployments within any business unit.</w:t>
      </w:r>
    </w:p>
    <w:p w14:paraId="0364F3BB" w14:textId="77777777" w:rsidR="004C7883" w:rsidRPr="00B11D5E" w:rsidRDefault="004C7883" w:rsidP="004C7883">
      <w:pPr>
        <w:rPr>
          <w:rFonts w:ascii="Arial Narrow" w:hAnsi="Arial Narrow"/>
        </w:rPr>
      </w:pPr>
      <w:r w:rsidRPr="00B11D5E">
        <w:rPr>
          <w:rFonts w:ascii="Arial Narrow" w:hAnsi="Arial Narrow"/>
          <w:b/>
          <w:bCs/>
        </w:rPr>
        <w:t>2.2</w:t>
      </w:r>
      <w:r w:rsidRPr="00B11D5E">
        <w:rPr>
          <w:rFonts w:ascii="Arial Narrow" w:hAnsi="Arial Narrow"/>
        </w:rPr>
        <w:t xml:space="preserve"> </w:t>
      </w:r>
      <w:r w:rsidRPr="00B11D5E">
        <w:rPr>
          <w:rFonts w:ascii="Arial Narrow" w:hAnsi="Arial Narrow"/>
          <w:b/>
          <w:bCs/>
        </w:rPr>
        <w:t>Exclusions</w:t>
      </w:r>
      <w:r w:rsidRPr="00B11D5E">
        <w:rPr>
          <w:rFonts w:ascii="Arial Narrow" w:hAnsi="Arial Narrow"/>
        </w:rPr>
        <w:br/>
        <w:t>Certain low-risk or experimental AI activities may be granted limited exceptions if they do not pose significant material, legal, ethical, or operational risks. All requests for exceptions must follow the procedures outlined in Section 12 of this Policy.</w:t>
      </w:r>
      <w:r>
        <w:rPr>
          <w:rFonts w:ascii="Arial Narrow" w:hAnsi="Arial Narrow"/>
        </w:rPr>
        <w:t xml:space="preserve"> </w:t>
      </w:r>
      <w:r w:rsidRPr="0082112A">
        <w:rPr>
          <w:rFonts w:ascii="Arial Narrow" w:hAnsi="Arial Narrow"/>
          <w:i/>
          <w:iCs/>
        </w:rPr>
        <w:t>(RM-1)</w:t>
      </w:r>
    </w:p>
    <w:p w14:paraId="52E6FB9D" w14:textId="77777777" w:rsidR="004C7883" w:rsidRPr="00B11D5E" w:rsidRDefault="004C7883" w:rsidP="004C7883">
      <w:pPr>
        <w:rPr>
          <w:rFonts w:ascii="Arial Narrow" w:hAnsi="Arial Narrow"/>
        </w:rPr>
      </w:pPr>
      <w:r w:rsidRPr="00B11D5E">
        <w:rPr>
          <w:rFonts w:ascii="Arial Narrow" w:hAnsi="Arial Narrow"/>
          <w:b/>
          <w:bCs/>
        </w:rPr>
        <w:t>2.3 Related Policies</w:t>
      </w:r>
      <w:r w:rsidRPr="00B11D5E">
        <w:rPr>
          <w:rFonts w:ascii="Arial Narrow" w:hAnsi="Arial Narrow"/>
        </w:rPr>
        <w:br/>
        <w:t>This Policy complements and should be read in conjunction with the AI Governance Policy and any other corporate policies pertaining to data protection, information security, ethics, and compliance.</w:t>
      </w:r>
      <w:r>
        <w:rPr>
          <w:rFonts w:ascii="Arial Narrow" w:hAnsi="Arial Narrow"/>
        </w:rPr>
        <w:t xml:space="preserve"> </w:t>
      </w:r>
      <w:r w:rsidRPr="0082112A">
        <w:rPr>
          <w:rFonts w:ascii="Arial Narrow" w:hAnsi="Arial Narrow"/>
          <w:i/>
          <w:iCs/>
        </w:rPr>
        <w:t>(GL-3)</w:t>
      </w:r>
    </w:p>
    <w:p w14:paraId="024F9619" w14:textId="77777777" w:rsidR="004C7883" w:rsidRPr="00B11D5E" w:rsidRDefault="004C7883" w:rsidP="004C7883">
      <w:pPr>
        <w:rPr>
          <w:rFonts w:ascii="Arial Narrow" w:hAnsi="Arial Narrow"/>
          <w:b/>
          <w:bCs/>
          <w:u w:val="single"/>
        </w:rPr>
      </w:pPr>
      <w:r w:rsidRPr="00B11D5E">
        <w:rPr>
          <w:rFonts w:ascii="Arial Narrow" w:hAnsi="Arial Narrow"/>
          <w:b/>
          <w:bCs/>
          <w:u w:val="single"/>
        </w:rPr>
        <w:t>3. Definitions</w:t>
      </w:r>
    </w:p>
    <w:p w14:paraId="423DEB50" w14:textId="77777777" w:rsidR="004C7883" w:rsidRPr="00B11D5E" w:rsidRDefault="004C7883" w:rsidP="004C7883">
      <w:pPr>
        <w:spacing w:after="80"/>
        <w:rPr>
          <w:rFonts w:ascii="Arial Narrow" w:hAnsi="Arial Narrow"/>
        </w:rPr>
      </w:pPr>
      <w:r w:rsidRPr="00B11D5E">
        <w:rPr>
          <w:rFonts w:ascii="Arial Narrow" w:hAnsi="Arial Narrow"/>
        </w:rPr>
        <w:t>For the purposes of this Policy, the following definitions apply:</w:t>
      </w:r>
    </w:p>
    <w:p w14:paraId="5C7938AD" w14:textId="77777777" w:rsidR="004C7883" w:rsidRPr="00B11D5E" w:rsidRDefault="004C7883" w:rsidP="004C7883">
      <w:pPr>
        <w:numPr>
          <w:ilvl w:val="0"/>
          <w:numId w:val="2"/>
        </w:numPr>
        <w:spacing w:after="80"/>
        <w:rPr>
          <w:rFonts w:ascii="Arial Narrow" w:hAnsi="Arial Narrow"/>
        </w:rPr>
      </w:pPr>
      <w:r w:rsidRPr="00B11D5E">
        <w:rPr>
          <w:rFonts w:ascii="Arial Narrow" w:hAnsi="Arial Narrow"/>
          <w:b/>
          <w:bCs/>
        </w:rPr>
        <w:t>AI System</w:t>
      </w:r>
      <w:r w:rsidRPr="00B11D5E">
        <w:rPr>
          <w:rFonts w:ascii="Arial Narrow" w:hAnsi="Arial Narrow"/>
        </w:rPr>
        <w:t>: Any software application employing machine learning, deep learning, natural language processing, or other advanced computational techniques to simulate human intelligence or decision-making processes.</w:t>
      </w:r>
    </w:p>
    <w:p w14:paraId="318022CF" w14:textId="3FD868FB" w:rsidR="004C7883" w:rsidRPr="00B11D5E" w:rsidRDefault="004C7883" w:rsidP="004C7883">
      <w:pPr>
        <w:numPr>
          <w:ilvl w:val="0"/>
          <w:numId w:val="2"/>
        </w:numPr>
        <w:spacing w:after="80"/>
        <w:rPr>
          <w:rFonts w:ascii="Arial Narrow" w:hAnsi="Arial Narrow"/>
        </w:rPr>
      </w:pPr>
      <w:r w:rsidRPr="00B11D5E">
        <w:rPr>
          <w:rFonts w:ascii="Arial Narrow" w:hAnsi="Arial Narrow"/>
          <w:b/>
          <w:bCs/>
        </w:rPr>
        <w:t>Risk</w:t>
      </w:r>
      <w:r w:rsidRPr="00B11D5E">
        <w:rPr>
          <w:rFonts w:ascii="Arial Narrow" w:hAnsi="Arial Narrow"/>
        </w:rPr>
        <w:t xml:space="preserve">: The combination of the likelihood of an event and its potential consequences—financial, operational, reputational, or otherwise—that could adversely affect the </w:t>
      </w:r>
      <w:r w:rsidR="00EF6134">
        <w:rPr>
          <w:rFonts w:ascii="Arial Narrow" w:hAnsi="Arial Narrow"/>
        </w:rPr>
        <w:t>organisation</w:t>
      </w:r>
      <w:r w:rsidRPr="00B11D5E">
        <w:rPr>
          <w:rFonts w:ascii="Arial Narrow" w:hAnsi="Arial Narrow"/>
        </w:rPr>
        <w:t>’s objectives.</w:t>
      </w:r>
      <w:r>
        <w:rPr>
          <w:rFonts w:ascii="Arial Narrow" w:hAnsi="Arial Narrow"/>
        </w:rPr>
        <w:t xml:space="preserve"> For avoidance of doubt, this includes the potential for harm to a customer, employee or other stakeholder as a direct result of the </w:t>
      </w:r>
      <w:r w:rsidR="00EF6134">
        <w:rPr>
          <w:rFonts w:ascii="Arial Narrow" w:hAnsi="Arial Narrow"/>
        </w:rPr>
        <w:t>organisation</w:t>
      </w:r>
      <w:r>
        <w:rPr>
          <w:rFonts w:ascii="Arial Narrow" w:hAnsi="Arial Narrow"/>
        </w:rPr>
        <w:t>s development or use of an AI system.</w:t>
      </w:r>
    </w:p>
    <w:p w14:paraId="1BC43080" w14:textId="340F5A45" w:rsidR="004C7883" w:rsidRPr="00B11D5E" w:rsidRDefault="004C7883" w:rsidP="004C7883">
      <w:pPr>
        <w:numPr>
          <w:ilvl w:val="0"/>
          <w:numId w:val="2"/>
        </w:numPr>
        <w:spacing w:after="80"/>
        <w:rPr>
          <w:rFonts w:ascii="Arial Narrow" w:hAnsi="Arial Narrow"/>
        </w:rPr>
      </w:pPr>
      <w:r w:rsidRPr="00B11D5E">
        <w:rPr>
          <w:rFonts w:ascii="Arial Narrow" w:hAnsi="Arial Narrow"/>
          <w:b/>
          <w:bCs/>
        </w:rPr>
        <w:t>Risk Appetite</w:t>
      </w:r>
      <w:r w:rsidRPr="00B11D5E">
        <w:rPr>
          <w:rFonts w:ascii="Arial Narrow" w:hAnsi="Arial Narrow"/>
        </w:rPr>
        <w:t xml:space="preserve">: The level and type of risk the </w:t>
      </w:r>
      <w:r w:rsidR="00EF6134">
        <w:rPr>
          <w:rFonts w:ascii="Arial Narrow" w:hAnsi="Arial Narrow"/>
        </w:rPr>
        <w:t>organisation</w:t>
      </w:r>
      <w:r w:rsidRPr="00B11D5E">
        <w:rPr>
          <w:rFonts w:ascii="Arial Narrow" w:hAnsi="Arial Narrow"/>
        </w:rPr>
        <w:t xml:space="preserve"> is willing to accept in pursuit of its strategic objectives.</w:t>
      </w:r>
    </w:p>
    <w:p w14:paraId="5085550C" w14:textId="3D05696E" w:rsidR="004C7883" w:rsidRPr="00B11D5E" w:rsidRDefault="004C7883" w:rsidP="004C7883">
      <w:pPr>
        <w:numPr>
          <w:ilvl w:val="0"/>
          <w:numId w:val="2"/>
        </w:numPr>
        <w:spacing w:after="80"/>
        <w:rPr>
          <w:rFonts w:ascii="Arial Narrow" w:hAnsi="Arial Narrow"/>
        </w:rPr>
      </w:pPr>
      <w:r w:rsidRPr="00B11D5E">
        <w:rPr>
          <w:rFonts w:ascii="Arial Narrow" w:hAnsi="Arial Narrow"/>
          <w:b/>
          <w:bCs/>
        </w:rPr>
        <w:t>Risk Tolerance</w:t>
      </w:r>
      <w:r w:rsidRPr="00B11D5E">
        <w:rPr>
          <w:rFonts w:ascii="Arial Narrow" w:hAnsi="Arial Narrow"/>
        </w:rPr>
        <w:t xml:space="preserve">: The acceptable variance or thresholds around the </w:t>
      </w:r>
      <w:r w:rsidR="00EF6134">
        <w:rPr>
          <w:rFonts w:ascii="Arial Narrow" w:hAnsi="Arial Narrow"/>
        </w:rPr>
        <w:t>organisation</w:t>
      </w:r>
      <w:r w:rsidRPr="00B11D5E">
        <w:rPr>
          <w:rFonts w:ascii="Arial Narrow" w:hAnsi="Arial Narrow"/>
        </w:rPr>
        <w:t>’s risk appetite for specific categories of AI risk (e.g., legal, operational, reputational).</w:t>
      </w:r>
    </w:p>
    <w:p w14:paraId="261C9031" w14:textId="77777777" w:rsidR="004C7883" w:rsidRPr="00B11D5E" w:rsidRDefault="004C7883" w:rsidP="004C7883">
      <w:pPr>
        <w:numPr>
          <w:ilvl w:val="0"/>
          <w:numId w:val="2"/>
        </w:numPr>
        <w:spacing w:after="80"/>
        <w:rPr>
          <w:rFonts w:ascii="Arial Narrow" w:hAnsi="Arial Narrow"/>
        </w:rPr>
      </w:pPr>
      <w:r w:rsidRPr="00B11D5E">
        <w:rPr>
          <w:rFonts w:ascii="Arial Narrow" w:hAnsi="Arial Narrow"/>
          <w:b/>
          <w:bCs/>
        </w:rPr>
        <w:t>Risk Register</w:t>
      </w:r>
      <w:r w:rsidRPr="00B11D5E">
        <w:rPr>
          <w:rFonts w:ascii="Arial Narrow" w:hAnsi="Arial Narrow"/>
        </w:rPr>
        <w:t>: A centrali</w:t>
      </w:r>
      <w:r>
        <w:rPr>
          <w:rFonts w:ascii="Arial Narrow" w:hAnsi="Arial Narrow"/>
        </w:rPr>
        <w:t>s</w:t>
      </w:r>
      <w:r w:rsidRPr="00B11D5E">
        <w:rPr>
          <w:rFonts w:ascii="Arial Narrow" w:hAnsi="Arial Narrow"/>
        </w:rPr>
        <w:t>ed repository (document or system) in which identified risks, their assessments, and their respective controls are recorded and maintained.</w:t>
      </w:r>
    </w:p>
    <w:p w14:paraId="30D471AE" w14:textId="77777777" w:rsidR="004C7883" w:rsidRPr="00B11D5E" w:rsidRDefault="004C7883" w:rsidP="004C7883">
      <w:pPr>
        <w:numPr>
          <w:ilvl w:val="0"/>
          <w:numId w:val="2"/>
        </w:numPr>
        <w:rPr>
          <w:rFonts w:ascii="Arial Narrow" w:hAnsi="Arial Narrow"/>
        </w:rPr>
      </w:pPr>
      <w:r w:rsidRPr="00B11D5E">
        <w:rPr>
          <w:rFonts w:ascii="Arial Narrow" w:hAnsi="Arial Narrow"/>
          <w:b/>
          <w:bCs/>
        </w:rPr>
        <w:t>Control Owner</w:t>
      </w:r>
      <w:r w:rsidRPr="00B11D5E">
        <w:rPr>
          <w:rFonts w:ascii="Arial Narrow" w:hAnsi="Arial Narrow"/>
        </w:rPr>
        <w:t>: An individual or team assigned responsibility for implementing and maintaining specific risk controls to ensure ongoing risk mitigation.</w:t>
      </w:r>
    </w:p>
    <w:p w14:paraId="6119FDCB" w14:textId="0F133231" w:rsidR="004C7883" w:rsidRPr="00B11D5E" w:rsidRDefault="004C7883" w:rsidP="004C7883">
      <w:pPr>
        <w:rPr>
          <w:rFonts w:ascii="Arial Narrow" w:hAnsi="Arial Narrow"/>
        </w:rPr>
      </w:pPr>
      <w:r w:rsidRPr="00B11D5E">
        <w:rPr>
          <w:rFonts w:ascii="Arial Narrow" w:hAnsi="Arial Narrow"/>
        </w:rPr>
        <w:t xml:space="preserve">Additional AI-related terminology, if not defined here, shall align with definitions provided in the </w:t>
      </w:r>
      <w:r w:rsidR="00EF6134">
        <w:rPr>
          <w:rFonts w:ascii="Arial Narrow" w:hAnsi="Arial Narrow"/>
        </w:rPr>
        <w:t>organisation</w:t>
      </w:r>
      <w:r w:rsidRPr="00B11D5E">
        <w:rPr>
          <w:rFonts w:ascii="Arial Narrow" w:hAnsi="Arial Narrow"/>
        </w:rPr>
        <w:t>’s AI Governance Policy or corporate glossary.</w:t>
      </w:r>
    </w:p>
    <w:p w14:paraId="61633022" w14:textId="77777777" w:rsidR="004C7883" w:rsidRDefault="004C7883">
      <w:pPr>
        <w:rPr>
          <w:rFonts w:ascii="Arial Narrow" w:hAnsi="Arial Narrow"/>
          <w:b/>
          <w:bCs/>
          <w:u w:val="single"/>
        </w:rPr>
      </w:pPr>
      <w:r>
        <w:rPr>
          <w:rFonts w:ascii="Arial Narrow" w:hAnsi="Arial Narrow"/>
          <w:b/>
          <w:bCs/>
          <w:u w:val="single"/>
        </w:rPr>
        <w:br w:type="page"/>
      </w:r>
    </w:p>
    <w:p w14:paraId="3D2A4FEE" w14:textId="5A5A9DC3" w:rsidR="004C7883" w:rsidRPr="00B11D5E" w:rsidRDefault="004C7883" w:rsidP="004C7883">
      <w:pPr>
        <w:rPr>
          <w:rFonts w:ascii="Arial Narrow" w:hAnsi="Arial Narrow"/>
          <w:b/>
          <w:bCs/>
          <w:u w:val="single"/>
        </w:rPr>
      </w:pPr>
      <w:r w:rsidRPr="00B11D5E">
        <w:rPr>
          <w:rFonts w:ascii="Arial Narrow" w:hAnsi="Arial Narrow"/>
          <w:b/>
          <w:bCs/>
          <w:u w:val="single"/>
        </w:rPr>
        <w:lastRenderedPageBreak/>
        <w:t>4. Risk Appetite and Risk Tolerance</w:t>
      </w:r>
    </w:p>
    <w:p w14:paraId="1B49289E" w14:textId="6554D681" w:rsidR="004C7883" w:rsidRPr="00B11D5E" w:rsidRDefault="004C7883" w:rsidP="004C7883">
      <w:pPr>
        <w:rPr>
          <w:rFonts w:ascii="Arial Narrow" w:hAnsi="Arial Narrow"/>
        </w:rPr>
      </w:pPr>
      <w:r w:rsidRPr="00B11D5E">
        <w:rPr>
          <w:rFonts w:ascii="Arial Narrow" w:hAnsi="Arial Narrow"/>
          <w:b/>
          <w:bCs/>
        </w:rPr>
        <w:t>4.1</w:t>
      </w:r>
      <w:r w:rsidRPr="00B11D5E">
        <w:rPr>
          <w:rFonts w:ascii="Arial Narrow" w:hAnsi="Arial Narrow"/>
        </w:rPr>
        <w:t xml:space="preserve"> </w:t>
      </w:r>
      <w:r w:rsidRPr="00B11D5E">
        <w:rPr>
          <w:rFonts w:ascii="Arial Narrow" w:hAnsi="Arial Narrow"/>
          <w:b/>
          <w:bCs/>
        </w:rPr>
        <w:t>Risk Appetite Statement</w:t>
      </w:r>
      <w:r w:rsidRPr="00B11D5E">
        <w:rPr>
          <w:rFonts w:ascii="Arial Narrow" w:hAnsi="Arial Narrow"/>
        </w:rPr>
        <w:br/>
        <w:t xml:space="preserve">The </w:t>
      </w:r>
      <w:r w:rsidR="00EF6134">
        <w:rPr>
          <w:rFonts w:ascii="Arial Narrow" w:hAnsi="Arial Narrow"/>
        </w:rPr>
        <w:t>Organisation</w:t>
      </w:r>
      <w:r w:rsidRPr="00B11D5E">
        <w:rPr>
          <w:rFonts w:ascii="Arial Narrow" w:hAnsi="Arial Narrow"/>
        </w:rPr>
        <w:t xml:space="preserve"> recognizes the transformative potential of AI but also acknowledges the inherent risks associated with advanced data-driven technologies. To balance innovation with responsible deployment, the </w:t>
      </w:r>
      <w:r w:rsidR="00EF6134">
        <w:rPr>
          <w:rFonts w:ascii="Arial Narrow" w:hAnsi="Arial Narrow"/>
        </w:rPr>
        <w:t>Organisation</w:t>
      </w:r>
      <w:r w:rsidRPr="00B11D5E">
        <w:rPr>
          <w:rFonts w:ascii="Arial Narrow" w:hAnsi="Arial Narrow"/>
        </w:rPr>
        <w:t xml:space="preserve"> maintains a </w:t>
      </w:r>
      <w:r w:rsidRPr="00B11D5E">
        <w:rPr>
          <w:rFonts w:ascii="Arial Narrow" w:hAnsi="Arial Narrow"/>
          <w:b/>
          <w:bCs/>
        </w:rPr>
        <w:t xml:space="preserve">moderate to </w:t>
      </w:r>
      <w:proofErr w:type="gramStart"/>
      <w:r w:rsidRPr="00B11D5E">
        <w:rPr>
          <w:rFonts w:ascii="Arial Narrow" w:hAnsi="Arial Narrow"/>
          <w:b/>
          <w:bCs/>
        </w:rPr>
        <w:t>low</w:t>
      </w:r>
      <w:r w:rsidRPr="00B11D5E">
        <w:rPr>
          <w:rFonts w:ascii="Arial Narrow" w:hAnsi="Arial Narrow"/>
        </w:rPr>
        <w:t xml:space="preserve"> risk</w:t>
      </w:r>
      <w:proofErr w:type="gramEnd"/>
      <w:r w:rsidRPr="00B11D5E">
        <w:rPr>
          <w:rFonts w:ascii="Arial Narrow" w:hAnsi="Arial Narrow"/>
        </w:rPr>
        <w:t xml:space="preserve"> appetite for AI-related initiatives. This means the </w:t>
      </w:r>
      <w:r w:rsidR="00EF6134">
        <w:rPr>
          <w:rFonts w:ascii="Arial Narrow" w:hAnsi="Arial Narrow"/>
        </w:rPr>
        <w:t>Organisation</w:t>
      </w:r>
      <w:r w:rsidRPr="00B11D5E">
        <w:rPr>
          <w:rFonts w:ascii="Arial Narrow" w:hAnsi="Arial Narrow"/>
        </w:rPr>
        <w:t xml:space="preserve"> is open to adopting AI solutions that offer substantial operational or strategic benefits, provided that associated risks—such as bias, privacy breaches, regulatory non-compliance, or reputational harm—are clearly identified, assessed, and effectively controlled.</w:t>
      </w:r>
      <w:r w:rsidRPr="0082112A">
        <w:rPr>
          <w:rFonts w:ascii="Arial Narrow" w:hAnsi="Arial Narrow"/>
          <w:i/>
          <w:iCs/>
        </w:rPr>
        <w:t xml:space="preserve"> (RS-5, RO-1)</w:t>
      </w:r>
    </w:p>
    <w:p w14:paraId="60A7EFFE" w14:textId="77777777" w:rsidR="004C7883" w:rsidRPr="00B11D5E" w:rsidRDefault="004C7883" w:rsidP="004C7883">
      <w:pPr>
        <w:spacing w:after="80"/>
        <w:rPr>
          <w:rFonts w:ascii="Arial Narrow" w:hAnsi="Arial Narrow"/>
        </w:rPr>
      </w:pPr>
      <w:r w:rsidRPr="00B11D5E">
        <w:rPr>
          <w:rFonts w:ascii="Arial Narrow" w:hAnsi="Arial Narrow"/>
          <w:b/>
          <w:bCs/>
        </w:rPr>
        <w:t>4.2 Risk Tolerance Levels</w:t>
      </w:r>
      <w:r w:rsidRPr="00B11D5E">
        <w:rPr>
          <w:rFonts w:ascii="Arial Narrow" w:hAnsi="Arial Narrow"/>
        </w:rPr>
        <w:br/>
        <w:t>Risk tolerance levels provide clarity on how much risk is acceptable within specific categories. For AI projects, the following guidelines apply:</w:t>
      </w:r>
    </w:p>
    <w:p w14:paraId="25AEBEC3" w14:textId="1857C64A" w:rsidR="004C7883" w:rsidRPr="00B11D5E" w:rsidRDefault="004C7883" w:rsidP="004C7883">
      <w:pPr>
        <w:numPr>
          <w:ilvl w:val="0"/>
          <w:numId w:val="3"/>
        </w:numPr>
        <w:spacing w:after="80"/>
        <w:rPr>
          <w:rFonts w:ascii="Arial Narrow" w:hAnsi="Arial Narrow"/>
        </w:rPr>
      </w:pPr>
      <w:r w:rsidRPr="00B11D5E">
        <w:rPr>
          <w:rFonts w:ascii="Arial Narrow" w:hAnsi="Arial Narrow"/>
          <w:b/>
          <w:bCs/>
        </w:rPr>
        <w:t>Regulatory and Legal Compliance</w:t>
      </w:r>
      <w:r w:rsidRPr="00B11D5E">
        <w:rPr>
          <w:rFonts w:ascii="Arial Narrow" w:hAnsi="Arial Narrow"/>
        </w:rPr>
        <w:t xml:space="preserve">: </w:t>
      </w:r>
      <w:r w:rsidRPr="00B11D5E">
        <w:rPr>
          <w:rFonts w:ascii="Arial Narrow" w:hAnsi="Arial Narrow"/>
          <w:b/>
          <w:bCs/>
        </w:rPr>
        <w:t>Minimal Tolerance.</w:t>
      </w:r>
      <w:r w:rsidRPr="00B11D5E">
        <w:rPr>
          <w:rFonts w:ascii="Arial Narrow" w:hAnsi="Arial Narrow"/>
        </w:rPr>
        <w:t xml:space="preserve"> The </w:t>
      </w:r>
      <w:r w:rsidR="00EF6134">
        <w:rPr>
          <w:rFonts w:ascii="Arial Narrow" w:hAnsi="Arial Narrow"/>
        </w:rPr>
        <w:t>Organisation</w:t>
      </w:r>
      <w:r w:rsidRPr="00B11D5E">
        <w:rPr>
          <w:rFonts w:ascii="Arial Narrow" w:hAnsi="Arial Narrow"/>
        </w:rPr>
        <w:t xml:space="preserve"> will not engage in AI activities that carry a high risk of violating applicable laws or regulations.</w:t>
      </w:r>
      <w:r>
        <w:rPr>
          <w:rFonts w:ascii="Arial Narrow" w:hAnsi="Arial Narrow"/>
        </w:rPr>
        <w:t xml:space="preserve"> </w:t>
      </w:r>
      <w:r w:rsidRPr="0082112A">
        <w:rPr>
          <w:rFonts w:ascii="Arial Narrow" w:hAnsi="Arial Narrow"/>
          <w:i/>
          <w:iCs/>
        </w:rPr>
        <w:t>(RO-1)</w:t>
      </w:r>
    </w:p>
    <w:p w14:paraId="3BD9105D" w14:textId="20CD7356" w:rsidR="004C7883" w:rsidRPr="00B11D5E" w:rsidRDefault="004C7883" w:rsidP="004C7883">
      <w:pPr>
        <w:numPr>
          <w:ilvl w:val="0"/>
          <w:numId w:val="3"/>
        </w:numPr>
        <w:spacing w:after="80"/>
        <w:rPr>
          <w:rFonts w:ascii="Arial Narrow" w:hAnsi="Arial Narrow"/>
        </w:rPr>
      </w:pPr>
      <w:r w:rsidRPr="00B11D5E">
        <w:rPr>
          <w:rFonts w:ascii="Arial Narrow" w:hAnsi="Arial Narrow"/>
          <w:b/>
          <w:bCs/>
        </w:rPr>
        <w:t>Data Privacy and Security</w:t>
      </w:r>
      <w:r w:rsidRPr="00B11D5E">
        <w:rPr>
          <w:rFonts w:ascii="Arial Narrow" w:hAnsi="Arial Narrow"/>
        </w:rPr>
        <w:t xml:space="preserve">: </w:t>
      </w:r>
      <w:r w:rsidRPr="00B11D5E">
        <w:rPr>
          <w:rFonts w:ascii="Arial Narrow" w:hAnsi="Arial Narrow"/>
          <w:b/>
          <w:bCs/>
        </w:rPr>
        <w:t>Low Tolerance.</w:t>
      </w:r>
      <w:r w:rsidRPr="00B11D5E">
        <w:rPr>
          <w:rFonts w:ascii="Arial Narrow" w:hAnsi="Arial Narrow"/>
        </w:rPr>
        <w:t xml:space="preserve"> The </w:t>
      </w:r>
      <w:r w:rsidR="00EF6134">
        <w:rPr>
          <w:rFonts w:ascii="Arial Narrow" w:hAnsi="Arial Narrow"/>
        </w:rPr>
        <w:t>Organisation</w:t>
      </w:r>
      <w:r w:rsidRPr="00B11D5E">
        <w:rPr>
          <w:rFonts w:ascii="Arial Narrow" w:hAnsi="Arial Narrow"/>
        </w:rPr>
        <w:t xml:space="preserve"> emphasizes strong data governance practices. Use of personal or sensitive data in AI systems must follow stringent privacy and security controls.</w:t>
      </w:r>
      <w:r>
        <w:rPr>
          <w:rFonts w:ascii="Arial Narrow" w:hAnsi="Arial Narrow"/>
        </w:rPr>
        <w:t xml:space="preserve"> </w:t>
      </w:r>
      <w:r w:rsidRPr="0082112A">
        <w:rPr>
          <w:rFonts w:ascii="Arial Narrow" w:hAnsi="Arial Narrow"/>
          <w:i/>
          <w:iCs/>
        </w:rPr>
        <w:t>(PR-1)</w:t>
      </w:r>
    </w:p>
    <w:p w14:paraId="11558B3E" w14:textId="77777777" w:rsidR="004C7883" w:rsidRPr="00B11D5E" w:rsidRDefault="004C7883" w:rsidP="004C7883">
      <w:pPr>
        <w:numPr>
          <w:ilvl w:val="0"/>
          <w:numId w:val="3"/>
        </w:numPr>
        <w:spacing w:after="80"/>
        <w:rPr>
          <w:rFonts w:ascii="Arial Narrow" w:hAnsi="Arial Narrow"/>
        </w:rPr>
      </w:pPr>
      <w:r w:rsidRPr="00B11D5E">
        <w:rPr>
          <w:rFonts w:ascii="Arial Narrow" w:hAnsi="Arial Narrow"/>
          <w:b/>
          <w:bCs/>
        </w:rPr>
        <w:t>Ethical and Reputational Impact</w:t>
      </w:r>
      <w:r w:rsidRPr="00B11D5E">
        <w:rPr>
          <w:rFonts w:ascii="Arial Narrow" w:hAnsi="Arial Narrow"/>
        </w:rPr>
        <w:t xml:space="preserve">: </w:t>
      </w:r>
      <w:r w:rsidRPr="00B11D5E">
        <w:rPr>
          <w:rFonts w:ascii="Arial Narrow" w:hAnsi="Arial Narrow"/>
          <w:b/>
          <w:bCs/>
        </w:rPr>
        <w:t>Low to Moderate Tolerance.</w:t>
      </w:r>
      <w:r w:rsidRPr="00B11D5E">
        <w:rPr>
          <w:rFonts w:ascii="Arial Narrow" w:hAnsi="Arial Narrow"/>
        </w:rPr>
        <w:t xml:space="preserve"> AI systems that could result in significant ethical dilemmas or reputational damage must undergo thorough review and require approval from the Risk Management Committee.</w:t>
      </w:r>
      <w:r>
        <w:rPr>
          <w:rFonts w:ascii="Arial Narrow" w:hAnsi="Arial Narrow"/>
        </w:rPr>
        <w:t xml:space="preserve"> </w:t>
      </w:r>
      <w:r w:rsidRPr="0082112A">
        <w:rPr>
          <w:rFonts w:ascii="Arial Narrow" w:hAnsi="Arial Narrow"/>
          <w:i/>
          <w:iCs/>
        </w:rPr>
        <w:t>(RS-5, CO-2)</w:t>
      </w:r>
    </w:p>
    <w:p w14:paraId="19CB79A1" w14:textId="00CDB564" w:rsidR="004C7883" w:rsidRPr="00B11D5E" w:rsidRDefault="004C7883" w:rsidP="004C7883">
      <w:pPr>
        <w:numPr>
          <w:ilvl w:val="0"/>
          <w:numId w:val="3"/>
        </w:numPr>
        <w:rPr>
          <w:rFonts w:ascii="Arial Narrow" w:hAnsi="Arial Narrow"/>
        </w:rPr>
      </w:pPr>
      <w:r w:rsidRPr="00B11D5E">
        <w:rPr>
          <w:rFonts w:ascii="Arial Narrow" w:hAnsi="Arial Narrow"/>
          <w:b/>
          <w:bCs/>
        </w:rPr>
        <w:t>Operational Disruption</w:t>
      </w:r>
      <w:r w:rsidRPr="00B11D5E">
        <w:rPr>
          <w:rFonts w:ascii="Arial Narrow" w:hAnsi="Arial Narrow"/>
        </w:rPr>
        <w:t xml:space="preserve">: </w:t>
      </w:r>
      <w:r w:rsidRPr="00B11D5E">
        <w:rPr>
          <w:rFonts w:ascii="Arial Narrow" w:hAnsi="Arial Narrow"/>
          <w:b/>
          <w:bCs/>
        </w:rPr>
        <w:t>Moderate Tolerance.</w:t>
      </w:r>
      <w:r w:rsidRPr="00B11D5E">
        <w:rPr>
          <w:rFonts w:ascii="Arial Narrow" w:hAnsi="Arial Narrow"/>
        </w:rPr>
        <w:t xml:space="preserve"> The </w:t>
      </w:r>
      <w:r w:rsidR="00EF6134">
        <w:rPr>
          <w:rFonts w:ascii="Arial Narrow" w:hAnsi="Arial Narrow"/>
        </w:rPr>
        <w:t>Organisation</w:t>
      </w:r>
      <w:r w:rsidRPr="00B11D5E">
        <w:rPr>
          <w:rFonts w:ascii="Arial Narrow" w:hAnsi="Arial Narrow"/>
        </w:rPr>
        <w:t xml:space="preserve"> allows a reasonable level of experimentation with AI solutions, but projects that present a high risk of severe operational disruption are subject to heightened controls and monitoring.</w:t>
      </w:r>
      <w:r>
        <w:rPr>
          <w:rFonts w:ascii="Arial Narrow" w:hAnsi="Arial Narrow"/>
        </w:rPr>
        <w:t xml:space="preserve"> </w:t>
      </w:r>
      <w:r w:rsidRPr="0082112A">
        <w:rPr>
          <w:rFonts w:ascii="Arial Narrow" w:hAnsi="Arial Narrow"/>
          <w:i/>
          <w:iCs/>
        </w:rPr>
        <w:t>(OM-1)</w:t>
      </w:r>
    </w:p>
    <w:p w14:paraId="2E05E07E" w14:textId="1D74C833" w:rsidR="004C7883" w:rsidRPr="00B11D5E" w:rsidRDefault="004C7883" w:rsidP="004C7883">
      <w:pPr>
        <w:rPr>
          <w:rFonts w:ascii="Arial Narrow" w:hAnsi="Arial Narrow"/>
        </w:rPr>
      </w:pPr>
      <w:r w:rsidRPr="00B11D5E">
        <w:rPr>
          <w:rFonts w:ascii="Arial Narrow" w:hAnsi="Arial Narrow"/>
          <w:b/>
          <w:bCs/>
        </w:rPr>
        <w:t>4.3 Ongoing Assessment of Appetite and Tolerance</w:t>
      </w:r>
      <w:r w:rsidRPr="00B11D5E">
        <w:rPr>
          <w:rFonts w:ascii="Arial Narrow" w:hAnsi="Arial Narrow"/>
        </w:rPr>
        <w:br/>
        <w:t xml:space="preserve">The Risk Management Committee (RMC) shall review the stated risk appetite and tolerance levels at least annually or in response to major </w:t>
      </w:r>
      <w:r w:rsidR="00EF6134">
        <w:rPr>
          <w:rFonts w:ascii="Arial Narrow" w:hAnsi="Arial Narrow"/>
        </w:rPr>
        <w:t>organisation</w:t>
      </w:r>
      <w:r w:rsidRPr="00B11D5E">
        <w:rPr>
          <w:rFonts w:ascii="Arial Narrow" w:hAnsi="Arial Narrow"/>
        </w:rPr>
        <w:t>al or regulatory changes. Revisions to these thresholds require formal endorsement by Executive Leadership.</w:t>
      </w:r>
    </w:p>
    <w:p w14:paraId="328214CC" w14:textId="77777777" w:rsidR="004C7883" w:rsidRPr="00B11D5E" w:rsidRDefault="004C7883" w:rsidP="004C7883">
      <w:pPr>
        <w:rPr>
          <w:rFonts w:ascii="Arial Narrow" w:hAnsi="Arial Narrow"/>
          <w:b/>
          <w:bCs/>
          <w:u w:val="single"/>
        </w:rPr>
      </w:pPr>
      <w:r w:rsidRPr="00B11D5E">
        <w:rPr>
          <w:rFonts w:ascii="Arial Narrow" w:hAnsi="Arial Narrow"/>
          <w:b/>
          <w:bCs/>
          <w:u w:val="single"/>
        </w:rPr>
        <w:t>5. Policy Statement</w:t>
      </w:r>
    </w:p>
    <w:p w14:paraId="4364937A" w14:textId="7E450D59" w:rsidR="004C7883" w:rsidRPr="00B11D5E" w:rsidRDefault="004C7883" w:rsidP="004C7883">
      <w:pPr>
        <w:rPr>
          <w:rFonts w:ascii="Arial Narrow" w:hAnsi="Arial Narrow"/>
        </w:rPr>
      </w:pPr>
      <w:r w:rsidRPr="00B11D5E">
        <w:rPr>
          <w:rFonts w:ascii="Arial Narrow" w:hAnsi="Arial Narrow"/>
        </w:rPr>
        <w:t xml:space="preserve">The </w:t>
      </w:r>
      <w:r w:rsidR="00EF6134">
        <w:rPr>
          <w:rFonts w:ascii="Arial Narrow" w:hAnsi="Arial Narrow"/>
        </w:rPr>
        <w:t>Organisation</w:t>
      </w:r>
      <w:r w:rsidRPr="00B11D5E">
        <w:rPr>
          <w:rFonts w:ascii="Arial Narrow" w:hAnsi="Arial Narrow"/>
        </w:rPr>
        <w:t xml:space="preserve"> is committed to systematically identifying, assessing, and mitigating risks arising from AI systems at every stage of their lifecycle. All AI initiatives shall be subject to rigorous risk evaluation processes, aligned with the </w:t>
      </w:r>
      <w:r w:rsidR="00EF6134">
        <w:rPr>
          <w:rFonts w:ascii="Arial Narrow" w:hAnsi="Arial Narrow"/>
        </w:rPr>
        <w:t>Organisation</w:t>
      </w:r>
      <w:r w:rsidRPr="00B11D5E">
        <w:rPr>
          <w:rFonts w:ascii="Arial Narrow" w:hAnsi="Arial Narrow"/>
        </w:rPr>
        <w:t>’s risk appetite (Section 4.1) and tolerance levels (Section 4.2). This Policy establishes clear accountabilities and controls to ensure AI-related risks are managed proactively, transparently, and in compliance with applicable regulations and internal guidelines.</w:t>
      </w:r>
      <w:r>
        <w:rPr>
          <w:rFonts w:ascii="Arial Narrow" w:hAnsi="Arial Narrow"/>
        </w:rPr>
        <w:t xml:space="preserve"> </w:t>
      </w:r>
      <w:r w:rsidRPr="0082112A">
        <w:rPr>
          <w:rFonts w:ascii="Arial Narrow" w:hAnsi="Arial Narrow"/>
          <w:i/>
          <w:iCs/>
        </w:rPr>
        <w:t>(RM-1)</w:t>
      </w:r>
    </w:p>
    <w:p w14:paraId="047A8019" w14:textId="77777777" w:rsidR="004C7883" w:rsidRPr="00B11D5E" w:rsidRDefault="004C7883" w:rsidP="004C7883">
      <w:pPr>
        <w:rPr>
          <w:rFonts w:ascii="Arial Narrow" w:hAnsi="Arial Narrow"/>
          <w:b/>
          <w:bCs/>
          <w:u w:val="single"/>
        </w:rPr>
      </w:pPr>
      <w:r w:rsidRPr="00B11D5E">
        <w:rPr>
          <w:rFonts w:ascii="Arial Narrow" w:hAnsi="Arial Narrow"/>
          <w:b/>
          <w:bCs/>
          <w:u w:val="single"/>
        </w:rPr>
        <w:t>6. Risk Management Framework</w:t>
      </w:r>
    </w:p>
    <w:p w14:paraId="6A90EB36" w14:textId="77777777" w:rsidR="004C7883" w:rsidRPr="00196413" w:rsidRDefault="004C7883" w:rsidP="004C7883">
      <w:pPr>
        <w:rPr>
          <w:rFonts w:ascii="Arial Narrow" w:hAnsi="Arial Narrow"/>
        </w:rPr>
      </w:pPr>
      <w:r w:rsidRPr="00196413">
        <w:rPr>
          <w:rFonts w:ascii="Arial Narrow" w:hAnsi="Arial Narrow"/>
        </w:rPr>
        <w:t>This Policy implements a structured and proactive framework for managing AI risk, cover</w:t>
      </w:r>
      <w:r>
        <w:rPr>
          <w:rFonts w:ascii="Arial Narrow" w:hAnsi="Arial Narrow"/>
        </w:rPr>
        <w:t>ing</w:t>
      </w:r>
      <w:r w:rsidRPr="00196413">
        <w:rPr>
          <w:rFonts w:ascii="Arial Narrow" w:hAnsi="Arial Narrow"/>
        </w:rPr>
        <w:t xml:space="preserve"> the full lifecycle of AI risk activities—risk categorisation, identification, assessment, and control selection. The framework ensures that all AI-related risks are surfaced early, assessed consistently, treated appropriately, and monitored effectively throughout the AI System lifecycle. The core components of this framework are described below</w:t>
      </w:r>
      <w:r>
        <w:rPr>
          <w:rFonts w:ascii="Arial Narrow" w:hAnsi="Arial Narrow"/>
        </w:rPr>
        <w:t>, supported by additional guidance published as required by the RMC.</w:t>
      </w:r>
    </w:p>
    <w:p w14:paraId="549C764B" w14:textId="77777777" w:rsidR="004C7883" w:rsidRPr="00196413" w:rsidRDefault="004C7883" w:rsidP="004C7883">
      <w:pPr>
        <w:rPr>
          <w:rFonts w:ascii="Arial Narrow" w:hAnsi="Arial Narrow"/>
          <w:b/>
          <w:bCs/>
        </w:rPr>
      </w:pPr>
      <w:r w:rsidRPr="00196413">
        <w:rPr>
          <w:rFonts w:ascii="Arial Narrow" w:hAnsi="Arial Narrow"/>
          <w:b/>
          <w:bCs/>
        </w:rPr>
        <w:t>6.1 Risk Identification</w:t>
      </w:r>
    </w:p>
    <w:p w14:paraId="117308DF" w14:textId="77777777" w:rsidR="004C7883" w:rsidRPr="00196413" w:rsidRDefault="004C7883" w:rsidP="004C7883">
      <w:pPr>
        <w:rPr>
          <w:rFonts w:ascii="Arial Narrow" w:hAnsi="Arial Narrow"/>
        </w:rPr>
      </w:pPr>
      <w:r w:rsidRPr="00196413">
        <w:rPr>
          <w:rFonts w:ascii="Arial Narrow" w:hAnsi="Arial Narrow"/>
        </w:rPr>
        <w:t xml:space="preserve">AI risks </w:t>
      </w:r>
      <w:r>
        <w:rPr>
          <w:rFonts w:ascii="Arial Narrow" w:hAnsi="Arial Narrow"/>
        </w:rPr>
        <w:t>should</w:t>
      </w:r>
      <w:r w:rsidRPr="00196413">
        <w:rPr>
          <w:rFonts w:ascii="Arial Narrow" w:hAnsi="Arial Narrow"/>
        </w:rPr>
        <w:t xml:space="preserve"> be identified systematically, beginning as early as the ideation or proposal stage of a project and continuing through development, deployment, and operations. Teams </w:t>
      </w:r>
      <w:r>
        <w:rPr>
          <w:rFonts w:ascii="Arial Narrow" w:hAnsi="Arial Narrow"/>
        </w:rPr>
        <w:t xml:space="preserve">are expected to inquire </w:t>
      </w:r>
      <w:r w:rsidRPr="00196413">
        <w:rPr>
          <w:rFonts w:ascii="Arial Narrow" w:hAnsi="Arial Narrow"/>
        </w:rPr>
        <w:t>beyond generic checklists to uncover AI-specific risk types, including technical, ethical, operational, and strategic risks.</w:t>
      </w:r>
      <w:r>
        <w:rPr>
          <w:rFonts w:ascii="Arial Narrow" w:hAnsi="Arial Narrow"/>
        </w:rPr>
        <w:t xml:space="preserve"> </w:t>
      </w:r>
      <w:r w:rsidRPr="0082112A">
        <w:rPr>
          <w:rFonts w:ascii="Arial Narrow" w:hAnsi="Arial Narrow"/>
          <w:i/>
          <w:iCs/>
        </w:rPr>
        <w:t>(</w:t>
      </w:r>
      <w:r>
        <w:rPr>
          <w:rFonts w:ascii="Arial Narrow" w:hAnsi="Arial Narrow"/>
          <w:i/>
          <w:iCs/>
        </w:rPr>
        <w:t xml:space="preserve">RM-2, </w:t>
      </w:r>
      <w:r w:rsidRPr="0082112A">
        <w:rPr>
          <w:rFonts w:ascii="Arial Narrow" w:hAnsi="Arial Narrow"/>
          <w:i/>
          <w:iCs/>
        </w:rPr>
        <w:t>IM-1)</w:t>
      </w:r>
    </w:p>
    <w:p w14:paraId="76E572C9" w14:textId="77777777" w:rsidR="004C7883" w:rsidRDefault="004C7883">
      <w:pPr>
        <w:rPr>
          <w:rFonts w:ascii="Arial Narrow" w:hAnsi="Arial Narrow"/>
        </w:rPr>
      </w:pPr>
      <w:r>
        <w:rPr>
          <w:rFonts w:ascii="Arial Narrow" w:hAnsi="Arial Narrow"/>
        </w:rPr>
        <w:br w:type="page"/>
      </w:r>
    </w:p>
    <w:p w14:paraId="0527FC87" w14:textId="78B946FE" w:rsidR="004C7883" w:rsidRPr="00196413" w:rsidRDefault="004C7883" w:rsidP="004C7883">
      <w:pPr>
        <w:spacing w:after="80"/>
        <w:rPr>
          <w:rFonts w:ascii="Arial Narrow" w:hAnsi="Arial Narrow"/>
        </w:rPr>
      </w:pPr>
      <w:r w:rsidRPr="00196413">
        <w:rPr>
          <w:rFonts w:ascii="Arial Narrow" w:hAnsi="Arial Narrow"/>
        </w:rPr>
        <w:lastRenderedPageBreak/>
        <w:t>Recommended methods</w:t>
      </w:r>
      <w:r>
        <w:rPr>
          <w:rFonts w:ascii="Arial Narrow" w:hAnsi="Arial Narrow"/>
        </w:rPr>
        <w:t xml:space="preserve"> for risk identification</w:t>
      </w:r>
      <w:r w:rsidRPr="00196413">
        <w:rPr>
          <w:rFonts w:ascii="Arial Narrow" w:hAnsi="Arial Narrow"/>
        </w:rPr>
        <w:t xml:space="preserve"> include:</w:t>
      </w:r>
    </w:p>
    <w:p w14:paraId="6A0F6C48" w14:textId="77777777" w:rsidR="004C7883" w:rsidRPr="00196413" w:rsidRDefault="004C7883" w:rsidP="004C7883">
      <w:pPr>
        <w:numPr>
          <w:ilvl w:val="0"/>
          <w:numId w:val="10"/>
        </w:numPr>
        <w:spacing w:after="80"/>
        <w:rPr>
          <w:rFonts w:ascii="Arial Narrow" w:hAnsi="Arial Narrow"/>
        </w:rPr>
      </w:pPr>
      <w:r w:rsidRPr="00196413">
        <w:rPr>
          <w:rFonts w:ascii="Arial Narrow" w:hAnsi="Arial Narrow"/>
          <w:b/>
          <w:bCs/>
        </w:rPr>
        <w:t>Pre-mortem analysis</w:t>
      </w:r>
      <w:r w:rsidRPr="00196413">
        <w:rPr>
          <w:rFonts w:ascii="Arial Narrow" w:hAnsi="Arial Narrow"/>
        </w:rPr>
        <w:t>: Envisioning plausible future failures and working backward to identify contributing factors.</w:t>
      </w:r>
    </w:p>
    <w:p w14:paraId="6CB9EA8F" w14:textId="77777777" w:rsidR="004C7883" w:rsidRPr="00196413" w:rsidRDefault="004C7883" w:rsidP="004C7883">
      <w:pPr>
        <w:numPr>
          <w:ilvl w:val="0"/>
          <w:numId w:val="10"/>
        </w:numPr>
        <w:spacing w:after="80"/>
        <w:rPr>
          <w:rFonts w:ascii="Arial Narrow" w:hAnsi="Arial Narrow"/>
        </w:rPr>
      </w:pPr>
      <w:r w:rsidRPr="00196413">
        <w:rPr>
          <w:rFonts w:ascii="Arial Narrow" w:hAnsi="Arial Narrow"/>
          <w:b/>
          <w:bCs/>
        </w:rPr>
        <w:t>Incident pattern mining</w:t>
      </w:r>
      <w:r w:rsidRPr="00196413">
        <w:rPr>
          <w:rFonts w:ascii="Arial Narrow" w:hAnsi="Arial Narrow"/>
        </w:rPr>
        <w:t>: Learning from historical AI failures and external incident databases.</w:t>
      </w:r>
    </w:p>
    <w:p w14:paraId="33685913" w14:textId="77777777" w:rsidR="004C7883" w:rsidRPr="00196413" w:rsidRDefault="004C7883" w:rsidP="004C7883">
      <w:pPr>
        <w:numPr>
          <w:ilvl w:val="0"/>
          <w:numId w:val="10"/>
        </w:numPr>
        <w:spacing w:after="80"/>
        <w:rPr>
          <w:rFonts w:ascii="Arial Narrow" w:hAnsi="Arial Narrow"/>
        </w:rPr>
      </w:pPr>
      <w:r w:rsidRPr="00196413">
        <w:rPr>
          <w:rFonts w:ascii="Arial Narrow" w:hAnsi="Arial Narrow"/>
          <w:b/>
          <w:bCs/>
        </w:rPr>
        <w:t>Horizon scanning</w:t>
      </w:r>
      <w:r w:rsidRPr="00196413">
        <w:rPr>
          <w:rFonts w:ascii="Arial Narrow" w:hAnsi="Arial Narrow"/>
        </w:rPr>
        <w:t>: Identifying risks across short, medium, and long-term timeframes.</w:t>
      </w:r>
    </w:p>
    <w:p w14:paraId="452E01BF" w14:textId="77777777" w:rsidR="004C7883" w:rsidRPr="00196413" w:rsidRDefault="004C7883" w:rsidP="004C7883">
      <w:pPr>
        <w:numPr>
          <w:ilvl w:val="0"/>
          <w:numId w:val="10"/>
        </w:numPr>
        <w:spacing w:after="80"/>
        <w:rPr>
          <w:rFonts w:ascii="Arial Narrow" w:hAnsi="Arial Narrow"/>
        </w:rPr>
      </w:pPr>
      <w:proofErr w:type="gramStart"/>
      <w:r w:rsidRPr="00196413">
        <w:rPr>
          <w:rFonts w:ascii="Arial Narrow" w:hAnsi="Arial Narrow"/>
          <w:b/>
          <w:bCs/>
        </w:rPr>
        <w:t>Red-teaming</w:t>
      </w:r>
      <w:proofErr w:type="gramEnd"/>
      <w:r w:rsidRPr="00196413">
        <w:rPr>
          <w:rFonts w:ascii="Arial Narrow" w:hAnsi="Arial Narrow"/>
        </w:rPr>
        <w:t>: Simulating adversarial attacks or misuse scenarios.</w:t>
      </w:r>
    </w:p>
    <w:p w14:paraId="1105E00B" w14:textId="77777777" w:rsidR="004C7883" w:rsidRPr="00196413" w:rsidRDefault="004C7883" w:rsidP="004C7883">
      <w:pPr>
        <w:numPr>
          <w:ilvl w:val="0"/>
          <w:numId w:val="10"/>
        </w:numPr>
        <w:rPr>
          <w:rFonts w:ascii="Arial Narrow" w:hAnsi="Arial Narrow"/>
        </w:rPr>
      </w:pPr>
      <w:r w:rsidRPr="00196413">
        <w:rPr>
          <w:rFonts w:ascii="Arial Narrow" w:hAnsi="Arial Narrow"/>
          <w:b/>
          <w:bCs/>
        </w:rPr>
        <w:t>Dependency chain analysis</w:t>
      </w:r>
      <w:r w:rsidRPr="00196413">
        <w:rPr>
          <w:rFonts w:ascii="Arial Narrow" w:hAnsi="Arial Narrow"/>
        </w:rPr>
        <w:t>: Mapping out upstream and downstream components that influence the AI system’s stability or integrity.</w:t>
      </w:r>
    </w:p>
    <w:p w14:paraId="2970CFCD" w14:textId="77777777" w:rsidR="004C7883" w:rsidRPr="00196413" w:rsidRDefault="004C7883" w:rsidP="004C7883">
      <w:pPr>
        <w:rPr>
          <w:rFonts w:ascii="Arial Narrow" w:hAnsi="Arial Narrow"/>
        </w:rPr>
      </w:pPr>
      <w:r w:rsidRPr="00196413">
        <w:rPr>
          <w:rFonts w:ascii="Arial Narrow" w:hAnsi="Arial Narrow"/>
        </w:rPr>
        <w:t>At least one structured technique (e.g. a pre-mortem or red-teaming workshop) must be applied for each major AI project. Identified risks shall be recorded in the AI Risk Register along with their source, description, and associated context. Risks must be revisited periodically and updated following incidents or system changes.</w:t>
      </w:r>
    </w:p>
    <w:p w14:paraId="67E0C216" w14:textId="77777777" w:rsidR="004C7883" w:rsidRPr="00196413" w:rsidRDefault="004C7883" w:rsidP="004C7883">
      <w:pPr>
        <w:rPr>
          <w:rFonts w:ascii="Arial Narrow" w:hAnsi="Arial Narrow"/>
          <w:b/>
          <w:bCs/>
        </w:rPr>
      </w:pPr>
      <w:r w:rsidRPr="00196413">
        <w:rPr>
          <w:rFonts w:ascii="Arial Narrow" w:hAnsi="Arial Narrow"/>
          <w:b/>
          <w:bCs/>
        </w:rPr>
        <w:t xml:space="preserve">6.2 Risk Assessment </w:t>
      </w:r>
    </w:p>
    <w:p w14:paraId="3482C54C" w14:textId="77777777" w:rsidR="004C7883" w:rsidRPr="00196413" w:rsidRDefault="004C7883" w:rsidP="004C7883">
      <w:pPr>
        <w:spacing w:after="80"/>
        <w:rPr>
          <w:rFonts w:ascii="Arial Narrow" w:hAnsi="Arial Narrow"/>
        </w:rPr>
      </w:pPr>
      <w:r w:rsidRPr="00196413">
        <w:rPr>
          <w:rFonts w:ascii="Arial Narrow" w:hAnsi="Arial Narrow"/>
        </w:rPr>
        <w:t xml:space="preserve">Each identified risk must be formally assessed </w:t>
      </w:r>
      <w:r>
        <w:rPr>
          <w:rFonts w:ascii="Arial Narrow" w:hAnsi="Arial Narrow"/>
        </w:rPr>
        <w:t>according to guidance published by the RMC</w:t>
      </w:r>
      <w:r w:rsidRPr="00196413">
        <w:rPr>
          <w:rFonts w:ascii="Arial Narrow" w:hAnsi="Arial Narrow"/>
        </w:rPr>
        <w:t>. This includes four key elements:</w:t>
      </w:r>
    </w:p>
    <w:p w14:paraId="17D7BF64" w14:textId="77777777" w:rsidR="004C7883" w:rsidRPr="00196413" w:rsidRDefault="004C7883" w:rsidP="004C7883">
      <w:pPr>
        <w:numPr>
          <w:ilvl w:val="0"/>
          <w:numId w:val="11"/>
        </w:numPr>
        <w:spacing w:after="80"/>
        <w:rPr>
          <w:rFonts w:ascii="Arial Narrow" w:hAnsi="Arial Narrow"/>
        </w:rPr>
      </w:pPr>
      <w:r w:rsidRPr="00196413">
        <w:rPr>
          <w:rFonts w:ascii="Arial Narrow" w:hAnsi="Arial Narrow"/>
          <w:b/>
          <w:bCs/>
        </w:rPr>
        <w:t>Likelihood</w:t>
      </w:r>
      <w:r w:rsidRPr="00196413">
        <w:rPr>
          <w:rFonts w:ascii="Arial Narrow" w:hAnsi="Arial Narrow"/>
        </w:rPr>
        <w:t>: How probable it is that the risk will occur, scored on a five-point qualitative scale.</w:t>
      </w:r>
    </w:p>
    <w:p w14:paraId="4AD61D71" w14:textId="77777777" w:rsidR="004C7883" w:rsidRPr="00196413" w:rsidRDefault="004C7883" w:rsidP="004C7883">
      <w:pPr>
        <w:numPr>
          <w:ilvl w:val="0"/>
          <w:numId w:val="11"/>
        </w:numPr>
        <w:spacing w:after="80"/>
        <w:rPr>
          <w:rFonts w:ascii="Arial Narrow" w:hAnsi="Arial Narrow"/>
        </w:rPr>
      </w:pPr>
      <w:r w:rsidRPr="00196413">
        <w:rPr>
          <w:rFonts w:ascii="Arial Narrow" w:hAnsi="Arial Narrow"/>
          <w:b/>
          <w:bCs/>
        </w:rPr>
        <w:t>Impact severity</w:t>
      </w:r>
      <w:r w:rsidRPr="00196413">
        <w:rPr>
          <w:rFonts w:ascii="Arial Narrow" w:hAnsi="Arial Narrow"/>
        </w:rPr>
        <w:t>: The potential harm or consequence of the risk materialising, considering legal, operational, financial, or reputational damage.</w:t>
      </w:r>
    </w:p>
    <w:p w14:paraId="13346826" w14:textId="2F943D84" w:rsidR="004C7883" w:rsidRPr="00196413" w:rsidRDefault="004C7883" w:rsidP="004C7883">
      <w:pPr>
        <w:numPr>
          <w:ilvl w:val="0"/>
          <w:numId w:val="11"/>
        </w:numPr>
        <w:spacing w:after="80"/>
        <w:rPr>
          <w:rFonts w:ascii="Arial Narrow" w:hAnsi="Arial Narrow"/>
        </w:rPr>
      </w:pPr>
      <w:r w:rsidRPr="00196413">
        <w:rPr>
          <w:rFonts w:ascii="Arial Narrow" w:hAnsi="Arial Narrow"/>
          <w:b/>
          <w:bCs/>
        </w:rPr>
        <w:t>Impact velocity</w:t>
      </w:r>
      <w:r w:rsidRPr="00196413">
        <w:rPr>
          <w:rFonts w:ascii="Arial Narrow" w:hAnsi="Arial Narrow"/>
        </w:rPr>
        <w:t xml:space="preserve">: How quickly the risk could unfold and affect the </w:t>
      </w:r>
      <w:r w:rsidR="00EF6134">
        <w:rPr>
          <w:rFonts w:ascii="Arial Narrow" w:hAnsi="Arial Narrow"/>
        </w:rPr>
        <w:t>organisation</w:t>
      </w:r>
      <w:r w:rsidRPr="00196413">
        <w:rPr>
          <w:rFonts w:ascii="Arial Narrow" w:hAnsi="Arial Narrow"/>
        </w:rPr>
        <w:t>, if triggered.</w:t>
      </w:r>
    </w:p>
    <w:p w14:paraId="5C8C2317" w14:textId="77777777" w:rsidR="004C7883" w:rsidRPr="00196413" w:rsidRDefault="004C7883" w:rsidP="004C7883">
      <w:pPr>
        <w:numPr>
          <w:ilvl w:val="0"/>
          <w:numId w:val="11"/>
        </w:numPr>
        <w:rPr>
          <w:rFonts w:ascii="Arial Narrow" w:hAnsi="Arial Narrow"/>
        </w:rPr>
      </w:pPr>
      <w:r w:rsidRPr="00196413">
        <w:rPr>
          <w:rFonts w:ascii="Arial Narrow" w:hAnsi="Arial Narrow"/>
          <w:b/>
          <w:bCs/>
        </w:rPr>
        <w:t>Dynamic feedback effects</w:t>
      </w:r>
      <w:r w:rsidRPr="00196413">
        <w:rPr>
          <w:rFonts w:ascii="Arial Narrow" w:hAnsi="Arial Narrow"/>
        </w:rPr>
        <w:t>: Whether the risk could self-amplify or create cascading failures, such as model feedback loops or emergent behaviours.</w:t>
      </w:r>
    </w:p>
    <w:p w14:paraId="072B066C" w14:textId="77777777" w:rsidR="004C7883" w:rsidRPr="00196413" w:rsidRDefault="004C7883" w:rsidP="004C7883">
      <w:pPr>
        <w:rPr>
          <w:rFonts w:ascii="Arial Narrow" w:hAnsi="Arial Narrow"/>
        </w:rPr>
      </w:pPr>
      <w:r w:rsidRPr="00196413">
        <w:rPr>
          <w:rFonts w:ascii="Arial Narrow" w:hAnsi="Arial Narrow"/>
        </w:rPr>
        <w:t>A 5x5 Risk Matrix is used to combine likelihood and impact. Risks with fast velocity or feedback potential must be prioritised even if their raw risk score appears moderate. These dynamic factors are particularly relevant to AI due to the self-adjusting nature of many systems and their potential for non-linear effects.</w:t>
      </w:r>
    </w:p>
    <w:p w14:paraId="18A20147" w14:textId="77777777" w:rsidR="004C7883" w:rsidRPr="00196413" w:rsidRDefault="004C7883" w:rsidP="004C7883">
      <w:pPr>
        <w:rPr>
          <w:rFonts w:ascii="Arial Narrow" w:hAnsi="Arial Narrow"/>
        </w:rPr>
      </w:pPr>
      <w:r w:rsidRPr="00196413">
        <w:rPr>
          <w:rFonts w:ascii="Arial Narrow" w:hAnsi="Arial Narrow"/>
        </w:rPr>
        <w:t>The overall risk classification (e.g., Low, Medium, High, Critical) will determine the required treatment pathway and level of governance oversight.</w:t>
      </w:r>
      <w:r>
        <w:rPr>
          <w:rFonts w:ascii="Arial Narrow" w:hAnsi="Arial Narrow"/>
        </w:rPr>
        <w:t xml:space="preserve"> </w:t>
      </w:r>
      <w:r w:rsidRPr="0082112A">
        <w:rPr>
          <w:rFonts w:ascii="Arial Narrow" w:hAnsi="Arial Narrow"/>
          <w:i/>
          <w:iCs/>
        </w:rPr>
        <w:t>(RM-2, RM-3)</w:t>
      </w:r>
    </w:p>
    <w:p w14:paraId="1A17C26F" w14:textId="77777777" w:rsidR="004C7883" w:rsidRPr="00196413" w:rsidRDefault="004C7883" w:rsidP="004C7883">
      <w:pPr>
        <w:rPr>
          <w:rFonts w:ascii="Arial Narrow" w:hAnsi="Arial Narrow"/>
          <w:b/>
          <w:bCs/>
        </w:rPr>
      </w:pPr>
      <w:r w:rsidRPr="00196413">
        <w:rPr>
          <w:rFonts w:ascii="Arial Narrow" w:hAnsi="Arial Narrow"/>
          <w:b/>
          <w:bCs/>
        </w:rPr>
        <w:t xml:space="preserve">6.3 Risk Control and Mitigation </w:t>
      </w:r>
    </w:p>
    <w:p w14:paraId="1C8AD44C" w14:textId="6BAE1B5A" w:rsidR="004C7883" w:rsidRPr="00196413" w:rsidRDefault="004C7883" w:rsidP="004C7883">
      <w:pPr>
        <w:rPr>
          <w:rFonts w:ascii="Arial Narrow" w:hAnsi="Arial Narrow"/>
        </w:rPr>
      </w:pPr>
      <w:r w:rsidRPr="00196413">
        <w:rPr>
          <w:rFonts w:ascii="Arial Narrow" w:hAnsi="Arial Narrow"/>
        </w:rPr>
        <w:t xml:space="preserve">For all risks rated Medium or higher, appropriate control measures must be selected. Control options and selection criteria are described in </w:t>
      </w:r>
      <w:r>
        <w:rPr>
          <w:rFonts w:ascii="Arial Narrow" w:hAnsi="Arial Narrow"/>
        </w:rPr>
        <w:t>guidance developed by the</w:t>
      </w:r>
      <w:r w:rsidRPr="00196413">
        <w:rPr>
          <w:rFonts w:ascii="Arial Narrow" w:hAnsi="Arial Narrow"/>
        </w:rPr>
        <w:t xml:space="preserve"> </w:t>
      </w:r>
      <w:r w:rsidR="00EF6134">
        <w:rPr>
          <w:rFonts w:ascii="Arial Narrow" w:hAnsi="Arial Narrow"/>
        </w:rPr>
        <w:t>organisation</w:t>
      </w:r>
      <w:r w:rsidRPr="00196413">
        <w:rPr>
          <w:rFonts w:ascii="Arial Narrow" w:hAnsi="Arial Narrow"/>
        </w:rPr>
        <w:t xml:space="preserve">’s AI Risk Management </w:t>
      </w:r>
      <w:r>
        <w:rPr>
          <w:rFonts w:ascii="Arial Narrow" w:hAnsi="Arial Narrow"/>
        </w:rPr>
        <w:t>Committee</w:t>
      </w:r>
      <w:r w:rsidRPr="00196413">
        <w:rPr>
          <w:rFonts w:ascii="Arial Narrow" w:hAnsi="Arial Narrow"/>
        </w:rPr>
        <w:t xml:space="preserve">. Controls </w:t>
      </w:r>
      <w:r>
        <w:rPr>
          <w:rFonts w:ascii="Arial Narrow" w:hAnsi="Arial Narrow"/>
        </w:rPr>
        <w:t>should</w:t>
      </w:r>
      <w:r w:rsidRPr="00196413">
        <w:rPr>
          <w:rFonts w:ascii="Arial Narrow" w:hAnsi="Arial Narrow"/>
        </w:rPr>
        <w:t xml:space="preserve"> be proportionate to the risk’s assessed level and aligned with the </w:t>
      </w:r>
      <w:r w:rsidR="00EF6134">
        <w:rPr>
          <w:rFonts w:ascii="Arial Narrow" w:hAnsi="Arial Narrow"/>
        </w:rPr>
        <w:t>organisation</w:t>
      </w:r>
      <w:r w:rsidRPr="00196413">
        <w:rPr>
          <w:rFonts w:ascii="Arial Narrow" w:hAnsi="Arial Narrow"/>
        </w:rPr>
        <w:t>’s stated risk appetite and tolerance thresholds.</w:t>
      </w:r>
    </w:p>
    <w:p w14:paraId="14FF3563" w14:textId="77777777" w:rsidR="004C7883" w:rsidRPr="00196413" w:rsidRDefault="004C7883" w:rsidP="004C7883">
      <w:pPr>
        <w:spacing w:after="80"/>
        <w:rPr>
          <w:rFonts w:ascii="Arial Narrow" w:hAnsi="Arial Narrow"/>
        </w:rPr>
      </w:pPr>
      <w:r w:rsidRPr="00196413">
        <w:rPr>
          <w:rFonts w:ascii="Arial Narrow" w:hAnsi="Arial Narrow"/>
        </w:rPr>
        <w:t>Examples of standard control types include:</w:t>
      </w:r>
    </w:p>
    <w:p w14:paraId="1DAFDF46" w14:textId="77777777" w:rsidR="004C7883" w:rsidRPr="00196413" w:rsidRDefault="004C7883" w:rsidP="004C7883">
      <w:pPr>
        <w:numPr>
          <w:ilvl w:val="0"/>
          <w:numId w:val="12"/>
        </w:numPr>
        <w:spacing w:after="80"/>
        <w:rPr>
          <w:rFonts w:ascii="Arial Narrow" w:hAnsi="Arial Narrow"/>
        </w:rPr>
      </w:pPr>
      <w:r w:rsidRPr="00196413">
        <w:rPr>
          <w:rFonts w:ascii="Arial Narrow" w:hAnsi="Arial Narrow"/>
          <w:b/>
          <w:bCs/>
        </w:rPr>
        <w:t>Technical controls</w:t>
      </w:r>
      <w:r w:rsidRPr="00196413">
        <w:rPr>
          <w:rFonts w:ascii="Arial Narrow" w:hAnsi="Arial Narrow"/>
        </w:rPr>
        <w:t>: Fairness testing, drift detection, model explainability enhancements, rate-limiting, or fail-safes.</w:t>
      </w:r>
    </w:p>
    <w:p w14:paraId="7F153EC4" w14:textId="77777777" w:rsidR="004C7883" w:rsidRPr="00196413" w:rsidRDefault="004C7883" w:rsidP="004C7883">
      <w:pPr>
        <w:numPr>
          <w:ilvl w:val="0"/>
          <w:numId w:val="12"/>
        </w:numPr>
        <w:spacing w:after="80"/>
        <w:rPr>
          <w:rFonts w:ascii="Arial Narrow" w:hAnsi="Arial Narrow"/>
        </w:rPr>
      </w:pPr>
      <w:r w:rsidRPr="00196413">
        <w:rPr>
          <w:rFonts w:ascii="Arial Narrow" w:hAnsi="Arial Narrow"/>
          <w:b/>
          <w:bCs/>
        </w:rPr>
        <w:t>Process controls</w:t>
      </w:r>
      <w:r w:rsidRPr="00196413">
        <w:rPr>
          <w:rFonts w:ascii="Arial Narrow" w:hAnsi="Arial Narrow"/>
        </w:rPr>
        <w:t>: Human-in-the-loop mechanisms, approval gates, governance reviews.</w:t>
      </w:r>
    </w:p>
    <w:p w14:paraId="6D15EA33" w14:textId="18E1D608" w:rsidR="004C7883" w:rsidRPr="00196413" w:rsidRDefault="00EF6134" w:rsidP="004C7883">
      <w:pPr>
        <w:numPr>
          <w:ilvl w:val="0"/>
          <w:numId w:val="12"/>
        </w:numPr>
        <w:spacing w:after="80"/>
        <w:rPr>
          <w:rFonts w:ascii="Arial Narrow" w:hAnsi="Arial Narrow"/>
        </w:rPr>
      </w:pPr>
      <w:r>
        <w:rPr>
          <w:rFonts w:ascii="Arial Narrow" w:hAnsi="Arial Narrow"/>
          <w:b/>
          <w:bCs/>
        </w:rPr>
        <w:t>Organisation</w:t>
      </w:r>
      <w:r w:rsidR="004C7883" w:rsidRPr="00196413">
        <w:rPr>
          <w:rFonts w:ascii="Arial Narrow" w:hAnsi="Arial Narrow"/>
          <w:b/>
          <w:bCs/>
        </w:rPr>
        <w:t>al controls</w:t>
      </w:r>
      <w:r w:rsidR="004C7883" w:rsidRPr="00196413">
        <w:rPr>
          <w:rFonts w:ascii="Arial Narrow" w:hAnsi="Arial Narrow"/>
        </w:rPr>
        <w:t>: Role-based access, escalation procedures, and training.</w:t>
      </w:r>
    </w:p>
    <w:p w14:paraId="7CC6903F" w14:textId="77777777" w:rsidR="004C7883" w:rsidRPr="00196413" w:rsidRDefault="004C7883" w:rsidP="004C7883">
      <w:pPr>
        <w:numPr>
          <w:ilvl w:val="0"/>
          <w:numId w:val="12"/>
        </w:numPr>
        <w:rPr>
          <w:rFonts w:ascii="Arial Narrow" w:hAnsi="Arial Narrow"/>
        </w:rPr>
      </w:pPr>
      <w:r w:rsidRPr="00196413">
        <w:rPr>
          <w:rFonts w:ascii="Arial Narrow" w:hAnsi="Arial Narrow"/>
          <w:b/>
          <w:bCs/>
        </w:rPr>
        <w:t>Third-party risk controls</w:t>
      </w:r>
      <w:r w:rsidRPr="00196413">
        <w:rPr>
          <w:rFonts w:ascii="Arial Narrow" w:hAnsi="Arial Narrow"/>
        </w:rPr>
        <w:t>: SLAs and contractual safeguards where AI systems are sourced externally.</w:t>
      </w:r>
    </w:p>
    <w:p w14:paraId="6898CC7A" w14:textId="77777777" w:rsidR="004C7883" w:rsidRPr="00196413" w:rsidRDefault="004C7883" w:rsidP="004C7883">
      <w:pPr>
        <w:rPr>
          <w:rFonts w:ascii="Arial Narrow" w:hAnsi="Arial Narrow"/>
        </w:rPr>
      </w:pPr>
      <w:r w:rsidRPr="00196413">
        <w:rPr>
          <w:rFonts w:ascii="Arial Narrow" w:hAnsi="Arial Narrow"/>
        </w:rPr>
        <w:t xml:space="preserve">Each control must be assigned to a </w:t>
      </w:r>
      <w:r w:rsidRPr="00196413">
        <w:rPr>
          <w:rFonts w:ascii="Arial Narrow" w:hAnsi="Arial Narrow"/>
          <w:b/>
          <w:bCs/>
        </w:rPr>
        <w:t>Control Owner</w:t>
      </w:r>
      <w:r w:rsidRPr="00196413">
        <w:rPr>
          <w:rFonts w:ascii="Arial Narrow" w:hAnsi="Arial Narrow"/>
        </w:rPr>
        <w:t xml:space="preserve"> who is responsible for implementation and for updating the risk’s treatment status. Where mitigation is not feasible, risks may be escalated for acceptance or avoidance decisions in accordance with defined approval thresholds.</w:t>
      </w:r>
    </w:p>
    <w:p w14:paraId="48E94D72" w14:textId="77777777" w:rsidR="004C7883" w:rsidRPr="00196413" w:rsidRDefault="004C7883" w:rsidP="004C7883">
      <w:pPr>
        <w:rPr>
          <w:rFonts w:ascii="Arial Narrow" w:hAnsi="Arial Narrow"/>
        </w:rPr>
      </w:pPr>
      <w:r w:rsidRPr="00196413">
        <w:rPr>
          <w:rFonts w:ascii="Arial Narrow" w:hAnsi="Arial Narrow"/>
        </w:rPr>
        <w:t>Residual risk—after controls have been applied—must be reassessed to confirm whether it falls within acceptable tolerance</w:t>
      </w:r>
      <w:r>
        <w:rPr>
          <w:rFonts w:ascii="Arial Narrow" w:hAnsi="Arial Narrow"/>
        </w:rPr>
        <w:t xml:space="preserve"> with the application of the selected controls</w:t>
      </w:r>
      <w:r w:rsidRPr="00196413">
        <w:rPr>
          <w:rFonts w:ascii="Arial Narrow" w:hAnsi="Arial Narrow"/>
        </w:rPr>
        <w:t>.</w:t>
      </w:r>
      <w:r>
        <w:rPr>
          <w:rFonts w:ascii="Arial Narrow" w:hAnsi="Arial Narrow"/>
        </w:rPr>
        <w:t xml:space="preserve"> </w:t>
      </w:r>
      <w:r w:rsidRPr="00196413">
        <w:rPr>
          <w:rFonts w:ascii="Arial Narrow" w:hAnsi="Arial Narrow"/>
          <w:i/>
          <w:iCs/>
        </w:rPr>
        <w:t>(RM-3, RS-</w:t>
      </w:r>
      <w:r w:rsidRPr="0082112A">
        <w:rPr>
          <w:rFonts w:ascii="Arial Narrow" w:hAnsi="Arial Narrow"/>
          <w:i/>
          <w:iCs/>
        </w:rPr>
        <w:t>5</w:t>
      </w:r>
      <w:r w:rsidRPr="00196413">
        <w:rPr>
          <w:rFonts w:ascii="Arial Narrow" w:hAnsi="Arial Narrow"/>
          <w:i/>
          <w:iCs/>
        </w:rPr>
        <w:t>)</w:t>
      </w:r>
    </w:p>
    <w:p w14:paraId="394CE22F" w14:textId="77777777" w:rsidR="004C7883" w:rsidRPr="00196413" w:rsidRDefault="004C7883" w:rsidP="004C7883">
      <w:pPr>
        <w:rPr>
          <w:rFonts w:ascii="Arial Narrow" w:hAnsi="Arial Narrow"/>
          <w:b/>
          <w:bCs/>
        </w:rPr>
      </w:pPr>
      <w:r w:rsidRPr="00196413">
        <w:rPr>
          <w:rFonts w:ascii="Arial Narrow" w:hAnsi="Arial Narrow"/>
          <w:b/>
          <w:bCs/>
        </w:rPr>
        <w:lastRenderedPageBreak/>
        <w:t xml:space="preserve">6.4 Risk Monitoring </w:t>
      </w:r>
    </w:p>
    <w:p w14:paraId="558E01C2" w14:textId="77777777" w:rsidR="004C7883" w:rsidRPr="00196413" w:rsidRDefault="004C7883" w:rsidP="004C7883">
      <w:pPr>
        <w:spacing w:after="80"/>
        <w:rPr>
          <w:rFonts w:ascii="Arial Narrow" w:hAnsi="Arial Narrow"/>
        </w:rPr>
      </w:pPr>
      <w:r w:rsidRPr="00196413">
        <w:rPr>
          <w:rFonts w:ascii="Arial Narrow" w:hAnsi="Arial Narrow"/>
        </w:rPr>
        <w:t>AI systems must be monitored on an ongoing basis for any indicators that an identified risk is emerging or that existing controls are no longer effective. This includes monitoring:</w:t>
      </w:r>
    </w:p>
    <w:p w14:paraId="43E663C4" w14:textId="77777777" w:rsidR="004C7883" w:rsidRPr="00196413" w:rsidRDefault="004C7883" w:rsidP="004C7883">
      <w:pPr>
        <w:numPr>
          <w:ilvl w:val="0"/>
          <w:numId w:val="13"/>
        </w:numPr>
        <w:spacing w:after="80"/>
        <w:rPr>
          <w:rFonts w:ascii="Arial Narrow" w:hAnsi="Arial Narrow"/>
        </w:rPr>
      </w:pPr>
      <w:r w:rsidRPr="00196413">
        <w:rPr>
          <w:rFonts w:ascii="Arial Narrow" w:hAnsi="Arial Narrow"/>
        </w:rPr>
        <w:t>Input data characteristics (e.g. distribution shifts, data quality degradation)</w:t>
      </w:r>
    </w:p>
    <w:p w14:paraId="788E2C71" w14:textId="77777777" w:rsidR="004C7883" w:rsidRPr="00196413" w:rsidRDefault="004C7883" w:rsidP="004C7883">
      <w:pPr>
        <w:numPr>
          <w:ilvl w:val="0"/>
          <w:numId w:val="13"/>
        </w:numPr>
        <w:spacing w:after="80"/>
        <w:rPr>
          <w:rFonts w:ascii="Arial Narrow" w:hAnsi="Arial Narrow"/>
        </w:rPr>
      </w:pPr>
      <w:r w:rsidRPr="00196413">
        <w:rPr>
          <w:rFonts w:ascii="Arial Narrow" w:hAnsi="Arial Narrow"/>
        </w:rPr>
        <w:t>Model performance metrics (e.g. accuracy, fairness, precision/recall)</w:t>
      </w:r>
    </w:p>
    <w:p w14:paraId="014BEDE1" w14:textId="77777777" w:rsidR="004C7883" w:rsidRPr="00196413" w:rsidRDefault="004C7883" w:rsidP="004C7883">
      <w:pPr>
        <w:numPr>
          <w:ilvl w:val="0"/>
          <w:numId w:val="13"/>
        </w:numPr>
        <w:spacing w:after="80"/>
        <w:rPr>
          <w:rFonts w:ascii="Arial Narrow" w:hAnsi="Arial Narrow"/>
        </w:rPr>
      </w:pPr>
      <w:r w:rsidRPr="00196413">
        <w:rPr>
          <w:rFonts w:ascii="Arial Narrow" w:hAnsi="Arial Narrow"/>
        </w:rPr>
        <w:t>System behaviour (e.g. anomalies, unexpected user outputs)</w:t>
      </w:r>
    </w:p>
    <w:p w14:paraId="58F189E8" w14:textId="77777777" w:rsidR="004C7883" w:rsidRPr="00196413" w:rsidRDefault="004C7883" w:rsidP="004C7883">
      <w:pPr>
        <w:numPr>
          <w:ilvl w:val="0"/>
          <w:numId w:val="13"/>
        </w:numPr>
        <w:rPr>
          <w:rFonts w:ascii="Arial Narrow" w:hAnsi="Arial Narrow"/>
        </w:rPr>
      </w:pPr>
      <w:r w:rsidRPr="00196413">
        <w:rPr>
          <w:rFonts w:ascii="Arial Narrow" w:hAnsi="Arial Narrow"/>
        </w:rPr>
        <w:t>User feedback, complaints, or error reports</w:t>
      </w:r>
    </w:p>
    <w:p w14:paraId="454479D3" w14:textId="6F2AA34B" w:rsidR="004C7883" w:rsidRPr="00196413" w:rsidRDefault="004C7883" w:rsidP="004C7883">
      <w:pPr>
        <w:rPr>
          <w:rFonts w:ascii="Arial Narrow" w:hAnsi="Arial Narrow"/>
        </w:rPr>
      </w:pPr>
      <w:r w:rsidRPr="00196413">
        <w:rPr>
          <w:rFonts w:ascii="Arial Narrow" w:hAnsi="Arial Narrow"/>
        </w:rPr>
        <w:t xml:space="preserve">Monitoring procedures must be documented for each AI system and aligned with the controls outlined in Section 6.3. Where possible, automated monitoring tools should be implemented. Thresholds and triggers must be established for key indicators, and any breaches must be escalated in accordance with the </w:t>
      </w:r>
      <w:r w:rsidR="00EF6134">
        <w:rPr>
          <w:rFonts w:ascii="Arial Narrow" w:hAnsi="Arial Narrow"/>
        </w:rPr>
        <w:t>organisation</w:t>
      </w:r>
      <w:r w:rsidRPr="00196413">
        <w:rPr>
          <w:rFonts w:ascii="Arial Narrow" w:hAnsi="Arial Narrow"/>
        </w:rPr>
        <w:t>’s Incident Management procedures.</w:t>
      </w:r>
      <w:r>
        <w:rPr>
          <w:rFonts w:ascii="Arial Narrow" w:hAnsi="Arial Narrow"/>
        </w:rPr>
        <w:t xml:space="preserve"> </w:t>
      </w:r>
      <w:r w:rsidRPr="00196413">
        <w:rPr>
          <w:rFonts w:ascii="Arial Narrow" w:hAnsi="Arial Narrow"/>
          <w:i/>
          <w:iCs/>
        </w:rPr>
        <w:t>(RM-4, IM-1, IM-2)</w:t>
      </w:r>
    </w:p>
    <w:p w14:paraId="6F027236" w14:textId="77777777" w:rsidR="004C7883" w:rsidRPr="00196413" w:rsidRDefault="004C7883" w:rsidP="004C7883">
      <w:pPr>
        <w:rPr>
          <w:rFonts w:ascii="Arial Narrow" w:hAnsi="Arial Narrow"/>
          <w:b/>
          <w:bCs/>
        </w:rPr>
      </w:pPr>
      <w:r w:rsidRPr="00196413">
        <w:rPr>
          <w:rFonts w:ascii="Arial Narrow" w:hAnsi="Arial Narrow"/>
          <w:b/>
          <w:bCs/>
        </w:rPr>
        <w:t xml:space="preserve">6.5 Continuous Improvement </w:t>
      </w:r>
    </w:p>
    <w:p w14:paraId="4BE4644C" w14:textId="77777777" w:rsidR="004C7883" w:rsidRPr="00196413" w:rsidRDefault="004C7883" w:rsidP="004C7883">
      <w:pPr>
        <w:spacing w:after="80"/>
        <w:rPr>
          <w:rFonts w:ascii="Arial Narrow" w:hAnsi="Arial Narrow"/>
        </w:rPr>
      </w:pPr>
      <w:r w:rsidRPr="00196413">
        <w:rPr>
          <w:rFonts w:ascii="Arial Narrow" w:hAnsi="Arial Narrow"/>
        </w:rPr>
        <w:t>The risk management framework must evolve with changing technologies, use cases, and regulatory expectations. The Risk Management Committee shall review emerging AI risk types and control approaches on a regular basis. Lessons learned from internal incidents, external case studies, audits, and stakeholder feedback shall inform periodic revisions to:</w:t>
      </w:r>
    </w:p>
    <w:p w14:paraId="13E899FE" w14:textId="77777777" w:rsidR="004C7883" w:rsidRPr="00196413" w:rsidRDefault="004C7883" w:rsidP="004C7883">
      <w:pPr>
        <w:numPr>
          <w:ilvl w:val="0"/>
          <w:numId w:val="14"/>
        </w:numPr>
        <w:spacing w:after="80"/>
        <w:rPr>
          <w:rFonts w:ascii="Arial Narrow" w:hAnsi="Arial Narrow"/>
        </w:rPr>
      </w:pPr>
      <w:r w:rsidRPr="00196413">
        <w:rPr>
          <w:rFonts w:ascii="Arial Narrow" w:hAnsi="Arial Narrow"/>
        </w:rPr>
        <w:t>The risk taxonomy and identification methods</w:t>
      </w:r>
    </w:p>
    <w:p w14:paraId="5D686BB4" w14:textId="77777777" w:rsidR="004C7883" w:rsidRPr="00196413" w:rsidRDefault="004C7883" w:rsidP="004C7883">
      <w:pPr>
        <w:numPr>
          <w:ilvl w:val="0"/>
          <w:numId w:val="14"/>
        </w:numPr>
        <w:spacing w:after="80"/>
        <w:rPr>
          <w:rFonts w:ascii="Arial Narrow" w:hAnsi="Arial Narrow"/>
        </w:rPr>
      </w:pPr>
      <w:r w:rsidRPr="00196413">
        <w:rPr>
          <w:rFonts w:ascii="Arial Narrow" w:hAnsi="Arial Narrow"/>
        </w:rPr>
        <w:t xml:space="preserve">The scoring and prioritisation model </w:t>
      </w:r>
    </w:p>
    <w:p w14:paraId="09F8CEB5" w14:textId="77777777" w:rsidR="004C7883" w:rsidRPr="00196413" w:rsidRDefault="004C7883" w:rsidP="004C7883">
      <w:pPr>
        <w:numPr>
          <w:ilvl w:val="0"/>
          <w:numId w:val="14"/>
        </w:numPr>
        <w:rPr>
          <w:rFonts w:ascii="Arial Narrow" w:hAnsi="Arial Narrow"/>
        </w:rPr>
      </w:pPr>
      <w:r w:rsidRPr="00196413">
        <w:rPr>
          <w:rFonts w:ascii="Arial Narrow" w:hAnsi="Arial Narrow"/>
        </w:rPr>
        <w:t xml:space="preserve">The catalogue of control strategies and treatment guidelines </w:t>
      </w:r>
    </w:p>
    <w:p w14:paraId="291EA1F7" w14:textId="6C1E8DB2" w:rsidR="004C7883" w:rsidRPr="00196413" w:rsidRDefault="004C7883" w:rsidP="004C7883">
      <w:pPr>
        <w:rPr>
          <w:rFonts w:ascii="Arial Narrow" w:hAnsi="Arial Narrow"/>
        </w:rPr>
      </w:pPr>
      <w:r w:rsidRPr="00196413">
        <w:rPr>
          <w:rFonts w:ascii="Arial Narrow" w:hAnsi="Arial Narrow"/>
        </w:rPr>
        <w:t xml:space="preserve">This ensures the </w:t>
      </w:r>
      <w:r w:rsidR="00EF6134">
        <w:rPr>
          <w:rFonts w:ascii="Arial Narrow" w:hAnsi="Arial Narrow"/>
        </w:rPr>
        <w:t>Organisation</w:t>
      </w:r>
      <w:r w:rsidRPr="00196413">
        <w:rPr>
          <w:rFonts w:ascii="Arial Narrow" w:hAnsi="Arial Narrow"/>
        </w:rPr>
        <w:t xml:space="preserve"> maintains a forward-looking, adaptive posture to AI risk, avoiding static frameworks that fail to reflect the real-world behaviour of complex AI systems.</w:t>
      </w:r>
      <w:r>
        <w:rPr>
          <w:rFonts w:ascii="Arial Narrow" w:hAnsi="Arial Narrow"/>
        </w:rPr>
        <w:t xml:space="preserve"> </w:t>
      </w:r>
      <w:r w:rsidRPr="00196413">
        <w:rPr>
          <w:rFonts w:ascii="Arial Narrow" w:hAnsi="Arial Narrow"/>
          <w:i/>
          <w:iCs/>
        </w:rPr>
        <w:t>(RM-4, GL-1)</w:t>
      </w:r>
    </w:p>
    <w:p w14:paraId="17383AA7" w14:textId="77777777" w:rsidR="004C7883" w:rsidRPr="00B11D5E" w:rsidRDefault="004C7883" w:rsidP="004C7883">
      <w:pPr>
        <w:rPr>
          <w:rFonts w:ascii="Arial Narrow" w:hAnsi="Arial Narrow"/>
          <w:b/>
          <w:bCs/>
          <w:u w:val="single"/>
        </w:rPr>
      </w:pPr>
      <w:r w:rsidRPr="00B11D5E">
        <w:rPr>
          <w:rFonts w:ascii="Arial Narrow" w:hAnsi="Arial Narrow"/>
          <w:b/>
          <w:bCs/>
          <w:u w:val="single"/>
        </w:rPr>
        <w:t>7. Roles and Responsibilities</w:t>
      </w:r>
    </w:p>
    <w:p w14:paraId="632EDBCD" w14:textId="77777777" w:rsidR="004C7883" w:rsidRPr="00B11D5E" w:rsidRDefault="004C7883" w:rsidP="004C7883">
      <w:pPr>
        <w:numPr>
          <w:ilvl w:val="0"/>
          <w:numId w:val="4"/>
        </w:numPr>
        <w:spacing w:after="80"/>
        <w:ind w:left="714" w:hanging="357"/>
        <w:rPr>
          <w:rFonts w:ascii="Arial Narrow" w:hAnsi="Arial Narrow"/>
        </w:rPr>
      </w:pPr>
      <w:r w:rsidRPr="00B11D5E">
        <w:rPr>
          <w:rFonts w:ascii="Arial Narrow" w:hAnsi="Arial Narrow"/>
          <w:b/>
          <w:bCs/>
        </w:rPr>
        <w:t>Project Leaders</w:t>
      </w:r>
      <w:r w:rsidRPr="00B11D5E">
        <w:rPr>
          <w:rFonts w:ascii="Arial Narrow" w:hAnsi="Arial Narrow"/>
        </w:rPr>
        <w:t>: Oversee initial and ongoing risk identification, ensuring all relevant risks are recorded and assessed against established risk tolerance levels.</w:t>
      </w:r>
    </w:p>
    <w:p w14:paraId="17B33E16" w14:textId="007A6FE1" w:rsidR="004C7883" w:rsidRPr="00B11D5E" w:rsidRDefault="004C7883" w:rsidP="004C7883">
      <w:pPr>
        <w:numPr>
          <w:ilvl w:val="0"/>
          <w:numId w:val="4"/>
        </w:numPr>
        <w:spacing w:after="80"/>
        <w:ind w:left="714" w:hanging="357"/>
        <w:rPr>
          <w:rFonts w:ascii="Arial Narrow" w:hAnsi="Arial Narrow"/>
        </w:rPr>
      </w:pPr>
      <w:r w:rsidRPr="00B11D5E">
        <w:rPr>
          <w:rFonts w:ascii="Arial Narrow" w:hAnsi="Arial Narrow"/>
          <w:b/>
          <w:bCs/>
        </w:rPr>
        <w:t>Risk Management Committee (RMC)</w:t>
      </w:r>
      <w:r w:rsidRPr="00B11D5E">
        <w:rPr>
          <w:rFonts w:ascii="Arial Narrow" w:hAnsi="Arial Narrow"/>
        </w:rPr>
        <w:t xml:space="preserve">: Provides oversight for AI risk management activities, reviews high-risk items or risks that exceed tolerance thresholds, and approves or denies exception requests. Responsible for revisiting the </w:t>
      </w:r>
      <w:r w:rsidR="00EF6134">
        <w:rPr>
          <w:rFonts w:ascii="Arial Narrow" w:hAnsi="Arial Narrow"/>
        </w:rPr>
        <w:t>organisation</w:t>
      </w:r>
      <w:r w:rsidRPr="00B11D5E">
        <w:rPr>
          <w:rFonts w:ascii="Arial Narrow" w:hAnsi="Arial Narrow"/>
        </w:rPr>
        <w:t xml:space="preserve">’s AI risk appetite in collaboration with </w:t>
      </w:r>
      <w:r>
        <w:rPr>
          <w:rFonts w:ascii="Arial Narrow" w:hAnsi="Arial Narrow"/>
        </w:rPr>
        <w:t>e</w:t>
      </w:r>
      <w:r w:rsidRPr="00B11D5E">
        <w:rPr>
          <w:rFonts w:ascii="Arial Narrow" w:hAnsi="Arial Narrow"/>
        </w:rPr>
        <w:t xml:space="preserve">xecutive </w:t>
      </w:r>
      <w:r>
        <w:rPr>
          <w:rFonts w:ascii="Arial Narrow" w:hAnsi="Arial Narrow"/>
        </w:rPr>
        <w:t>l</w:t>
      </w:r>
      <w:r w:rsidRPr="00B11D5E">
        <w:rPr>
          <w:rFonts w:ascii="Arial Narrow" w:hAnsi="Arial Narrow"/>
        </w:rPr>
        <w:t>eadership.</w:t>
      </w:r>
    </w:p>
    <w:p w14:paraId="52619A13" w14:textId="77777777" w:rsidR="004C7883" w:rsidRPr="00B11D5E" w:rsidRDefault="004C7883" w:rsidP="004C7883">
      <w:pPr>
        <w:numPr>
          <w:ilvl w:val="0"/>
          <w:numId w:val="4"/>
        </w:numPr>
        <w:spacing w:after="80"/>
        <w:ind w:left="714" w:hanging="357"/>
        <w:rPr>
          <w:rFonts w:ascii="Arial Narrow" w:hAnsi="Arial Narrow"/>
        </w:rPr>
      </w:pPr>
      <w:r w:rsidRPr="00B11D5E">
        <w:rPr>
          <w:rFonts w:ascii="Arial Narrow" w:hAnsi="Arial Narrow"/>
          <w:b/>
          <w:bCs/>
        </w:rPr>
        <w:t>Control Owners</w:t>
      </w:r>
      <w:r w:rsidRPr="00B11D5E">
        <w:rPr>
          <w:rFonts w:ascii="Arial Narrow" w:hAnsi="Arial Narrow"/>
        </w:rPr>
        <w:t>: Implement and maintain assigned controls, reporting on their effectiveness to the RMC as required.</w:t>
      </w:r>
    </w:p>
    <w:p w14:paraId="05609AB4" w14:textId="77777777" w:rsidR="004C7883" w:rsidRPr="00B11D5E" w:rsidRDefault="004C7883" w:rsidP="004C7883">
      <w:pPr>
        <w:numPr>
          <w:ilvl w:val="0"/>
          <w:numId w:val="4"/>
        </w:numPr>
        <w:spacing w:after="80"/>
        <w:ind w:left="714" w:hanging="357"/>
        <w:rPr>
          <w:rFonts w:ascii="Arial Narrow" w:hAnsi="Arial Narrow"/>
        </w:rPr>
      </w:pPr>
      <w:r w:rsidRPr="00B11D5E">
        <w:rPr>
          <w:rFonts w:ascii="Arial Narrow" w:hAnsi="Arial Narrow"/>
          <w:b/>
          <w:bCs/>
        </w:rPr>
        <w:t>Legal and Compliance</w:t>
      </w:r>
      <w:r w:rsidRPr="00B11D5E">
        <w:rPr>
          <w:rFonts w:ascii="Arial Narrow" w:hAnsi="Arial Narrow"/>
        </w:rPr>
        <w:t>: Monitors AI initiatives for regulatory compliance, alerts the RMC to significant legal or ethical concerns, and recommends additional controls if necessary.</w:t>
      </w:r>
    </w:p>
    <w:p w14:paraId="661BB006" w14:textId="77777777" w:rsidR="004C7883" w:rsidRPr="00B11D5E" w:rsidRDefault="004C7883" w:rsidP="004C7883">
      <w:pPr>
        <w:numPr>
          <w:ilvl w:val="0"/>
          <w:numId w:val="4"/>
        </w:numPr>
        <w:rPr>
          <w:rFonts w:ascii="Arial Narrow" w:hAnsi="Arial Narrow"/>
        </w:rPr>
      </w:pPr>
      <w:r w:rsidRPr="00B11D5E">
        <w:rPr>
          <w:rFonts w:ascii="Arial Narrow" w:hAnsi="Arial Narrow"/>
          <w:b/>
          <w:bCs/>
        </w:rPr>
        <w:t>Data Protection Officer (DPO)</w:t>
      </w:r>
      <w:r w:rsidRPr="00B11D5E">
        <w:rPr>
          <w:rFonts w:ascii="Arial Narrow" w:hAnsi="Arial Narrow"/>
        </w:rPr>
        <w:t>: Evaluates data-related risks, including privacy, data retention, and access controls for AI models that process personal or sensitive data.</w:t>
      </w:r>
    </w:p>
    <w:p w14:paraId="4F3CBEB4" w14:textId="77777777" w:rsidR="004C7883" w:rsidRPr="00B11D5E" w:rsidRDefault="004C7883" w:rsidP="004C7883">
      <w:pPr>
        <w:rPr>
          <w:rFonts w:ascii="Arial Narrow" w:hAnsi="Arial Narrow"/>
          <w:b/>
          <w:bCs/>
          <w:u w:val="single"/>
        </w:rPr>
      </w:pPr>
      <w:r w:rsidRPr="00B11D5E">
        <w:rPr>
          <w:rFonts w:ascii="Arial Narrow" w:hAnsi="Arial Narrow"/>
          <w:b/>
          <w:bCs/>
          <w:u w:val="single"/>
        </w:rPr>
        <w:t>8. Governance and Oversight</w:t>
      </w:r>
    </w:p>
    <w:p w14:paraId="686CE823" w14:textId="77777777" w:rsidR="004C7883" w:rsidRPr="00B11D5E" w:rsidRDefault="004C7883" w:rsidP="004C7883">
      <w:pPr>
        <w:spacing w:after="80"/>
        <w:rPr>
          <w:rFonts w:ascii="Arial Narrow" w:hAnsi="Arial Narrow"/>
        </w:rPr>
      </w:pPr>
      <w:r w:rsidRPr="00B11D5E">
        <w:rPr>
          <w:rFonts w:ascii="Arial Narrow" w:hAnsi="Arial Narrow"/>
        </w:rPr>
        <w:t xml:space="preserve">The RMC, functioning under the overarching AI Governance </w:t>
      </w:r>
      <w:r>
        <w:rPr>
          <w:rFonts w:ascii="Arial Narrow" w:hAnsi="Arial Narrow"/>
        </w:rPr>
        <w:t>Policy (GL-1)</w:t>
      </w:r>
      <w:r w:rsidRPr="00B11D5E">
        <w:rPr>
          <w:rFonts w:ascii="Arial Narrow" w:hAnsi="Arial Narrow"/>
        </w:rPr>
        <w:t>, shall:</w:t>
      </w:r>
    </w:p>
    <w:p w14:paraId="3512845F" w14:textId="75D67F68" w:rsidR="004C7883" w:rsidRPr="00B11D5E" w:rsidRDefault="004C7883" w:rsidP="004C7883">
      <w:pPr>
        <w:numPr>
          <w:ilvl w:val="0"/>
          <w:numId w:val="5"/>
        </w:numPr>
        <w:spacing w:after="80"/>
        <w:rPr>
          <w:rFonts w:ascii="Arial Narrow" w:hAnsi="Arial Narrow"/>
        </w:rPr>
      </w:pPr>
      <w:r w:rsidRPr="00B11D5E">
        <w:rPr>
          <w:rFonts w:ascii="Arial Narrow" w:hAnsi="Arial Narrow"/>
        </w:rPr>
        <w:t xml:space="preserve">Conduct regular reviews of the Risk Register to ensure alignment with the </w:t>
      </w:r>
      <w:r w:rsidR="00EF6134">
        <w:rPr>
          <w:rFonts w:ascii="Arial Narrow" w:hAnsi="Arial Narrow"/>
        </w:rPr>
        <w:t>organisation</w:t>
      </w:r>
      <w:r w:rsidRPr="00B11D5E">
        <w:rPr>
          <w:rFonts w:ascii="Arial Narrow" w:hAnsi="Arial Narrow"/>
        </w:rPr>
        <w:t>’s risk appetite.</w:t>
      </w:r>
    </w:p>
    <w:p w14:paraId="226CFB71" w14:textId="77777777" w:rsidR="004C7883" w:rsidRPr="00B11D5E" w:rsidRDefault="004C7883" w:rsidP="004C7883">
      <w:pPr>
        <w:numPr>
          <w:ilvl w:val="0"/>
          <w:numId w:val="5"/>
        </w:numPr>
        <w:spacing w:after="80"/>
        <w:rPr>
          <w:rFonts w:ascii="Arial Narrow" w:hAnsi="Arial Narrow"/>
        </w:rPr>
      </w:pPr>
      <w:r w:rsidRPr="00B11D5E">
        <w:rPr>
          <w:rFonts w:ascii="Arial Narrow" w:hAnsi="Arial Narrow"/>
        </w:rPr>
        <w:t>Evaluate escalated risks (particularly those exceeding defined tolerance levels) and determine appropriate mitigation strategies.</w:t>
      </w:r>
    </w:p>
    <w:p w14:paraId="49F6EA1A" w14:textId="53CB79B5" w:rsidR="004C7883" w:rsidRPr="00B11D5E" w:rsidRDefault="004C7883" w:rsidP="004C7883">
      <w:pPr>
        <w:numPr>
          <w:ilvl w:val="0"/>
          <w:numId w:val="5"/>
        </w:numPr>
        <w:rPr>
          <w:rFonts w:ascii="Arial Narrow" w:hAnsi="Arial Narrow"/>
        </w:rPr>
      </w:pPr>
      <w:r w:rsidRPr="00B11D5E">
        <w:rPr>
          <w:rFonts w:ascii="Arial Narrow" w:hAnsi="Arial Narrow"/>
        </w:rPr>
        <w:t xml:space="preserve">Communicate significant findings or policy updates to </w:t>
      </w:r>
      <w:r>
        <w:rPr>
          <w:rFonts w:ascii="Arial Narrow" w:hAnsi="Arial Narrow"/>
        </w:rPr>
        <w:t>e</w:t>
      </w:r>
      <w:r w:rsidRPr="00B11D5E">
        <w:rPr>
          <w:rFonts w:ascii="Arial Narrow" w:hAnsi="Arial Narrow"/>
        </w:rPr>
        <w:t xml:space="preserve">xecutive </w:t>
      </w:r>
      <w:r>
        <w:rPr>
          <w:rFonts w:ascii="Arial Narrow" w:hAnsi="Arial Narrow"/>
        </w:rPr>
        <w:t>l</w:t>
      </w:r>
      <w:r w:rsidRPr="00B11D5E">
        <w:rPr>
          <w:rFonts w:ascii="Arial Narrow" w:hAnsi="Arial Narrow"/>
        </w:rPr>
        <w:t xml:space="preserve">eadership and relevant business units, ensuring alignment with </w:t>
      </w:r>
      <w:r w:rsidR="00EF6134">
        <w:rPr>
          <w:rFonts w:ascii="Arial Narrow" w:hAnsi="Arial Narrow"/>
        </w:rPr>
        <w:t>organisation</w:t>
      </w:r>
      <w:r w:rsidRPr="00B11D5E">
        <w:rPr>
          <w:rFonts w:ascii="Arial Narrow" w:hAnsi="Arial Narrow"/>
        </w:rPr>
        <w:t>al objectives</w:t>
      </w:r>
      <w:r>
        <w:rPr>
          <w:rFonts w:ascii="Arial Narrow" w:hAnsi="Arial Narrow"/>
        </w:rPr>
        <w:t xml:space="preserve"> specified in the AI Governance Policy</w:t>
      </w:r>
      <w:r w:rsidRPr="00B11D5E">
        <w:rPr>
          <w:rFonts w:ascii="Arial Narrow" w:hAnsi="Arial Narrow"/>
        </w:rPr>
        <w:t>.</w:t>
      </w:r>
    </w:p>
    <w:p w14:paraId="7E2EE036" w14:textId="77777777" w:rsidR="004C7883" w:rsidRDefault="004C7883">
      <w:pPr>
        <w:rPr>
          <w:rFonts w:ascii="Arial Narrow" w:hAnsi="Arial Narrow"/>
          <w:b/>
          <w:bCs/>
          <w:u w:val="single"/>
        </w:rPr>
      </w:pPr>
      <w:r>
        <w:rPr>
          <w:rFonts w:ascii="Arial Narrow" w:hAnsi="Arial Narrow"/>
          <w:b/>
          <w:bCs/>
          <w:u w:val="single"/>
        </w:rPr>
        <w:br w:type="page"/>
      </w:r>
    </w:p>
    <w:p w14:paraId="207FCF4C" w14:textId="65BC26F1" w:rsidR="004C7883" w:rsidRPr="00B11D5E" w:rsidRDefault="004C7883" w:rsidP="004C7883">
      <w:pPr>
        <w:rPr>
          <w:rFonts w:ascii="Arial Narrow" w:hAnsi="Arial Narrow"/>
          <w:b/>
          <w:bCs/>
          <w:u w:val="single"/>
        </w:rPr>
      </w:pPr>
      <w:r w:rsidRPr="00B11D5E">
        <w:rPr>
          <w:rFonts w:ascii="Arial Narrow" w:hAnsi="Arial Narrow"/>
          <w:b/>
          <w:bCs/>
          <w:u w:val="single"/>
        </w:rPr>
        <w:lastRenderedPageBreak/>
        <w:t>9. Implementation and Maintenance</w:t>
      </w:r>
    </w:p>
    <w:p w14:paraId="62406701" w14:textId="77777777" w:rsidR="004C7883" w:rsidRPr="00B11D5E" w:rsidRDefault="004C7883" w:rsidP="004C7883">
      <w:pPr>
        <w:numPr>
          <w:ilvl w:val="0"/>
          <w:numId w:val="6"/>
        </w:numPr>
        <w:spacing w:after="80"/>
        <w:ind w:left="714" w:hanging="357"/>
        <w:rPr>
          <w:rFonts w:ascii="Arial Narrow" w:hAnsi="Arial Narrow"/>
        </w:rPr>
      </w:pPr>
      <w:r w:rsidRPr="00B11D5E">
        <w:rPr>
          <w:rFonts w:ascii="Arial Narrow" w:hAnsi="Arial Narrow"/>
          <w:b/>
          <w:bCs/>
        </w:rPr>
        <w:t>Policy Distribution</w:t>
      </w:r>
      <w:r w:rsidRPr="00B11D5E">
        <w:rPr>
          <w:rFonts w:ascii="Arial Narrow" w:hAnsi="Arial Narrow"/>
        </w:rPr>
        <w:t>: This Policy shall be disseminated to all relevant stakeholders, including project teams, data scientists, and management personnel involved in AI initiatives.</w:t>
      </w:r>
    </w:p>
    <w:p w14:paraId="5BBC8DBE" w14:textId="77777777" w:rsidR="004C7883" w:rsidRPr="00B11D5E" w:rsidRDefault="004C7883" w:rsidP="004C7883">
      <w:pPr>
        <w:numPr>
          <w:ilvl w:val="0"/>
          <w:numId w:val="6"/>
        </w:numPr>
        <w:spacing w:after="80"/>
        <w:ind w:left="714" w:hanging="357"/>
        <w:rPr>
          <w:rFonts w:ascii="Arial Narrow" w:hAnsi="Arial Narrow"/>
        </w:rPr>
      </w:pPr>
      <w:r w:rsidRPr="00B11D5E">
        <w:rPr>
          <w:rFonts w:ascii="Arial Narrow" w:hAnsi="Arial Narrow"/>
          <w:b/>
          <w:bCs/>
        </w:rPr>
        <w:t>Adoption Timeline</w:t>
      </w:r>
      <w:r w:rsidRPr="00B11D5E">
        <w:rPr>
          <w:rFonts w:ascii="Arial Narrow" w:hAnsi="Arial Narrow"/>
        </w:rPr>
        <w:t>: AI initiatives must conform to this Policy within three months of the effective date or within a timeframe set by the RMC.</w:t>
      </w:r>
    </w:p>
    <w:p w14:paraId="6B969FF1" w14:textId="347C0EF3" w:rsidR="004C7883" w:rsidRPr="00B11D5E" w:rsidRDefault="004C7883" w:rsidP="004C7883">
      <w:pPr>
        <w:numPr>
          <w:ilvl w:val="0"/>
          <w:numId w:val="6"/>
        </w:numPr>
        <w:rPr>
          <w:rFonts w:ascii="Arial Narrow" w:hAnsi="Arial Narrow"/>
        </w:rPr>
      </w:pPr>
      <w:r w:rsidRPr="00B11D5E">
        <w:rPr>
          <w:rFonts w:ascii="Arial Narrow" w:hAnsi="Arial Narrow"/>
          <w:b/>
          <w:bCs/>
        </w:rPr>
        <w:t>Ongoing Maintenance</w:t>
      </w:r>
      <w:r w:rsidRPr="00B11D5E">
        <w:rPr>
          <w:rFonts w:ascii="Arial Narrow" w:hAnsi="Arial Narrow"/>
        </w:rPr>
        <w:t xml:space="preserve">: The RMC shall review this Policy at least annually or more frequently if warranted by technological, regulatory, or </w:t>
      </w:r>
      <w:r w:rsidR="00EF6134">
        <w:rPr>
          <w:rFonts w:ascii="Arial Narrow" w:hAnsi="Arial Narrow"/>
        </w:rPr>
        <w:t>organisation</w:t>
      </w:r>
      <w:r w:rsidRPr="00B11D5E">
        <w:rPr>
          <w:rFonts w:ascii="Arial Narrow" w:hAnsi="Arial Narrow"/>
        </w:rPr>
        <w:t>al changes.</w:t>
      </w:r>
    </w:p>
    <w:p w14:paraId="0C82CC4D" w14:textId="77777777" w:rsidR="004C7883" w:rsidRPr="00B11D5E" w:rsidRDefault="004C7883" w:rsidP="004C7883">
      <w:pPr>
        <w:rPr>
          <w:rFonts w:ascii="Arial Narrow" w:hAnsi="Arial Narrow"/>
          <w:b/>
          <w:bCs/>
          <w:u w:val="single"/>
        </w:rPr>
      </w:pPr>
      <w:r w:rsidRPr="00B11D5E">
        <w:rPr>
          <w:rFonts w:ascii="Arial Narrow" w:hAnsi="Arial Narrow"/>
          <w:b/>
          <w:bCs/>
          <w:u w:val="single"/>
        </w:rPr>
        <w:t>10. Monitoring, Review, and Continuous Improvement</w:t>
      </w:r>
    </w:p>
    <w:p w14:paraId="10E4613E" w14:textId="77777777" w:rsidR="004C7883" w:rsidRPr="00B11D5E" w:rsidRDefault="004C7883" w:rsidP="004C7883">
      <w:pPr>
        <w:numPr>
          <w:ilvl w:val="0"/>
          <w:numId w:val="7"/>
        </w:numPr>
        <w:spacing w:after="80"/>
        <w:ind w:left="714" w:hanging="357"/>
        <w:rPr>
          <w:rFonts w:ascii="Arial Narrow" w:hAnsi="Arial Narrow"/>
        </w:rPr>
      </w:pPr>
      <w:r w:rsidRPr="00B11D5E">
        <w:rPr>
          <w:rFonts w:ascii="Arial Narrow" w:hAnsi="Arial Narrow"/>
          <w:b/>
          <w:bCs/>
        </w:rPr>
        <w:t>Performance Indicators</w:t>
      </w:r>
      <w:r w:rsidRPr="00B11D5E">
        <w:rPr>
          <w:rFonts w:ascii="Arial Narrow" w:hAnsi="Arial Narrow"/>
        </w:rPr>
        <w:t>: The RMC shall monitor metrics such as the frequency of escalated risks, resolution times, and overall compliance with risk tolerance thresholds.</w:t>
      </w:r>
      <w:r>
        <w:rPr>
          <w:rFonts w:ascii="Arial Narrow" w:hAnsi="Arial Narrow"/>
        </w:rPr>
        <w:t xml:space="preserve"> </w:t>
      </w:r>
      <w:r w:rsidRPr="0082112A">
        <w:rPr>
          <w:rFonts w:ascii="Arial Narrow" w:hAnsi="Arial Narrow"/>
          <w:i/>
          <w:iCs/>
        </w:rPr>
        <w:t>(RM-4)</w:t>
      </w:r>
    </w:p>
    <w:p w14:paraId="24735500" w14:textId="77777777" w:rsidR="004C7883" w:rsidRPr="00B11D5E" w:rsidRDefault="004C7883" w:rsidP="004C7883">
      <w:pPr>
        <w:numPr>
          <w:ilvl w:val="0"/>
          <w:numId w:val="7"/>
        </w:numPr>
        <w:spacing w:after="80"/>
        <w:ind w:left="714" w:hanging="357"/>
        <w:rPr>
          <w:rFonts w:ascii="Arial Narrow" w:hAnsi="Arial Narrow"/>
        </w:rPr>
      </w:pPr>
      <w:r w:rsidRPr="00B11D5E">
        <w:rPr>
          <w:rFonts w:ascii="Arial Narrow" w:hAnsi="Arial Narrow"/>
          <w:b/>
          <w:bCs/>
        </w:rPr>
        <w:t>Annual Audit</w:t>
      </w:r>
      <w:r w:rsidRPr="00B11D5E">
        <w:rPr>
          <w:rFonts w:ascii="Arial Narrow" w:hAnsi="Arial Narrow"/>
        </w:rPr>
        <w:t>: An annual audit of AI risk management practices shall be conducted by Internal Audit or an external auditor to evaluate compliance with this Policy and recommend enhancements where necessary.</w:t>
      </w:r>
    </w:p>
    <w:p w14:paraId="7790B3CB" w14:textId="77777777" w:rsidR="004C7883" w:rsidRPr="00B11D5E" w:rsidRDefault="004C7883" w:rsidP="004C7883">
      <w:pPr>
        <w:numPr>
          <w:ilvl w:val="0"/>
          <w:numId w:val="7"/>
        </w:numPr>
        <w:spacing w:after="80"/>
        <w:ind w:left="714" w:hanging="357"/>
        <w:rPr>
          <w:rFonts w:ascii="Arial Narrow" w:hAnsi="Arial Narrow"/>
        </w:rPr>
      </w:pPr>
      <w:r w:rsidRPr="00B11D5E">
        <w:rPr>
          <w:rFonts w:ascii="Arial Narrow" w:hAnsi="Arial Narrow"/>
          <w:b/>
          <w:bCs/>
        </w:rPr>
        <w:t>Policy Revisions</w:t>
      </w:r>
      <w:r w:rsidRPr="00B11D5E">
        <w:rPr>
          <w:rFonts w:ascii="Arial Narrow" w:hAnsi="Arial Narrow"/>
        </w:rPr>
        <w:t>: Substantive changes to this Policy, including updates to risk appetite statements or role assignments, require RMC endorsement and Executive Leadership approval.</w:t>
      </w:r>
    </w:p>
    <w:p w14:paraId="054E67F0" w14:textId="77777777" w:rsidR="004C7883" w:rsidRPr="00B11D5E" w:rsidRDefault="004C7883" w:rsidP="004C7883">
      <w:pPr>
        <w:rPr>
          <w:rFonts w:ascii="Arial Narrow" w:hAnsi="Arial Narrow"/>
          <w:b/>
          <w:bCs/>
          <w:u w:val="single"/>
        </w:rPr>
      </w:pPr>
      <w:r w:rsidRPr="00B11D5E">
        <w:rPr>
          <w:rFonts w:ascii="Arial Narrow" w:hAnsi="Arial Narrow"/>
          <w:b/>
          <w:bCs/>
          <w:u w:val="single"/>
        </w:rPr>
        <w:t>11. Training and Awareness</w:t>
      </w:r>
    </w:p>
    <w:p w14:paraId="2BF618F6" w14:textId="06AA06A8" w:rsidR="004C7883" w:rsidRPr="00B11D5E" w:rsidRDefault="004C7883" w:rsidP="004C7883">
      <w:pPr>
        <w:spacing w:after="80"/>
        <w:rPr>
          <w:rFonts w:ascii="Arial Narrow" w:hAnsi="Arial Narrow"/>
        </w:rPr>
      </w:pPr>
      <w:r w:rsidRPr="00B11D5E">
        <w:rPr>
          <w:rFonts w:ascii="Arial Narrow" w:hAnsi="Arial Narrow"/>
        </w:rPr>
        <w:t xml:space="preserve">Employees, contractors, and relevant stakeholders involved in AI initiatives are required to complete training on </w:t>
      </w:r>
      <w:r>
        <w:rPr>
          <w:rFonts w:ascii="Arial Narrow" w:hAnsi="Arial Narrow"/>
        </w:rPr>
        <w:t xml:space="preserve">this Policy and associated relevant guidance </w:t>
      </w:r>
      <w:r w:rsidRPr="0082112A">
        <w:rPr>
          <w:rFonts w:ascii="Arial Narrow" w:hAnsi="Arial Narrow"/>
          <w:i/>
          <w:iCs/>
        </w:rPr>
        <w:t>(RO-</w:t>
      </w:r>
      <w:r>
        <w:rPr>
          <w:rFonts w:ascii="Arial Narrow" w:hAnsi="Arial Narrow"/>
          <w:i/>
          <w:iCs/>
        </w:rPr>
        <w:t>2</w:t>
      </w:r>
      <w:r w:rsidRPr="0082112A">
        <w:rPr>
          <w:rFonts w:ascii="Arial Narrow" w:hAnsi="Arial Narrow"/>
          <w:i/>
          <w:iCs/>
        </w:rPr>
        <w:t>)</w:t>
      </w:r>
      <w:r w:rsidRPr="00B11D5E">
        <w:rPr>
          <w:rFonts w:ascii="Arial Narrow" w:hAnsi="Arial Narrow"/>
        </w:rPr>
        <w:t xml:space="preserve">. The </w:t>
      </w:r>
      <w:r w:rsidR="00EF6134">
        <w:rPr>
          <w:rFonts w:ascii="Arial Narrow" w:hAnsi="Arial Narrow"/>
        </w:rPr>
        <w:t>organisation</w:t>
      </w:r>
      <w:r w:rsidRPr="00B11D5E">
        <w:rPr>
          <w:rFonts w:ascii="Arial Narrow" w:hAnsi="Arial Narrow"/>
        </w:rPr>
        <w:t>’s Learning and Development team, in coordination with the RMC, shall develop and deliver training materials focusing on:</w:t>
      </w:r>
    </w:p>
    <w:p w14:paraId="1B2866BE" w14:textId="52D3059D" w:rsidR="004C7883" w:rsidRPr="00B11D5E" w:rsidRDefault="004C7883" w:rsidP="004C7883">
      <w:pPr>
        <w:numPr>
          <w:ilvl w:val="0"/>
          <w:numId w:val="8"/>
        </w:numPr>
        <w:spacing w:after="80"/>
        <w:rPr>
          <w:rFonts w:ascii="Arial Narrow" w:hAnsi="Arial Narrow"/>
        </w:rPr>
      </w:pPr>
      <w:r w:rsidRPr="00B11D5E">
        <w:rPr>
          <w:rFonts w:ascii="Arial Narrow" w:hAnsi="Arial Narrow"/>
        </w:rPr>
        <w:t xml:space="preserve">Understanding the </w:t>
      </w:r>
      <w:r w:rsidR="00EF6134">
        <w:rPr>
          <w:rFonts w:ascii="Arial Narrow" w:hAnsi="Arial Narrow"/>
        </w:rPr>
        <w:t>organisation</w:t>
      </w:r>
      <w:r w:rsidRPr="00B11D5E">
        <w:rPr>
          <w:rFonts w:ascii="Arial Narrow" w:hAnsi="Arial Narrow"/>
        </w:rPr>
        <w:t>’s risk appetite and tolerance.</w:t>
      </w:r>
    </w:p>
    <w:p w14:paraId="77FA4489" w14:textId="77777777" w:rsidR="004C7883" w:rsidRPr="00B11D5E" w:rsidRDefault="004C7883" w:rsidP="004C7883">
      <w:pPr>
        <w:numPr>
          <w:ilvl w:val="0"/>
          <w:numId w:val="8"/>
        </w:numPr>
        <w:spacing w:after="80"/>
        <w:rPr>
          <w:rFonts w:ascii="Arial Narrow" w:hAnsi="Arial Narrow"/>
        </w:rPr>
      </w:pPr>
      <w:r w:rsidRPr="00B11D5E">
        <w:rPr>
          <w:rFonts w:ascii="Arial Narrow" w:hAnsi="Arial Narrow"/>
        </w:rPr>
        <w:t>Recogni</w:t>
      </w:r>
      <w:r>
        <w:rPr>
          <w:rFonts w:ascii="Arial Narrow" w:hAnsi="Arial Narrow"/>
        </w:rPr>
        <w:t>s</w:t>
      </w:r>
      <w:r w:rsidRPr="00B11D5E">
        <w:rPr>
          <w:rFonts w:ascii="Arial Narrow" w:hAnsi="Arial Narrow"/>
        </w:rPr>
        <w:t>ing and reporting potential AI risks.</w:t>
      </w:r>
    </w:p>
    <w:p w14:paraId="572440D7" w14:textId="77777777" w:rsidR="004C7883" w:rsidRPr="00B11D5E" w:rsidRDefault="004C7883" w:rsidP="004C7883">
      <w:pPr>
        <w:numPr>
          <w:ilvl w:val="0"/>
          <w:numId w:val="8"/>
        </w:numPr>
        <w:rPr>
          <w:rFonts w:ascii="Arial Narrow" w:hAnsi="Arial Narrow"/>
        </w:rPr>
      </w:pPr>
      <w:r w:rsidRPr="00B11D5E">
        <w:rPr>
          <w:rFonts w:ascii="Arial Narrow" w:hAnsi="Arial Narrow"/>
        </w:rPr>
        <w:t>Applying risk controls and adhering to escalation protocols.</w:t>
      </w:r>
    </w:p>
    <w:p w14:paraId="24D868BA" w14:textId="77777777" w:rsidR="004C7883" w:rsidRPr="00B11D5E" w:rsidRDefault="004C7883" w:rsidP="004C7883">
      <w:pPr>
        <w:rPr>
          <w:rFonts w:ascii="Arial Narrow" w:hAnsi="Arial Narrow"/>
          <w:b/>
          <w:bCs/>
          <w:u w:val="single"/>
        </w:rPr>
      </w:pPr>
      <w:r w:rsidRPr="00B11D5E">
        <w:rPr>
          <w:rFonts w:ascii="Arial Narrow" w:hAnsi="Arial Narrow"/>
          <w:b/>
          <w:bCs/>
          <w:u w:val="single"/>
        </w:rPr>
        <w:t>12. Compliance and Enforcement</w:t>
      </w:r>
    </w:p>
    <w:p w14:paraId="1D365B46" w14:textId="77777777" w:rsidR="004C7883" w:rsidRPr="00B11D5E" w:rsidRDefault="004C7883" w:rsidP="004C7883">
      <w:pPr>
        <w:rPr>
          <w:rFonts w:ascii="Arial Narrow" w:hAnsi="Arial Narrow"/>
        </w:rPr>
      </w:pPr>
      <w:r w:rsidRPr="00B11D5E">
        <w:rPr>
          <w:rFonts w:ascii="Arial Narrow" w:hAnsi="Arial Narrow"/>
        </w:rPr>
        <w:t>All personnel involved in AI projects are expected to comply with this Policy. Non-compliance or disregard for established risk management procedures may result in disciplinary action, in accordance with HR policies. The RMC and the</w:t>
      </w:r>
      <w:r>
        <w:rPr>
          <w:rFonts w:ascii="Arial Narrow" w:hAnsi="Arial Narrow"/>
        </w:rPr>
        <w:t xml:space="preserve"> Legal &amp;</w:t>
      </w:r>
      <w:r w:rsidRPr="00B11D5E">
        <w:rPr>
          <w:rFonts w:ascii="Arial Narrow" w:hAnsi="Arial Narrow"/>
        </w:rPr>
        <w:t xml:space="preserve"> Compliance department shall investigate and address any violations of this Policy, ensuring that corrective actions are taken promptly.</w:t>
      </w:r>
      <w:r>
        <w:rPr>
          <w:rFonts w:ascii="Arial Narrow" w:hAnsi="Arial Narrow"/>
        </w:rPr>
        <w:t xml:space="preserve"> </w:t>
      </w:r>
      <w:r w:rsidRPr="0082112A">
        <w:rPr>
          <w:rFonts w:ascii="Arial Narrow" w:hAnsi="Arial Narrow"/>
          <w:i/>
          <w:iCs/>
        </w:rPr>
        <w:t>(RO-1)</w:t>
      </w:r>
    </w:p>
    <w:p w14:paraId="49584CA5" w14:textId="77777777" w:rsidR="004C7883" w:rsidRPr="00B11D5E" w:rsidRDefault="004C7883" w:rsidP="004C7883">
      <w:pPr>
        <w:rPr>
          <w:rFonts w:ascii="Arial Narrow" w:hAnsi="Arial Narrow"/>
          <w:b/>
          <w:bCs/>
          <w:u w:val="single"/>
        </w:rPr>
      </w:pPr>
      <w:r w:rsidRPr="00B11D5E">
        <w:rPr>
          <w:rFonts w:ascii="Arial Narrow" w:hAnsi="Arial Narrow"/>
          <w:b/>
          <w:bCs/>
          <w:u w:val="single"/>
        </w:rPr>
        <w:t>13. Exceptions and Exemptions</w:t>
      </w:r>
    </w:p>
    <w:p w14:paraId="5B8122F7" w14:textId="6C6C7FE1" w:rsidR="004C7883" w:rsidRPr="00B11D5E" w:rsidRDefault="004C7883" w:rsidP="004C7883">
      <w:pPr>
        <w:rPr>
          <w:rFonts w:ascii="Arial Narrow" w:hAnsi="Arial Narrow"/>
        </w:rPr>
      </w:pPr>
      <w:r w:rsidRPr="00B11D5E">
        <w:rPr>
          <w:rFonts w:ascii="Arial Narrow" w:hAnsi="Arial Narrow"/>
        </w:rPr>
        <w:t xml:space="preserve">All requests for exceptions to this Policy must be documented and submitted to the RMC. Each request must include a clear justification of the business need, an analysis of potential risks, alignment with the </w:t>
      </w:r>
      <w:r w:rsidR="00EF6134">
        <w:rPr>
          <w:rFonts w:ascii="Arial Narrow" w:hAnsi="Arial Narrow"/>
        </w:rPr>
        <w:t>organisation</w:t>
      </w:r>
      <w:r w:rsidRPr="00B11D5E">
        <w:rPr>
          <w:rFonts w:ascii="Arial Narrow" w:hAnsi="Arial Narrow"/>
        </w:rPr>
        <w:t>’s risk appetite, and any compensating controls to be implemented. The RMC may grant temporary or conditional exemptions at its discretion if the overall risk remains acceptable.</w:t>
      </w:r>
    </w:p>
    <w:p w14:paraId="04275372" w14:textId="77777777" w:rsidR="004C7883" w:rsidRPr="00B11D5E" w:rsidRDefault="004C7883" w:rsidP="004C7883">
      <w:pPr>
        <w:rPr>
          <w:rFonts w:ascii="Arial Narrow" w:hAnsi="Arial Narrow"/>
          <w:b/>
          <w:bCs/>
          <w:u w:val="single"/>
        </w:rPr>
      </w:pPr>
      <w:r w:rsidRPr="00B11D5E">
        <w:rPr>
          <w:rFonts w:ascii="Arial Narrow" w:hAnsi="Arial Narrow"/>
          <w:b/>
          <w:bCs/>
          <w:u w:val="single"/>
        </w:rPr>
        <w:t>14. References and Related Documents</w:t>
      </w:r>
    </w:p>
    <w:p w14:paraId="73B8FD99" w14:textId="63BF5E78" w:rsidR="004C7883" w:rsidRPr="00B11D5E" w:rsidRDefault="004C7883" w:rsidP="004C7883">
      <w:pPr>
        <w:numPr>
          <w:ilvl w:val="0"/>
          <w:numId w:val="9"/>
        </w:numPr>
        <w:spacing w:after="80"/>
        <w:ind w:left="714" w:hanging="357"/>
        <w:rPr>
          <w:rFonts w:ascii="Arial Narrow" w:hAnsi="Arial Narrow"/>
        </w:rPr>
      </w:pPr>
      <w:r w:rsidRPr="00B11D5E">
        <w:rPr>
          <w:rFonts w:ascii="Arial Narrow" w:hAnsi="Arial Narrow"/>
          <w:b/>
          <w:bCs/>
        </w:rPr>
        <w:t>AI Governance Policy</w:t>
      </w:r>
      <w:r w:rsidRPr="00B11D5E">
        <w:rPr>
          <w:rFonts w:ascii="Arial Narrow" w:hAnsi="Arial Narrow"/>
        </w:rPr>
        <w:t xml:space="preserve"> – Outlines the </w:t>
      </w:r>
      <w:r w:rsidR="00EF6134">
        <w:rPr>
          <w:rFonts w:ascii="Arial Narrow" w:hAnsi="Arial Narrow"/>
        </w:rPr>
        <w:t>Organisation</w:t>
      </w:r>
      <w:r w:rsidRPr="00B11D5E">
        <w:rPr>
          <w:rFonts w:ascii="Arial Narrow" w:hAnsi="Arial Narrow"/>
        </w:rPr>
        <w:t>al structure, roles, and ethical principles for AI initiatives.</w:t>
      </w:r>
    </w:p>
    <w:p w14:paraId="1AE5D7D6" w14:textId="77777777" w:rsidR="004C7883" w:rsidRPr="00B11D5E" w:rsidRDefault="004C7883" w:rsidP="004C7883">
      <w:pPr>
        <w:numPr>
          <w:ilvl w:val="0"/>
          <w:numId w:val="9"/>
        </w:numPr>
        <w:spacing w:after="80"/>
        <w:ind w:left="714" w:hanging="357"/>
        <w:rPr>
          <w:rFonts w:ascii="Arial Narrow" w:hAnsi="Arial Narrow"/>
        </w:rPr>
      </w:pPr>
      <w:r w:rsidRPr="00B11D5E">
        <w:rPr>
          <w:rFonts w:ascii="Arial Narrow" w:hAnsi="Arial Narrow"/>
          <w:b/>
          <w:bCs/>
        </w:rPr>
        <w:t>Data Protection Policy</w:t>
      </w:r>
      <w:r w:rsidRPr="00B11D5E">
        <w:rPr>
          <w:rFonts w:ascii="Arial Narrow" w:hAnsi="Arial Narrow"/>
        </w:rPr>
        <w:t xml:space="preserve"> – Addresses data privacy and security requirements for AI systems.</w:t>
      </w:r>
    </w:p>
    <w:p w14:paraId="7E95ECF4" w14:textId="77777777" w:rsidR="004C7883" w:rsidRPr="00B11D5E" w:rsidRDefault="004C7883" w:rsidP="004C7883">
      <w:pPr>
        <w:numPr>
          <w:ilvl w:val="0"/>
          <w:numId w:val="9"/>
        </w:numPr>
        <w:rPr>
          <w:rFonts w:ascii="Arial Narrow" w:hAnsi="Arial Narrow"/>
        </w:rPr>
      </w:pPr>
      <w:r w:rsidRPr="00B11D5E">
        <w:rPr>
          <w:rFonts w:ascii="Arial Narrow" w:hAnsi="Arial Narrow"/>
          <w:b/>
          <w:bCs/>
        </w:rPr>
        <w:t>Risk Assessment Methodology</w:t>
      </w:r>
      <w:r>
        <w:rPr>
          <w:rFonts w:ascii="Arial Narrow" w:hAnsi="Arial Narrow"/>
          <w:b/>
          <w:bCs/>
        </w:rPr>
        <w:t xml:space="preserve"> </w:t>
      </w:r>
      <w:r w:rsidRPr="00B11D5E">
        <w:rPr>
          <w:rFonts w:ascii="Arial Narrow" w:hAnsi="Arial Narrow"/>
        </w:rPr>
        <w:t>– Detail</w:t>
      </w:r>
      <w:r>
        <w:rPr>
          <w:rFonts w:ascii="Arial Narrow" w:hAnsi="Arial Narrow"/>
        </w:rPr>
        <w:t>ed</w:t>
      </w:r>
      <w:r w:rsidRPr="00B11D5E">
        <w:rPr>
          <w:rFonts w:ascii="Arial Narrow" w:hAnsi="Arial Narrow"/>
        </w:rPr>
        <w:t xml:space="preserve"> process for identifying, classifying, and monitoring AI risks</w:t>
      </w:r>
      <w:r>
        <w:rPr>
          <w:rFonts w:ascii="Arial Narrow" w:hAnsi="Arial Narrow"/>
        </w:rPr>
        <w:t>, published and maintained by the RMC.</w:t>
      </w:r>
    </w:p>
    <w:p w14:paraId="6D878CB0" w14:textId="77777777" w:rsidR="004C7883" w:rsidRDefault="004C7883">
      <w:pPr>
        <w:rPr>
          <w:rFonts w:ascii="Arial Narrow" w:hAnsi="Arial Narrow"/>
          <w:b/>
          <w:bCs/>
          <w:u w:val="single"/>
        </w:rPr>
      </w:pPr>
      <w:r>
        <w:rPr>
          <w:rFonts w:ascii="Arial Narrow" w:hAnsi="Arial Narrow"/>
          <w:b/>
          <w:bCs/>
          <w:u w:val="single"/>
        </w:rPr>
        <w:br w:type="page"/>
      </w:r>
    </w:p>
    <w:p w14:paraId="58B04007" w14:textId="155EB662" w:rsidR="004C7883" w:rsidRPr="00B11D5E" w:rsidRDefault="004C7883" w:rsidP="004C7883">
      <w:pPr>
        <w:rPr>
          <w:rFonts w:ascii="Arial Narrow" w:hAnsi="Arial Narrow"/>
          <w:b/>
          <w:bCs/>
          <w:u w:val="single"/>
        </w:rPr>
      </w:pPr>
      <w:r w:rsidRPr="00B11D5E">
        <w:rPr>
          <w:rFonts w:ascii="Arial Narrow" w:hAnsi="Arial Narrow"/>
          <w:b/>
          <w:bCs/>
          <w:u w:val="single"/>
        </w:rPr>
        <w:lastRenderedPageBreak/>
        <w:t>15. Effective Date</w:t>
      </w:r>
    </w:p>
    <w:p w14:paraId="7C954240" w14:textId="77777777" w:rsidR="004C7883" w:rsidRPr="00B11D5E" w:rsidRDefault="004C7883" w:rsidP="004C7883">
      <w:pPr>
        <w:rPr>
          <w:rFonts w:ascii="Arial Narrow" w:hAnsi="Arial Narrow"/>
        </w:rPr>
      </w:pPr>
      <w:r w:rsidRPr="00B11D5E">
        <w:rPr>
          <w:rFonts w:ascii="Arial Narrow" w:hAnsi="Arial Narrow"/>
        </w:rPr>
        <w:t>This AI Risk Management Policy is effective as of the date approved by Executive Leadership. All AI initiatives must comply with the requirements of this Policy within the timeframe determined by the RMC.</w:t>
      </w:r>
    </w:p>
    <w:p w14:paraId="051B9F2B" w14:textId="77777777" w:rsidR="004C7883" w:rsidRPr="00B11D5E" w:rsidRDefault="004C7883" w:rsidP="004C7883">
      <w:pPr>
        <w:rPr>
          <w:rFonts w:ascii="Arial Narrow" w:hAnsi="Arial Narrow"/>
          <w:b/>
          <w:bCs/>
          <w:u w:val="single"/>
        </w:rPr>
      </w:pPr>
      <w:r w:rsidRPr="00B11D5E">
        <w:rPr>
          <w:rFonts w:ascii="Arial Narrow" w:hAnsi="Arial Narrow"/>
          <w:b/>
          <w:bCs/>
          <w:u w:val="single"/>
        </w:rPr>
        <w:t>16. Version Control and Revisions</w:t>
      </w:r>
    </w:p>
    <w:p w14:paraId="0FB5E94D" w14:textId="77777777" w:rsidR="004C7883" w:rsidRPr="00B11D5E" w:rsidRDefault="004C7883" w:rsidP="004C7883">
      <w:pPr>
        <w:rPr>
          <w:rFonts w:ascii="Arial Narrow" w:hAnsi="Arial Narrow"/>
        </w:rPr>
      </w:pPr>
      <w:r w:rsidRPr="00B11D5E">
        <w:rPr>
          <w:rFonts w:ascii="Arial Narrow" w:hAnsi="Arial Narrow"/>
        </w:rPr>
        <w:t>Revisions to this Policy shall be documented in a version control log maintained by the RMC. Major changes require review and approval by Executive Leadership prior to implementation.</w:t>
      </w:r>
    </w:p>
    <w:p w14:paraId="50C3D6AF" w14:textId="77777777" w:rsidR="004C7883" w:rsidRDefault="004C7883" w:rsidP="004C7883">
      <w:pPr>
        <w:rPr>
          <w:rFonts w:ascii="Arial Narrow" w:hAnsi="Arial Narrow"/>
        </w:rPr>
      </w:pPr>
    </w:p>
    <w:p w14:paraId="040FDBC2" w14:textId="77777777" w:rsidR="004C7883" w:rsidRPr="00E2482F" w:rsidRDefault="004C7883" w:rsidP="004C7883">
      <w:pPr>
        <w:rPr>
          <w:rFonts w:ascii="Arial Narrow" w:hAnsi="Arial Narrow"/>
        </w:rPr>
      </w:pPr>
      <w:r w:rsidRPr="00E2482F">
        <w:rPr>
          <w:rFonts w:ascii="Arial Narrow" w:hAnsi="Arial Narrow"/>
          <w:i/>
          <w:iCs/>
        </w:rPr>
        <w:t>Approved by:</w:t>
      </w:r>
    </w:p>
    <w:p w14:paraId="6F6E4F55" w14:textId="77777777" w:rsidR="004C7883" w:rsidRPr="00E2482F" w:rsidRDefault="00000000" w:rsidP="004C7883">
      <w:pPr>
        <w:rPr>
          <w:rFonts w:ascii="Arial Narrow" w:hAnsi="Arial Narrow"/>
        </w:rPr>
      </w:pPr>
      <w:r>
        <w:rPr>
          <w:rFonts w:ascii="Arial Narrow" w:hAnsi="Arial Narrow"/>
        </w:rPr>
        <w:pict w14:anchorId="6BA3998C">
          <v:rect id="_x0000_i1025" style="width:0;height:1.5pt" o:hralign="center" o:hrstd="t" o:hr="t" fillcolor="#a0a0a0" stroked="f"/>
        </w:pict>
      </w:r>
    </w:p>
    <w:p w14:paraId="75E65002" w14:textId="77777777" w:rsidR="004C7883" w:rsidRPr="00E2482F" w:rsidRDefault="004C7883" w:rsidP="004C7883">
      <w:pPr>
        <w:rPr>
          <w:rFonts w:ascii="Arial Narrow" w:hAnsi="Arial Narrow"/>
        </w:rPr>
      </w:pPr>
      <w:r w:rsidRPr="00E2482F">
        <w:rPr>
          <w:rFonts w:ascii="Arial Narrow" w:hAnsi="Arial Narrow"/>
        </w:rPr>
        <w:t>[Name], Chief Technology Officer</w:t>
      </w:r>
    </w:p>
    <w:p w14:paraId="1F985EBB" w14:textId="77777777" w:rsidR="004C7883" w:rsidRPr="00E2482F" w:rsidRDefault="004C7883" w:rsidP="004C7883">
      <w:pPr>
        <w:rPr>
          <w:rFonts w:ascii="Arial Narrow" w:hAnsi="Arial Narrow"/>
        </w:rPr>
      </w:pPr>
      <w:r w:rsidRPr="00E2482F">
        <w:rPr>
          <w:rFonts w:ascii="Arial Narrow" w:hAnsi="Arial Narrow"/>
          <w:i/>
          <w:iCs/>
        </w:rPr>
        <w:t>Date:</w:t>
      </w:r>
      <w:r w:rsidRPr="00E2482F">
        <w:rPr>
          <w:rFonts w:ascii="Arial Narrow" w:hAnsi="Arial Narrow"/>
        </w:rPr>
        <w:br/>
        <w:t>[Date]</w:t>
      </w:r>
    </w:p>
    <w:p w14:paraId="3376E51B" w14:textId="77777777" w:rsidR="004C7883" w:rsidRPr="00E2482F" w:rsidRDefault="00000000" w:rsidP="004C7883">
      <w:pPr>
        <w:rPr>
          <w:rFonts w:ascii="Arial Narrow" w:hAnsi="Arial Narrow"/>
        </w:rPr>
      </w:pPr>
      <w:r>
        <w:rPr>
          <w:rFonts w:ascii="Arial Narrow" w:hAnsi="Arial Narrow"/>
        </w:rPr>
        <w:pict w14:anchorId="7E46856B">
          <v:rect id="_x0000_i1026" style="width:0;height:1.5pt" o:hralign="center" o:hrstd="t" o:hr="t" fillcolor="#a0a0a0" stroked="f"/>
        </w:pict>
      </w:r>
    </w:p>
    <w:p w14:paraId="734006FC" w14:textId="77777777" w:rsidR="004C7883" w:rsidRDefault="004C7883" w:rsidP="004C7883">
      <w:pPr>
        <w:rPr>
          <w:rFonts w:eastAsiaTheme="majorEastAsia" w:cstheme="majorBidi"/>
          <w:color w:val="2F5496" w:themeColor="accent1" w:themeShade="BF"/>
          <w:sz w:val="32"/>
          <w:szCs w:val="32"/>
        </w:rPr>
      </w:pPr>
    </w:p>
    <w:p w14:paraId="330B9FE0" w14:textId="21D28CCC" w:rsidR="00007555" w:rsidRPr="004C7883" w:rsidRDefault="00007555">
      <w:pPr>
        <w:rPr>
          <w:rFonts w:eastAsiaTheme="majorEastAsia" w:cstheme="majorBidi"/>
          <w:color w:val="2F5496" w:themeColor="accent1" w:themeShade="BF"/>
          <w:sz w:val="32"/>
          <w:szCs w:val="32"/>
        </w:rPr>
      </w:pPr>
    </w:p>
    <w:sectPr w:rsidR="00007555" w:rsidRPr="004C7883">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D8784" w14:textId="77777777" w:rsidR="001E7DC4" w:rsidRDefault="001E7DC4" w:rsidP="004C7883">
      <w:pPr>
        <w:spacing w:after="0" w:line="240" w:lineRule="auto"/>
      </w:pPr>
      <w:r>
        <w:separator/>
      </w:r>
    </w:p>
  </w:endnote>
  <w:endnote w:type="continuationSeparator" w:id="0">
    <w:p w14:paraId="5056CF08" w14:textId="77777777" w:rsidR="001E7DC4" w:rsidRDefault="001E7DC4" w:rsidP="004C7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aford Display">
    <w:charset w:val="00"/>
    <w:family w:val="auto"/>
    <w:pitch w:val="variable"/>
    <w:sig w:usb0="80000003" w:usb1="00000001"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175238"/>
      <w:docPartObj>
        <w:docPartGallery w:val="Page Numbers (Bottom of Page)"/>
        <w:docPartUnique/>
      </w:docPartObj>
    </w:sdtPr>
    <w:sdtEndPr>
      <w:rPr>
        <w:rFonts w:ascii="Arial Narrow" w:hAnsi="Arial Narrow"/>
        <w:noProof/>
      </w:rPr>
    </w:sdtEndPr>
    <w:sdtContent>
      <w:p w14:paraId="5EA761C3" w14:textId="218848EF" w:rsidR="004C7883" w:rsidRPr="004C7883" w:rsidRDefault="004C7883">
        <w:pPr>
          <w:pStyle w:val="Footer"/>
          <w:jc w:val="center"/>
          <w:rPr>
            <w:rFonts w:ascii="Arial Narrow" w:hAnsi="Arial Narrow"/>
          </w:rPr>
        </w:pPr>
        <w:r w:rsidRPr="004C7883">
          <w:rPr>
            <w:rFonts w:ascii="Arial Narrow" w:hAnsi="Arial Narrow"/>
          </w:rPr>
          <w:fldChar w:fldCharType="begin"/>
        </w:r>
        <w:r w:rsidRPr="004C7883">
          <w:rPr>
            <w:rFonts w:ascii="Arial Narrow" w:hAnsi="Arial Narrow"/>
          </w:rPr>
          <w:instrText xml:space="preserve"> PAGE   \* MERGEFORMAT </w:instrText>
        </w:r>
        <w:r w:rsidRPr="004C7883">
          <w:rPr>
            <w:rFonts w:ascii="Arial Narrow" w:hAnsi="Arial Narrow"/>
          </w:rPr>
          <w:fldChar w:fldCharType="separate"/>
        </w:r>
        <w:r w:rsidRPr="004C7883">
          <w:rPr>
            <w:rFonts w:ascii="Arial Narrow" w:hAnsi="Arial Narrow"/>
            <w:noProof/>
          </w:rPr>
          <w:t>2</w:t>
        </w:r>
        <w:r w:rsidRPr="004C7883">
          <w:rPr>
            <w:rFonts w:ascii="Arial Narrow" w:hAnsi="Arial Narrow"/>
            <w:noProof/>
          </w:rPr>
          <w:fldChar w:fldCharType="end"/>
        </w:r>
      </w:p>
    </w:sdtContent>
  </w:sdt>
  <w:p w14:paraId="346BFA9C" w14:textId="77777777" w:rsidR="004C7883" w:rsidRDefault="004C7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B84EF1" w14:textId="77777777" w:rsidR="001E7DC4" w:rsidRDefault="001E7DC4" w:rsidP="004C7883">
      <w:pPr>
        <w:spacing w:after="0" w:line="240" w:lineRule="auto"/>
      </w:pPr>
      <w:r>
        <w:separator/>
      </w:r>
    </w:p>
  </w:footnote>
  <w:footnote w:type="continuationSeparator" w:id="0">
    <w:p w14:paraId="440C7E5A" w14:textId="77777777" w:rsidR="001E7DC4" w:rsidRDefault="001E7DC4" w:rsidP="004C7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0A149" w14:textId="1C675D19" w:rsidR="004C7883" w:rsidRDefault="004C7883">
    <w:pPr>
      <w:pStyle w:val="Header"/>
    </w:pPr>
    <w:r w:rsidRPr="00BA49FD">
      <w:rPr>
        <w:rFonts w:ascii="Arial Narrow" w:eastAsiaTheme="majorEastAsia" w:hAnsi="Arial Narrow" w:cstheme="majorBidi"/>
        <w:color w:val="2F5496" w:themeColor="accent1" w:themeShade="BF"/>
        <w:sz w:val="24"/>
        <w:szCs w:val="24"/>
      </w:rPr>
      <w:t xml:space="preserve">AI </w:t>
    </w:r>
    <w:r>
      <w:rPr>
        <w:rFonts w:ascii="Arial Narrow" w:eastAsiaTheme="majorEastAsia" w:hAnsi="Arial Narrow" w:cstheme="majorBidi"/>
        <w:color w:val="2F5496" w:themeColor="accent1" w:themeShade="BF"/>
        <w:sz w:val="24"/>
        <w:szCs w:val="24"/>
      </w:rPr>
      <w:t>Risk Management</w:t>
    </w:r>
    <w:r w:rsidRPr="00BA49FD">
      <w:rPr>
        <w:rFonts w:ascii="Arial Narrow" w:eastAsiaTheme="majorEastAsia" w:hAnsi="Arial Narrow" w:cstheme="majorBidi"/>
        <w:color w:val="2F5496" w:themeColor="accent1" w:themeShade="BF"/>
        <w:sz w:val="24"/>
        <w:szCs w:val="24"/>
      </w:rPr>
      <w:t xml:space="preserve"> Policy</w:t>
    </w:r>
    <w:r>
      <w:rPr>
        <w:rFonts w:ascii="Arial Narrow" w:eastAsiaTheme="majorEastAsia" w:hAnsi="Arial Narrow" w:cstheme="majorBidi"/>
        <w:color w:val="2F5496" w:themeColor="accent1" w:themeShade="BF"/>
        <w:sz w:val="24"/>
        <w:szCs w:val="24"/>
      </w:rPr>
      <w:t xml:space="preserve"> (© The Company Ethos CC-BY-SA)</w:t>
    </w:r>
    <w:r w:rsidRPr="004C7883">
      <w:t xml:space="preserve"> </w:t>
    </w:r>
    <w:r w:rsidRPr="004C7883">
      <w:rPr>
        <w:noProof/>
      </w:rPr>
      <w:drawing>
        <wp:anchor distT="0" distB="0" distL="114300" distR="114300" simplePos="0" relativeHeight="251658240" behindDoc="0" locked="0" layoutInCell="1" allowOverlap="1" wp14:anchorId="1950486E" wp14:editId="25ECB0B6">
          <wp:simplePos x="0" y="0"/>
          <wp:positionH relativeFrom="margin">
            <wp:posOffset>4715950</wp:posOffset>
          </wp:positionH>
          <wp:positionV relativeFrom="paragraph">
            <wp:posOffset>-219447</wp:posOffset>
          </wp:positionV>
          <wp:extent cx="1363461" cy="681731"/>
          <wp:effectExtent l="0" t="0" r="0" b="0"/>
          <wp:wrapNone/>
          <wp:docPr id="2" name="Picture 1" descr="A colorful low polygon shaped balloon&#10;&#10;AI-generated content may be incorrect.">
            <a:extLst xmlns:a="http://schemas.openxmlformats.org/drawingml/2006/main">
              <a:ext uri="{FF2B5EF4-FFF2-40B4-BE49-F238E27FC236}">
                <a16:creationId xmlns:a16="http://schemas.microsoft.com/office/drawing/2014/main" id="{E24110AC-E0F5-B1DA-67D0-EAA0A8A031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olorful low polygon shaped balloon&#10;&#10;AI-generated content may be incorrect.">
                    <a:extLst>
                      <a:ext uri="{FF2B5EF4-FFF2-40B4-BE49-F238E27FC236}">
                        <a16:creationId xmlns:a16="http://schemas.microsoft.com/office/drawing/2014/main" id="{E24110AC-E0F5-B1DA-67D0-EAA0A8A0311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63461" cy="68173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06335"/>
    <w:multiLevelType w:val="multilevel"/>
    <w:tmpl w:val="459E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D00AD"/>
    <w:multiLevelType w:val="multilevel"/>
    <w:tmpl w:val="57E6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F12F1"/>
    <w:multiLevelType w:val="multilevel"/>
    <w:tmpl w:val="D9E2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42FCF"/>
    <w:multiLevelType w:val="multilevel"/>
    <w:tmpl w:val="90AA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B2EE8"/>
    <w:multiLevelType w:val="multilevel"/>
    <w:tmpl w:val="475A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C3DA8"/>
    <w:multiLevelType w:val="multilevel"/>
    <w:tmpl w:val="45A4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B108B"/>
    <w:multiLevelType w:val="multilevel"/>
    <w:tmpl w:val="8D38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27C0E"/>
    <w:multiLevelType w:val="multilevel"/>
    <w:tmpl w:val="D914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21DBB"/>
    <w:multiLevelType w:val="multilevel"/>
    <w:tmpl w:val="AF4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777E5"/>
    <w:multiLevelType w:val="multilevel"/>
    <w:tmpl w:val="E10C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2595A"/>
    <w:multiLevelType w:val="multilevel"/>
    <w:tmpl w:val="5AE2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E77D8"/>
    <w:multiLevelType w:val="multilevel"/>
    <w:tmpl w:val="CAE0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9356DF"/>
    <w:multiLevelType w:val="multilevel"/>
    <w:tmpl w:val="C90C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401E20"/>
    <w:multiLevelType w:val="multilevel"/>
    <w:tmpl w:val="EE22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933906">
    <w:abstractNumId w:val="6"/>
  </w:num>
  <w:num w:numId="2" w16cid:durableId="751002837">
    <w:abstractNumId w:val="1"/>
  </w:num>
  <w:num w:numId="3" w16cid:durableId="432478477">
    <w:abstractNumId w:val="2"/>
  </w:num>
  <w:num w:numId="4" w16cid:durableId="1421098997">
    <w:abstractNumId w:val="11"/>
  </w:num>
  <w:num w:numId="5" w16cid:durableId="2091273197">
    <w:abstractNumId w:val="12"/>
  </w:num>
  <w:num w:numId="6" w16cid:durableId="361201373">
    <w:abstractNumId w:val="5"/>
  </w:num>
  <w:num w:numId="7" w16cid:durableId="1633752371">
    <w:abstractNumId w:val="8"/>
  </w:num>
  <w:num w:numId="8" w16cid:durableId="1690907705">
    <w:abstractNumId w:val="3"/>
  </w:num>
  <w:num w:numId="9" w16cid:durableId="739519234">
    <w:abstractNumId w:val="7"/>
  </w:num>
  <w:num w:numId="10" w16cid:durableId="2059082967">
    <w:abstractNumId w:val="4"/>
  </w:num>
  <w:num w:numId="11" w16cid:durableId="1960989025">
    <w:abstractNumId w:val="0"/>
  </w:num>
  <w:num w:numId="12" w16cid:durableId="488791178">
    <w:abstractNumId w:val="9"/>
  </w:num>
  <w:num w:numId="13" w16cid:durableId="740323710">
    <w:abstractNumId w:val="13"/>
  </w:num>
  <w:num w:numId="14" w16cid:durableId="13516852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883"/>
    <w:rsid w:val="00007555"/>
    <w:rsid w:val="001E7DC4"/>
    <w:rsid w:val="00233240"/>
    <w:rsid w:val="004C7883"/>
    <w:rsid w:val="00B45299"/>
    <w:rsid w:val="00C637D9"/>
    <w:rsid w:val="00EF61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4E1F0"/>
  <w15:chartTrackingRefBased/>
  <w15:docId w15:val="{4F09F7CB-1B6A-484E-AB8E-F3ECE337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883"/>
    <w:rPr>
      <w:rFonts w:ascii="Seaford Display" w:hAnsi="Seaford Display"/>
    </w:rPr>
  </w:style>
  <w:style w:type="paragraph" w:styleId="Heading1">
    <w:name w:val="heading 1"/>
    <w:basedOn w:val="Normal"/>
    <w:next w:val="Normal"/>
    <w:link w:val="Heading1Char"/>
    <w:uiPriority w:val="9"/>
    <w:qFormat/>
    <w:rsid w:val="004C78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78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78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8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78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7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8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78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78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8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78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7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883"/>
    <w:rPr>
      <w:rFonts w:eastAsiaTheme="majorEastAsia" w:cstheme="majorBidi"/>
      <w:color w:val="272727" w:themeColor="text1" w:themeTint="D8"/>
    </w:rPr>
  </w:style>
  <w:style w:type="paragraph" w:styleId="Title">
    <w:name w:val="Title"/>
    <w:basedOn w:val="Normal"/>
    <w:next w:val="Normal"/>
    <w:link w:val="TitleChar"/>
    <w:uiPriority w:val="10"/>
    <w:qFormat/>
    <w:rsid w:val="004C7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883"/>
    <w:pPr>
      <w:spacing w:before="160"/>
      <w:jc w:val="center"/>
    </w:pPr>
    <w:rPr>
      <w:i/>
      <w:iCs/>
      <w:color w:val="404040" w:themeColor="text1" w:themeTint="BF"/>
    </w:rPr>
  </w:style>
  <w:style w:type="character" w:customStyle="1" w:styleId="QuoteChar">
    <w:name w:val="Quote Char"/>
    <w:basedOn w:val="DefaultParagraphFont"/>
    <w:link w:val="Quote"/>
    <w:uiPriority w:val="29"/>
    <w:rsid w:val="004C7883"/>
    <w:rPr>
      <w:i/>
      <w:iCs/>
      <w:color w:val="404040" w:themeColor="text1" w:themeTint="BF"/>
    </w:rPr>
  </w:style>
  <w:style w:type="paragraph" w:styleId="ListParagraph">
    <w:name w:val="List Paragraph"/>
    <w:basedOn w:val="Normal"/>
    <w:uiPriority w:val="34"/>
    <w:qFormat/>
    <w:rsid w:val="004C7883"/>
    <w:pPr>
      <w:ind w:left="720"/>
      <w:contextualSpacing/>
    </w:pPr>
  </w:style>
  <w:style w:type="character" w:styleId="IntenseEmphasis">
    <w:name w:val="Intense Emphasis"/>
    <w:basedOn w:val="DefaultParagraphFont"/>
    <w:uiPriority w:val="21"/>
    <w:qFormat/>
    <w:rsid w:val="004C7883"/>
    <w:rPr>
      <w:i/>
      <w:iCs/>
      <w:color w:val="2F5496" w:themeColor="accent1" w:themeShade="BF"/>
    </w:rPr>
  </w:style>
  <w:style w:type="paragraph" w:styleId="IntenseQuote">
    <w:name w:val="Intense Quote"/>
    <w:basedOn w:val="Normal"/>
    <w:next w:val="Normal"/>
    <w:link w:val="IntenseQuoteChar"/>
    <w:uiPriority w:val="30"/>
    <w:qFormat/>
    <w:rsid w:val="004C78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7883"/>
    <w:rPr>
      <w:i/>
      <w:iCs/>
      <w:color w:val="2F5496" w:themeColor="accent1" w:themeShade="BF"/>
    </w:rPr>
  </w:style>
  <w:style w:type="character" w:styleId="IntenseReference">
    <w:name w:val="Intense Reference"/>
    <w:basedOn w:val="DefaultParagraphFont"/>
    <w:uiPriority w:val="32"/>
    <w:qFormat/>
    <w:rsid w:val="004C7883"/>
    <w:rPr>
      <w:b/>
      <w:bCs/>
      <w:smallCaps/>
      <w:color w:val="2F5496" w:themeColor="accent1" w:themeShade="BF"/>
      <w:spacing w:val="5"/>
    </w:rPr>
  </w:style>
  <w:style w:type="paragraph" w:styleId="Header">
    <w:name w:val="header"/>
    <w:basedOn w:val="Normal"/>
    <w:link w:val="HeaderChar"/>
    <w:uiPriority w:val="99"/>
    <w:unhideWhenUsed/>
    <w:rsid w:val="004C78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883"/>
    <w:rPr>
      <w:rFonts w:ascii="Seaford Display" w:hAnsi="Seaford Display"/>
    </w:rPr>
  </w:style>
  <w:style w:type="paragraph" w:styleId="Footer">
    <w:name w:val="footer"/>
    <w:basedOn w:val="Normal"/>
    <w:link w:val="FooterChar"/>
    <w:uiPriority w:val="99"/>
    <w:unhideWhenUsed/>
    <w:rsid w:val="004C78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883"/>
    <w:rPr>
      <w:rFonts w:ascii="Seaford Display" w:hAnsi="Seaford Displa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B50B7-E61B-41BC-B045-B34D07D62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2390</Words>
  <Characters>13628</Characters>
  <Application>Microsoft Office Word</Application>
  <DocSecurity>0</DocSecurity>
  <Lines>113</Lines>
  <Paragraphs>31</Paragraphs>
  <ScaleCrop>false</ScaleCrop>
  <Company/>
  <LinksUpToDate>false</LinksUpToDate>
  <CharactersWithSpaces>15987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Kavanagh</dc:creator>
  <cp:keywords/>
  <dc:description/>
  <cp:lastModifiedBy>James Kavanagh</cp:lastModifiedBy>
  <cp:revision>2</cp:revision>
  <dcterms:created xsi:type="dcterms:W3CDTF">2025-04-10T06:30:00Z</dcterms:created>
  <dcterms:modified xsi:type="dcterms:W3CDTF">2025-04-11T03:55:00Z</dcterms:modified>
</cp:coreProperties>
</file>