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jc w:val="center"/>
        <w:rPr/>
      </w:pPr>
      <w:r>
        <w:rPr/>
        <w:t>SYSTEM SECURITY PLAN</w:t>
      </w:r>
    </w:p>
    <w:p>
      <w:pPr>
        <w:pStyle w:val="Normal"/>
        <w:spacing w:before="240" w:after="240"/>
        <w:jc w:val="center"/>
        <w:rPr/>
      </w:pPr>
      <w:r>
        <w:rPr>
          <w:b/>
          <w:bCs/>
          <w:sz w:val="32"/>
          <w:szCs w:val="32"/>
        </w:rPr>
        <w:t>NIST SP 800-171 Rev 2 Compliance</w:t>
      </w:r>
    </w:p>
    <w:p>
      <w:pPr>
        <w:pStyle w:val="Normal"/>
        <w:spacing w:before="480" w:after="120"/>
        <w:jc w:val="center"/>
        <w:rPr/>
      </w:pPr>
      <w:r>
        <w:rPr/>
      </w:r>
    </w:p>
    <w:p>
      <w:pPr>
        <w:pStyle w:val="Normal"/>
        <w:spacing w:before="0" w:after="60"/>
        <w:jc w:val="center"/>
        <w:rPr/>
      </w:pPr>
      <w:r>
        <w:rPr>
          <w:b/>
          <w:bCs/>
          <w:sz w:val="28"/>
          <w:szCs w:val="28"/>
        </w:rPr>
        <w:t>Donald E. Shannon LLC</w:t>
      </w:r>
    </w:p>
    <w:p>
      <w:pPr>
        <w:pStyle w:val="Normal"/>
        <w:spacing w:before="0" w:after="60"/>
        <w:jc w:val="center"/>
        <w:rPr/>
      </w:pPr>
      <w:r>
        <w:rPr>
          <w:sz w:val="24"/>
          <w:szCs w:val="24"/>
        </w:rPr>
        <w:t>dba The Contract Coach</w:t>
      </w:r>
    </w:p>
    <w:p>
      <w:pPr>
        <w:pStyle w:val="Normal"/>
        <w:spacing w:before="240" w:after="60"/>
        <w:jc w:val="center"/>
        <w:rPr/>
      </w:pPr>
      <w:r>
        <w:rPr>
          <w:sz w:val="22"/>
          <w:szCs w:val="22"/>
        </w:rPr>
        <w:t>System Name: CyberHygiene Production Network</w:t>
      </w:r>
    </w:p>
    <w:p>
      <w:pPr>
        <w:pStyle w:val="Normal"/>
        <w:spacing w:before="0" w:after="60"/>
        <w:jc w:val="center"/>
        <w:rPr/>
      </w:pPr>
      <w:r>
        <w:rPr>
          <w:sz w:val="22"/>
          <w:szCs w:val="22"/>
        </w:rPr>
        <w:t>Domain: cyberinabox.net</w:t>
      </w:r>
    </w:p>
    <w:p>
      <w:pPr>
        <w:pStyle w:val="Normal"/>
        <w:spacing w:before="480" w:after="60"/>
        <w:jc w:val="center"/>
        <w:rPr/>
      </w:pPr>
      <w:r>
        <w:rPr>
          <w:b/>
          <w:bCs/>
          <w:sz w:val="24"/>
          <w:szCs w:val="24"/>
        </w:rPr>
        <w:t>Version 1.0 - DRAFT</w:t>
      </w:r>
    </w:p>
    <w:p>
      <w:pPr>
        <w:pStyle w:val="Normal"/>
        <w:spacing w:before="0" w:after="60"/>
        <w:jc w:val="center"/>
        <w:rPr/>
      </w:pPr>
      <w:r>
        <w:rPr/>
        <w:t>Date: October 28, 2025</w:t>
      </w:r>
    </w:p>
    <w:p>
      <w:pPr>
        <w:pStyle w:val="Normal"/>
        <w:spacing w:before="240" w:after="60"/>
        <w:jc w:val="center"/>
        <w:rPr/>
      </w:pPr>
      <w:r>
        <w:rPr>
          <w:b/>
          <w:bCs/>
          <w:color w:val="C00000"/>
          <w:sz w:val="22"/>
          <w:szCs w:val="22"/>
        </w:rPr>
        <w:t>Classification: CONTROLLED UNCLASSIFIED INFORMATION (CUI)</w:t>
      </w:r>
    </w:p>
    <w:p>
      <w:pPr>
        <w:pStyle w:val="Normal"/>
        <w:spacing w:before="960" w:after="0"/>
        <w:jc w:val="center"/>
        <w:rPr/>
      </w:pPr>
      <w:r>
        <w:rPr>
          <w:i/>
          <w:iCs/>
          <w:sz w:val="20"/>
          <w:szCs w:val="20"/>
        </w:rPr>
        <w:t>Target Completion: December 31, 2025</w:t>
      </w:r>
    </w:p>
    <w:p>
      <w:pPr>
        <w:pStyle w:val="Normal"/>
        <w:rPr/>
      </w:pPr>
      <w:r>
        <w:rPr/>
      </w:r>
      <w:r>
        <w:br w:type="page"/>
      </w:r>
    </w:p>
    <w:p>
      <w:pPr>
        <w:pStyle w:val="Heading1"/>
        <w:rPr/>
      </w:pPr>
      <w:r>
        <w:rPr/>
        <w:t>DOCUMENT CONTROL</w:t>
      </w:r>
    </w:p>
    <w:p>
      <w:pPr>
        <w:pStyle w:val="Normal"/>
        <w:spacing w:before="120" w:after="60"/>
        <w:rPr/>
      </w:pPr>
      <w:r>
        <w:rPr>
          <w:b/>
          <w:bCs/>
        </w:rPr>
        <w:t xml:space="preserve">Document Status: </w:t>
      </w:r>
      <w:r>
        <w:rPr/>
        <w:t>DRAFT - Implementation Phase</w:t>
      </w:r>
    </w:p>
    <w:p>
      <w:pPr>
        <w:pStyle w:val="Normal"/>
        <w:spacing w:before="0" w:after="60"/>
        <w:rPr/>
      </w:pPr>
      <w:r>
        <w:rPr>
          <w:b/>
          <w:bCs/>
        </w:rPr>
        <w:t xml:space="preserve">Security Classification: </w:t>
      </w:r>
      <w:r>
        <w:rPr>
          <w:color w:val="C00000"/>
        </w:rPr>
        <w:t>CONTROLLED UNCLASSIFIED INFORMATION (CUI)</w:t>
      </w:r>
    </w:p>
    <w:p>
      <w:pPr>
        <w:pStyle w:val="Normal"/>
        <w:spacing w:before="0" w:after="240"/>
        <w:rPr/>
      </w:pPr>
      <w:r>
        <w:rPr>
          <w:b/>
          <w:bCs/>
        </w:rPr>
        <w:t xml:space="preserve">Distribution: </w:t>
      </w:r>
      <w:r>
        <w:rPr/>
        <w:t>Limited to authorized personnel only</w:t>
      </w:r>
    </w:p>
    <w:tbl>
      <w:tblPr>
        <w:tblW w:w="5000" w:type="pct"/>
        <w:jc w:val="left"/>
        <w:tblInd w:w="0" w:type="dxa"/>
        <w:tblLayout w:type="fixed"/>
        <w:tblCellMar>
          <w:top w:w="100" w:type="dxa"/>
          <w:left w:w="180" w:type="dxa"/>
          <w:bottom w:w="100" w:type="dxa"/>
          <w:right w:w="180" w:type="dxa"/>
        </w:tblCellMar>
      </w:tblPr>
      <w:tblGrid>
        <w:gridCol w:w="3008"/>
        <w:gridCol w:w="3009"/>
        <w:gridCol w:w="3009"/>
      </w:tblGrid>
      <w:tr>
        <w:trPr>
          <w:tblHeader w:val="true"/>
        </w:trPr>
        <w:tc>
          <w:tcPr>
            <w:tcW w:w="3008" w:type="dxa"/>
            <w:tcBorders>
              <w:top w:val="single" w:sz="2" w:space="0" w:color="000000"/>
              <w:left w:val="single" w:sz="2" w:space="0" w:color="000000"/>
              <w:bottom w:val="single" w:sz="2" w:space="0" w:color="000000"/>
              <w:right w:val="single" w:sz="2" w:space="0" w:color="000000"/>
            </w:tcBorders>
            <w:shd w:fill="D5E8F0" w:val="clear"/>
          </w:tcPr>
          <w:p>
            <w:pPr>
              <w:pStyle w:val="Normal"/>
              <w:widowControl w:val="false"/>
              <w:jc w:val="center"/>
              <w:rPr/>
            </w:pPr>
            <w:r>
              <w:rPr>
                <w:b/>
                <w:bCs/>
                <w:sz w:val="22"/>
                <w:szCs w:val="22"/>
              </w:rPr>
              <w:t>Name / Title</w:t>
            </w:r>
          </w:p>
        </w:tc>
        <w:tc>
          <w:tcPr>
            <w:tcW w:w="3009" w:type="dxa"/>
            <w:tcBorders>
              <w:top w:val="single" w:sz="2" w:space="0" w:color="000000"/>
              <w:left w:val="single" w:sz="2" w:space="0" w:color="000000"/>
              <w:bottom w:val="single" w:sz="2" w:space="0" w:color="000000"/>
              <w:right w:val="single" w:sz="2" w:space="0" w:color="000000"/>
            </w:tcBorders>
            <w:shd w:fill="D5E8F0" w:val="clear"/>
          </w:tcPr>
          <w:p>
            <w:pPr>
              <w:pStyle w:val="Normal"/>
              <w:widowControl w:val="false"/>
              <w:jc w:val="center"/>
              <w:rPr/>
            </w:pPr>
            <w:r>
              <w:rPr>
                <w:b/>
                <w:bCs/>
                <w:sz w:val="22"/>
                <w:szCs w:val="22"/>
              </w:rPr>
              <w:t>Role</w:t>
            </w:r>
          </w:p>
        </w:tc>
        <w:tc>
          <w:tcPr>
            <w:tcW w:w="3009" w:type="dxa"/>
            <w:tcBorders>
              <w:top w:val="single" w:sz="2" w:space="0" w:color="000000"/>
              <w:left w:val="single" w:sz="2" w:space="0" w:color="000000"/>
              <w:bottom w:val="single" w:sz="2" w:space="0" w:color="000000"/>
              <w:right w:val="single" w:sz="2" w:space="0" w:color="000000"/>
            </w:tcBorders>
            <w:shd w:fill="D5E8F0" w:val="clear"/>
          </w:tcPr>
          <w:p>
            <w:pPr>
              <w:pStyle w:val="Normal"/>
              <w:widowControl w:val="false"/>
              <w:jc w:val="center"/>
              <w:rPr/>
            </w:pPr>
            <w:r>
              <w:rPr>
                <w:b/>
                <w:bCs/>
                <w:sz w:val="22"/>
                <w:szCs w:val="22"/>
              </w:rPr>
              <w:t>Signature / Date</w:t>
            </w:r>
          </w:p>
        </w:tc>
      </w:tr>
      <w:tr>
        <w:trPr/>
        <w:tc>
          <w:tcPr>
            <w:tcW w:w="300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Donald E. Shannon</w:t>
            </w:r>
          </w:p>
          <w:p>
            <w:pPr>
              <w:pStyle w:val="Normal"/>
              <w:widowControl w:val="false"/>
              <w:rPr/>
            </w:pPr>
            <w:r>
              <w:rPr>
                <w:i/>
                <w:iCs/>
                <w:sz w:val="20"/>
                <w:szCs w:val="20"/>
              </w:rPr>
              <w:t>Owner/Principal</w:t>
            </w:r>
          </w:p>
        </w:tc>
        <w:tc>
          <w:tcPr>
            <w:tcW w:w="3009"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System Owner</w:t>
            </w:r>
          </w:p>
        </w:tc>
        <w:tc>
          <w:tcPr>
            <w:tcW w:w="3009"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_____________________</w:t>
            </w:r>
          </w:p>
          <w:p>
            <w:pPr>
              <w:pStyle w:val="Normal"/>
              <w:widowControl w:val="false"/>
              <w:rPr/>
            </w:pPr>
            <w:r>
              <w:rPr>
                <w:sz w:val="20"/>
                <w:szCs w:val="20"/>
              </w:rPr>
              <w:t>Date: _______________</w:t>
            </w:r>
          </w:p>
        </w:tc>
      </w:tr>
      <w:tr>
        <w:trPr/>
        <w:tc>
          <w:tcPr>
            <w:tcW w:w="300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Donald E. Shannon</w:t>
            </w:r>
          </w:p>
          <w:p>
            <w:pPr>
              <w:pStyle w:val="Normal"/>
              <w:widowControl w:val="false"/>
              <w:rPr/>
            </w:pPr>
            <w:r>
              <w:rPr>
                <w:i/>
                <w:iCs/>
                <w:sz w:val="20"/>
                <w:szCs w:val="20"/>
              </w:rPr>
              <w:t>Owner/Principal</w:t>
            </w:r>
          </w:p>
        </w:tc>
        <w:tc>
          <w:tcPr>
            <w:tcW w:w="3009"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ISSO</w:t>
            </w:r>
          </w:p>
        </w:tc>
        <w:tc>
          <w:tcPr>
            <w:tcW w:w="3009"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_____________________</w:t>
            </w:r>
          </w:p>
          <w:p>
            <w:pPr>
              <w:pStyle w:val="Normal"/>
              <w:widowControl w:val="false"/>
              <w:rPr/>
            </w:pPr>
            <w:r>
              <w:rPr>
                <w:sz w:val="20"/>
                <w:szCs w:val="20"/>
              </w:rPr>
              <w:t>Date: _______________</w:t>
            </w:r>
          </w:p>
        </w:tc>
      </w:tr>
    </w:tbl>
    <w:p>
      <w:pPr>
        <w:pStyle w:val="Normal"/>
        <w:spacing w:before="240" w:after="60"/>
        <w:rPr/>
      </w:pPr>
      <w:r>
        <w:rPr>
          <w:b/>
          <w:bCs/>
        </w:rPr>
        <w:t xml:space="preserve">Review Schedule: </w:t>
      </w:r>
      <w:r>
        <w:rPr/>
        <w:t>Quarterly or upon significant system changes</w:t>
      </w:r>
    </w:p>
    <w:p>
      <w:pPr>
        <w:pStyle w:val="Normal"/>
        <w:spacing w:before="0" w:after="240"/>
        <w:rPr/>
      </w:pPr>
      <w:r>
        <w:rPr>
          <w:b/>
          <w:bCs/>
        </w:rPr>
        <w:t xml:space="preserve">Next Review Date: </w:t>
      </w:r>
      <w:r>
        <w:rPr/>
        <w:t>January 31, 2026</w:t>
      </w:r>
    </w:p>
    <w:p>
      <w:pPr>
        <w:pStyle w:val="Heading2"/>
        <w:rPr/>
      </w:pPr>
      <w:r>
        <w:rPr/>
        <w:t>Document Revision History</w:t>
      </w:r>
    </w:p>
    <w:tbl>
      <w:tblPr>
        <w:tblW w:w="5000" w:type="pct"/>
        <w:jc w:val="left"/>
        <w:tblInd w:w="0" w:type="dxa"/>
        <w:tblLayout w:type="fixed"/>
        <w:tblCellMar>
          <w:top w:w="100" w:type="dxa"/>
          <w:left w:w="180" w:type="dxa"/>
          <w:bottom w:w="100" w:type="dxa"/>
          <w:right w:w="180" w:type="dxa"/>
        </w:tblCellMar>
      </w:tblPr>
      <w:tblGrid>
        <w:gridCol w:w="1157"/>
        <w:gridCol w:w="1735"/>
        <w:gridCol w:w="2315"/>
        <w:gridCol w:w="3818"/>
      </w:tblGrid>
      <w:tr>
        <w:trPr>
          <w:tblHeader w:val="true"/>
        </w:trPr>
        <w:tc>
          <w:tcPr>
            <w:tcW w:w="1157" w:type="dxa"/>
            <w:tcBorders>
              <w:top w:val="single" w:sz="2" w:space="0" w:color="000000"/>
              <w:left w:val="single" w:sz="2" w:space="0" w:color="000000"/>
              <w:bottom w:val="single" w:sz="2" w:space="0" w:color="000000"/>
              <w:right w:val="single" w:sz="2" w:space="0" w:color="000000"/>
            </w:tcBorders>
            <w:shd w:fill="D5E8F0" w:val="clear"/>
          </w:tcPr>
          <w:p>
            <w:pPr>
              <w:pStyle w:val="Normal"/>
              <w:widowControl w:val="false"/>
              <w:jc w:val="center"/>
              <w:rPr/>
            </w:pPr>
            <w:r>
              <w:rPr>
                <w:b/>
                <w:bCs/>
                <w:sz w:val="20"/>
                <w:szCs w:val="20"/>
              </w:rPr>
              <w:t>Version</w:t>
            </w:r>
          </w:p>
        </w:tc>
        <w:tc>
          <w:tcPr>
            <w:tcW w:w="1735" w:type="dxa"/>
            <w:tcBorders>
              <w:top w:val="single" w:sz="2" w:space="0" w:color="000000"/>
              <w:left w:val="single" w:sz="2" w:space="0" w:color="000000"/>
              <w:bottom w:val="single" w:sz="2" w:space="0" w:color="000000"/>
              <w:right w:val="single" w:sz="2" w:space="0" w:color="000000"/>
            </w:tcBorders>
            <w:shd w:fill="D5E8F0" w:val="clear"/>
          </w:tcPr>
          <w:p>
            <w:pPr>
              <w:pStyle w:val="Normal"/>
              <w:widowControl w:val="false"/>
              <w:jc w:val="center"/>
              <w:rPr/>
            </w:pPr>
            <w:r>
              <w:rPr>
                <w:b/>
                <w:bCs/>
                <w:sz w:val="20"/>
                <w:szCs w:val="20"/>
              </w:rPr>
              <w:t>Date</w:t>
            </w:r>
          </w:p>
        </w:tc>
        <w:tc>
          <w:tcPr>
            <w:tcW w:w="2315" w:type="dxa"/>
            <w:tcBorders>
              <w:top w:val="single" w:sz="2" w:space="0" w:color="000000"/>
              <w:left w:val="single" w:sz="2" w:space="0" w:color="000000"/>
              <w:bottom w:val="single" w:sz="2" w:space="0" w:color="000000"/>
              <w:right w:val="single" w:sz="2" w:space="0" w:color="000000"/>
            </w:tcBorders>
            <w:shd w:fill="D5E8F0" w:val="clear"/>
          </w:tcPr>
          <w:p>
            <w:pPr>
              <w:pStyle w:val="Normal"/>
              <w:widowControl w:val="false"/>
              <w:jc w:val="center"/>
              <w:rPr/>
            </w:pPr>
            <w:r>
              <w:rPr>
                <w:b/>
                <w:bCs/>
                <w:sz w:val="20"/>
                <w:szCs w:val="20"/>
              </w:rPr>
              <w:t>Author</w:t>
            </w:r>
          </w:p>
        </w:tc>
        <w:tc>
          <w:tcPr>
            <w:tcW w:w="3818" w:type="dxa"/>
            <w:tcBorders>
              <w:top w:val="single" w:sz="2" w:space="0" w:color="000000"/>
              <w:left w:val="single" w:sz="2" w:space="0" w:color="000000"/>
              <w:bottom w:val="single" w:sz="2" w:space="0" w:color="000000"/>
              <w:right w:val="single" w:sz="2" w:space="0" w:color="000000"/>
            </w:tcBorders>
            <w:shd w:fill="D5E8F0" w:val="clear"/>
          </w:tcPr>
          <w:p>
            <w:pPr>
              <w:pStyle w:val="Normal"/>
              <w:widowControl w:val="false"/>
              <w:jc w:val="center"/>
              <w:rPr/>
            </w:pPr>
            <w:r>
              <w:rPr>
                <w:b/>
                <w:bCs/>
                <w:sz w:val="20"/>
                <w:szCs w:val="20"/>
              </w:rPr>
              <w:t>Description</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jc w:val="center"/>
              <w:rPr/>
            </w:pPr>
            <w:r>
              <w:rPr>
                <w:sz w:val="20"/>
                <w:szCs w:val="20"/>
              </w:rPr>
              <w:t>1.0</w:t>
            </w:r>
          </w:p>
        </w:tc>
        <w:tc>
          <w:tcPr>
            <w:tcW w:w="1735" w:type="dxa"/>
            <w:tcBorders>
              <w:top w:val="single" w:sz="2" w:space="0" w:color="000000"/>
              <w:left w:val="single" w:sz="2" w:space="0" w:color="000000"/>
              <w:bottom w:val="single" w:sz="2" w:space="0" w:color="000000"/>
              <w:right w:val="single" w:sz="2" w:space="0" w:color="000000"/>
            </w:tcBorders>
          </w:tcPr>
          <w:p>
            <w:pPr>
              <w:pStyle w:val="Normal"/>
              <w:widowControl w:val="false"/>
              <w:jc w:val="center"/>
              <w:rPr/>
            </w:pPr>
            <w:r>
              <w:rPr>
                <w:sz w:val="20"/>
                <w:szCs w:val="20"/>
              </w:rPr>
              <w:t>10/26/2025</w:t>
            </w:r>
          </w:p>
        </w:tc>
        <w:tc>
          <w:tcPr>
            <w:tcW w:w="2315"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D. Shannon</w:t>
            </w:r>
          </w:p>
        </w:tc>
        <w:tc>
          <w:tcPr>
            <w:tcW w:w="38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Initial SSP - Implementation Phase</w:t>
            </w:r>
          </w:p>
        </w:tc>
      </w:tr>
      <w:tr>
        <w:trPr/>
        <w:tc>
          <w:tcPr>
            <w:tcW w:w="1157" w:type="dxa"/>
            <w:tcBorders>
              <w:top w:val="single" w:sz="4" w:space="0" w:color="000000"/>
              <w:left w:val="single" w:sz="4" w:space="0" w:color="000000"/>
              <w:bottom w:val="single" w:sz="4" w:space="0" w:color="000000"/>
              <w:right w:val="single" w:sz="4" w:space="0" w:color="000000"/>
            </w:tcBorders>
          </w:tcPr>
          <w:p>
            <w:pPr>
              <w:pStyle w:val="Normal"/>
              <w:widowControl w:val="false"/>
              <w:rPr>
                <w:sz w:val="20"/>
                <w:szCs w:val="20"/>
              </w:rPr>
            </w:pPr>
            <w:r>
              <w:rPr>
                <w:sz w:val="20"/>
                <w:szCs w:val="20"/>
              </w:rPr>
              <w:t>1.1</w:t>
            </w:r>
          </w:p>
        </w:tc>
        <w:tc>
          <w:tcPr>
            <w:tcW w:w="1735" w:type="dxa"/>
            <w:tcBorders>
              <w:top w:val="single" w:sz="4" w:space="0" w:color="000000"/>
              <w:left w:val="single" w:sz="4" w:space="0" w:color="000000"/>
              <w:bottom w:val="single" w:sz="4" w:space="0" w:color="000000"/>
              <w:right w:val="single" w:sz="4" w:space="0" w:color="000000"/>
            </w:tcBorders>
          </w:tcPr>
          <w:p>
            <w:pPr>
              <w:pStyle w:val="Normal"/>
              <w:widowControl w:val="false"/>
              <w:rPr>
                <w:sz w:val="20"/>
                <w:szCs w:val="20"/>
              </w:rPr>
            </w:pPr>
            <w:r>
              <w:rPr>
                <w:sz w:val="20"/>
                <w:szCs w:val="20"/>
              </w:rPr>
              <w:t>October 28, 2025</w:t>
            </w:r>
          </w:p>
        </w:tc>
        <w:tc>
          <w:tcPr>
            <w:tcW w:w="2315" w:type="dxa"/>
            <w:tcBorders>
              <w:top w:val="single" w:sz="4" w:space="0" w:color="000000"/>
              <w:left w:val="single" w:sz="4" w:space="0" w:color="000000"/>
              <w:bottom w:val="single" w:sz="4" w:space="0" w:color="000000"/>
              <w:right w:val="single" w:sz="4" w:space="0" w:color="000000"/>
            </w:tcBorders>
          </w:tcPr>
          <w:p>
            <w:pPr>
              <w:pStyle w:val="Normal"/>
              <w:widowControl w:val="false"/>
              <w:rPr>
                <w:sz w:val="20"/>
                <w:szCs w:val="20"/>
              </w:rPr>
            </w:pPr>
            <w:r>
              <w:rPr>
                <w:sz w:val="20"/>
                <w:szCs w:val="20"/>
              </w:rPr>
              <w:t>D. Shannon</w:t>
            </w:r>
          </w:p>
        </w:tc>
        <w:tc>
          <w:tcPr>
            <w:tcW w:w="3818" w:type="dxa"/>
            <w:tcBorders>
              <w:top w:val="single" w:sz="4" w:space="0" w:color="000000"/>
              <w:left w:val="single" w:sz="4" w:space="0" w:color="000000"/>
              <w:bottom w:val="single" w:sz="4" w:space="0" w:color="000000"/>
              <w:right w:val="single" w:sz="4" w:space="0" w:color="000000"/>
            </w:tcBorders>
          </w:tcPr>
          <w:p>
            <w:pPr>
              <w:pStyle w:val="Normal"/>
              <w:widowControl w:val="false"/>
              <w:rPr>
                <w:sz w:val="20"/>
                <w:szCs w:val="20"/>
              </w:rPr>
            </w:pPr>
            <w:r>
              <w:rPr>
                <w:sz w:val="20"/>
                <w:szCs w:val="20"/>
              </w:rPr>
              <w:t>RAID 5 array rebuilt with FIPS-compliant LUKS encryption; GUI/console/SSH login banners implemented; ClamAV antivirus installed and configured; Samba share configured for CUI data</w:t>
            </w:r>
          </w:p>
        </w:tc>
      </w:tr>
    </w:tbl>
    <w:p>
      <w:pPr>
        <w:pStyle w:val="Normal"/>
        <w:rPr/>
      </w:pPr>
      <w:r>
        <w:rPr/>
      </w:r>
    </w:p>
    <w:sdt>
      <w:sdtPr>
        <w:docPartObj>
          <w:docPartGallery w:val="Table of Contents"/>
          <w:docPartUnique w:val="true"/>
        </w:docPartObj>
      </w:sdtPr>
      <w:sdtContent>
        <w:p>
          <w:pPr>
            <w:pStyle w:val="Normal"/>
            <w:rPr/>
          </w:pPr>
          <w:r>
            <w:br w:type="page"/>
          </w:r>
          <w:r>
            <w:fldChar w:fldCharType="begin"/>
          </w:r>
          <w:r>
            <w:rPr/>
            <w:instrText>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rPr/>
      </w:pPr>
      <w:r>
        <w:rPr/>
        <w:t>EXECUTIVE SUMMARY</w:t>
      </w:r>
    </w:p>
    <w:p>
      <w:pPr>
        <w:pStyle w:val="Heading2"/>
        <w:rPr/>
      </w:pPr>
      <w:r>
        <w:rPr/>
        <w:t>1.1 Purpose</w:t>
      </w:r>
    </w:p>
    <w:p>
      <w:pPr>
        <w:pStyle w:val="Normal"/>
        <w:spacing w:before="0" w:after="180"/>
        <w:rPr/>
      </w:pPr>
      <w:r>
        <w:rPr>
          <w:sz w:val="22"/>
          <w:szCs w:val="22"/>
        </w:rPr>
        <w:t>This System Security Plan (SSP) documents the security controls implemented for The Contract Coach's production network environment that processes, stores, and transmits Controlled Unclassified Information (CUI) and Federal Contract Information (FCI). This SSP demonstrates compliance with NIST SP 800-171 Rev 2 requirements as mandated by FAR 52.204-21 and supports Cybersecurity Maturity Model Certification (CMMC) Level 1 and Level 2 certification readiness.</w:t>
      </w:r>
    </w:p>
    <w:p>
      <w:pPr>
        <w:pStyle w:val="Heading2"/>
        <w:rPr/>
      </w:pPr>
      <w:r>
        <w:rPr/>
        <w:t>1.2 System Overview</w:t>
      </w:r>
    </w:p>
    <w:p>
      <w:pPr>
        <w:pStyle w:val="Normal"/>
        <w:spacing w:before="0" w:after="180"/>
        <w:rPr/>
      </w:pPr>
      <w:r>
        <w:rPr>
          <w:sz w:val="22"/>
          <w:szCs w:val="22"/>
        </w:rPr>
        <w:t>The CyberHygiene Production Network (cyberinabox.net) is a Microsoft-free, open-source infrastructure built on Rocky Linux 9.6 to provide secure identity management, file storage, email services, and client workstation management for The Contract Coach's government contracting operations.</w:t>
      </w:r>
    </w:p>
    <w:p>
      <w:pPr>
        <w:pStyle w:val="Normal"/>
        <w:spacing w:before="120" w:after="60"/>
        <w:rPr/>
      </w:pPr>
      <w:r>
        <w:rPr/>
        <w:t>Current Implementation Status: 88% Complete (as of October 28, 2025)</w:t>
      </w:r>
    </w:p>
    <w:p>
      <w:pPr>
        <w:pStyle w:val="Normal"/>
        <w:spacing w:before="0" w:after="60"/>
        <w:rPr/>
      </w:pPr>
      <w:r>
        <w:rPr>
          <w:b/>
          <w:bCs/>
        </w:rPr>
        <w:t xml:space="preserve">Target Completion Date: </w:t>
      </w:r>
      <w:r>
        <w:rPr/>
        <w:t>December 31, 2025</w:t>
      </w:r>
    </w:p>
    <w:p>
      <w:pPr>
        <w:pStyle w:val="Normal"/>
        <w:spacing w:before="0" w:after="180"/>
        <w:rPr/>
      </w:pPr>
      <w:r>
        <w:rPr>
          <w:b/>
          <w:bCs/>
        </w:rPr>
        <w:t xml:space="preserve">Compliance Verification: </w:t>
      </w:r>
      <w:r>
        <w:rPr>
          <w:color w:val="00B050"/>
        </w:rPr>
        <w:t xml:space="preserve">100% OpenSCAP CUI Profile </w:t>
      </w:r>
      <w:r>
        <w:rPr/>
        <w:t>(105/105 checks passed on all systems)</w:t>
      </w:r>
    </w:p>
    <w:p>
      <w:pPr>
        <w:pStyle w:val="Heading2"/>
        <w:rPr/>
      </w:pPr>
      <w:r>
        <w:rPr/>
        <w:t>1.3 Compliance Requirements</w:t>
      </w:r>
    </w:p>
    <w:p>
      <w:pPr>
        <w:pStyle w:val="Normal"/>
        <w:spacing w:before="120" w:after="60"/>
        <w:rPr/>
      </w:pPr>
      <w:r>
        <w:rPr>
          <w:b/>
          <w:bCs/>
        </w:rPr>
        <w:t>Primary Requirements:</w:t>
      </w:r>
    </w:p>
    <w:p>
      <w:pPr>
        <w:pStyle w:val="ListParagraph"/>
        <w:numPr>
          <w:ilvl w:val="0"/>
          <w:numId w:val="4"/>
        </w:numPr>
        <w:rPr/>
      </w:pPr>
      <w:r>
        <w:rPr/>
        <w:t>NIST SP 800-171 Rev 2 - Protecting CUI in Nonfederal Systems</w:t>
      </w:r>
    </w:p>
    <w:p>
      <w:pPr>
        <w:pStyle w:val="ListParagraph"/>
        <w:numPr>
          <w:ilvl w:val="0"/>
          <w:numId w:val="1"/>
        </w:numPr>
        <w:rPr/>
      </w:pPr>
      <w:r>
        <w:rPr/>
        <w:t>FIPS 140-2/140-3 - Cryptographic Module Validation</w:t>
      </w:r>
    </w:p>
    <w:p>
      <w:pPr>
        <w:pStyle w:val="ListParagraph"/>
        <w:numPr>
          <w:ilvl w:val="0"/>
          <w:numId w:val="1"/>
        </w:numPr>
        <w:rPr/>
      </w:pPr>
      <w:r>
        <w:rPr/>
        <w:t>FAR 52.204-21 - Basic Safeguarding of Covered Contractor Information Systems</w:t>
      </w:r>
    </w:p>
    <w:p>
      <w:pPr>
        <w:pStyle w:val="ListParagraph"/>
        <w:numPr>
          <w:ilvl w:val="0"/>
          <w:numId w:val="1"/>
        </w:numPr>
        <w:rPr/>
      </w:pPr>
      <w:r>
        <w:rPr/>
        <w:t>DFARS 252.204-7012 - Safeguarding Covered Defense Information</w:t>
      </w:r>
    </w:p>
    <w:p>
      <w:pPr>
        <w:pStyle w:val="ListParagraph"/>
        <w:numPr>
          <w:ilvl w:val="0"/>
          <w:numId w:val="1"/>
        </w:numPr>
        <w:rPr/>
      </w:pPr>
      <w:r>
        <w:rPr/>
        <w:t>CMMC Level 1 - Foundational cybersecurity practices (17 practices)</w:t>
      </w:r>
    </w:p>
    <w:p>
      <w:pPr>
        <w:pStyle w:val="ListParagraph"/>
        <w:numPr>
          <w:ilvl w:val="0"/>
          <w:numId w:val="1"/>
        </w:numPr>
        <w:spacing w:before="0" w:after="180"/>
        <w:rPr/>
      </w:pPr>
      <w:r>
        <w:rPr/>
        <w:t>CMMC Level 2 - Advanced cybersecurity practices (110 practices)</w:t>
      </w:r>
    </w:p>
    <w:p>
      <w:pPr>
        <w:pStyle w:val="Normal"/>
        <w:spacing w:before="120" w:after="60"/>
        <w:rPr/>
      </w:pPr>
      <w:r>
        <w:rPr>
          <w:b/>
          <w:bCs/>
        </w:rPr>
        <w:t>Supporting Standards:</w:t>
      </w:r>
    </w:p>
    <w:p>
      <w:pPr>
        <w:pStyle w:val="ListParagraph"/>
        <w:numPr>
          <w:ilvl w:val="0"/>
          <w:numId w:val="1"/>
        </w:numPr>
        <w:rPr/>
      </w:pPr>
      <w:r>
        <w:rPr/>
        <w:t>NIST SP 800-53 Rev 5 - Security and Privacy Controls</w:t>
      </w:r>
    </w:p>
    <w:p>
      <w:pPr>
        <w:pStyle w:val="ListParagraph"/>
        <w:numPr>
          <w:ilvl w:val="0"/>
          <w:numId w:val="1"/>
        </w:numPr>
        <w:rPr/>
      </w:pPr>
      <w:r>
        <w:rPr/>
        <w:t>NIST SP 800-171A - Assessing Security Requirements for CUI</w:t>
      </w:r>
    </w:p>
    <w:p>
      <w:pPr>
        <w:pStyle w:val="ListParagraph"/>
        <w:numPr>
          <w:ilvl w:val="0"/>
          <w:numId w:val="1"/>
        </w:numPr>
        <w:spacing w:before="0" w:after="240"/>
        <w:rPr/>
      </w:pPr>
      <w:r>
        <w:rPr/>
        <w:t>CIS Controls - Center for Internet Security Benchmarks</w:t>
      </w:r>
    </w:p>
    <w:p>
      <w:pPr>
        <w:pStyle w:val="Heading2"/>
        <w:rPr/>
      </w:pPr>
      <w:r>
        <w:rPr/>
        <w:t>1.4 Key Findings</w:t>
      </w:r>
    </w:p>
    <w:p>
      <w:pPr>
        <w:pStyle w:val="Normal"/>
        <w:spacing w:before="120" w:after="60"/>
        <w:rPr/>
      </w:pPr>
      <w:r>
        <w:rPr>
          <w:b/>
          <w:bCs/>
          <w:color w:val="00B050"/>
        </w:rPr>
        <w:t>Strengths:</w:t>
      </w:r>
    </w:p>
    <w:p>
      <w:pPr>
        <w:pStyle w:val="ListParagraph"/>
        <w:numPr>
          <w:ilvl w:val="0"/>
          <w:numId w:val="1"/>
        </w:numPr>
        <w:rPr/>
      </w:pPr>
      <w:r>
        <w:rPr/>
        <w:t>FIPS 140-2 cryptographic validation active on all systems (server + 3 workstations)</w:t>
      </w:r>
    </w:p>
    <w:p>
      <w:pPr>
        <w:pStyle w:val="ListParagraph"/>
        <w:numPr>
          <w:ilvl w:val="0"/>
          <w:numId w:val="1"/>
        </w:numPr>
        <w:rPr/>
      </w:pPr>
      <w:r>
        <w:rPr/>
        <w:t>100% compliance verified via OpenSCAP automated scanning on all systems</w:t>
      </w:r>
    </w:p>
    <w:p>
      <w:pPr>
        <w:pStyle w:val="ListParagraph"/>
        <w:numPr>
          <w:ilvl w:val="0"/>
          <w:numId w:val="1"/>
        </w:numPr>
        <w:rPr/>
      </w:pPr>
      <w:r>
        <w:rPr/>
        <w:t>Three production workstations fully deployed and hardened</w:t>
      </w:r>
    </w:p>
    <w:p>
      <w:pPr>
        <w:pStyle w:val="ListParagraph"/>
        <w:numPr>
          <w:ilvl w:val="0"/>
          <w:numId w:val="1"/>
        </w:numPr>
        <w:rPr/>
      </w:pPr>
      <w:r>
        <w:rPr/>
        <w:t>Strong authentication via Kerberos SSO (FreeIPA)</w:t>
      </w:r>
    </w:p>
    <w:p>
      <w:pPr>
        <w:pStyle w:val="ListParagraph"/>
        <w:numPr>
          <w:ilvl w:val="0"/>
          <w:numId w:val="1"/>
        </w:numPr>
        <w:rPr/>
      </w:pPr>
      <w:r>
        <w:rPr/>
        <w:t>Comprehensive audit logging to dedicated encrypted partitions</w:t>
      </w:r>
    </w:p>
    <w:p>
      <w:pPr>
        <w:pStyle w:val="ListParagraph"/>
        <w:numPr>
          <w:ilvl w:val="0"/>
          <w:numId w:val="1"/>
        </w:numPr>
        <w:rPr/>
      </w:pPr>
      <w:r>
        <w:rPr/>
        <w:t>Automatic security patching configured and operational</w:t>
      </w:r>
    </w:p>
    <w:p>
      <w:pPr>
        <w:pStyle w:val="ListParagraph"/>
        <w:numPr>
          <w:ilvl w:val="0"/>
          <w:numId w:val="1"/>
        </w:numPr>
        <w:rPr/>
      </w:pPr>
      <w:r>
        <w:rPr/>
        <w:t>5.5TB encrypted RAID 5 storage array operational</w:t>
      </w:r>
    </w:p>
    <w:p>
      <w:pPr>
        <w:pStyle w:val="ListParagraph"/>
        <w:numPr>
          <w:ilvl w:val="0"/>
          <w:numId w:val="1"/>
        </w:numPr>
        <w:rPr/>
      </w:pPr>
      <w:r>
        <w:rPr/>
        <w:t>Network segmentation via firewall with IDS/IPS capability</w:t>
      </w:r>
    </w:p>
    <w:p>
      <w:pPr>
        <w:pStyle w:val="ListParagraph"/>
        <w:numPr>
          <w:ilvl w:val="0"/>
          <w:numId w:val="1"/>
        </w:numPr>
        <w:spacing w:before="0" w:after="180"/>
        <w:rPr/>
      </w:pPr>
      <w:r>
        <w:rPr/>
        <w:t>Centralized logging infrastructure operational</w:t>
      </w:r>
    </w:p>
    <w:p>
      <w:pPr>
        <w:pStyle w:val="Normal"/>
        <w:spacing w:before="120" w:after="60"/>
        <w:rPr/>
      </w:pPr>
      <w:r>
        <w:rPr>
          <w:b/>
          <w:bCs/>
          <w:color w:val="C00000"/>
        </w:rPr>
        <w:t>Areas Requiring Completion (see POA&amp;M Section 10):</w:t>
      </w:r>
    </w:p>
    <w:p>
      <w:pPr>
        <w:pStyle w:val="ListParagraph"/>
        <w:numPr>
          <w:ilvl w:val="0"/>
          <w:numId w:val="1"/>
        </w:numPr>
        <w:rPr/>
      </w:pPr>
      <w:r>
        <w:rPr/>
        <w:t>File sharing capability (Samba FIPS compatibility issue - alternative solution needed)</w:t>
      </w:r>
    </w:p>
    <w:p>
      <w:pPr>
        <w:pStyle w:val="ListParagraph"/>
        <w:numPr>
          <w:ilvl w:val="0"/>
          <w:numId w:val="1"/>
        </w:numPr>
        <w:rPr/>
      </w:pPr>
      <w:r>
        <w:rPr/>
        <w:t>Email server deployment (Postfix/Dovecot with encryption)</w:t>
      </w:r>
    </w:p>
    <w:p>
      <w:pPr>
        <w:pStyle w:val="ListParagraph"/>
        <w:numPr>
          <w:ilvl w:val="0"/>
          <w:numId w:val="1"/>
        </w:numPr>
        <w:rPr/>
      </w:pPr>
      <w:r>
        <w:rPr/>
        <w:t>Backup and recovery system implementation</w:t>
      </w:r>
    </w:p>
    <w:p>
      <w:pPr>
        <w:pStyle w:val="ListParagraph"/>
        <w:numPr>
          <w:ilvl w:val="0"/>
          <w:numId w:val="1"/>
        </w:numPr>
        <w:rPr/>
      </w:pPr>
      <w:r>
        <w:rPr/>
        <w:t>Multi-factor authentication configuration</w:t>
      </w:r>
    </w:p>
    <w:p>
      <w:pPr>
        <w:pStyle w:val="ListParagraph"/>
        <w:numPr>
          <w:ilvl w:val="0"/>
          <w:numId w:val="1"/>
        </w:numPr>
        <w:rPr/>
      </w:pPr>
      <w:r>
        <w:rPr/>
        <w:t>Formal incident response procedures documentation</w:t>
      </w:r>
    </w:p>
    <w:p>
      <w:pPr>
        <w:pStyle w:val="ListParagraph"/>
        <w:numPr>
          <w:ilvl w:val="0"/>
          <w:numId w:val="1"/>
        </w:numPr>
        <w:spacing w:before="0" w:after="240"/>
        <w:rPr/>
      </w:pPr>
      <w:r>
        <w:rPr/>
        <w:t>Security awareness training program</w:t>
      </w:r>
    </w:p>
    <w:p>
      <w:pPr>
        <w:pStyle w:val="Heading2"/>
        <w:rPr/>
      </w:pPr>
      <w:r>
        <w:rPr/>
        <w:t>1.5 Authorization</w:t>
      </w:r>
    </w:p>
    <w:p>
      <w:pPr>
        <w:pStyle w:val="Normal"/>
        <w:spacing w:before="0" w:after="180"/>
        <w:rPr/>
      </w:pPr>
      <w:r>
        <w:rPr>
          <w:sz w:val="22"/>
          <w:szCs w:val="22"/>
        </w:rPr>
        <w:t>This system is authorized to operate in a production environment for processing CUI and FCI under the authority of Donald E. Shannon, System Owner, pending completion of remaining security controls by December 31, 2025.</w:t>
      </w:r>
    </w:p>
    <w:p>
      <w:pPr>
        <w:pStyle w:val="Normal"/>
        <w:spacing w:before="0" w:after="60"/>
        <w:rPr/>
      </w:pPr>
      <w:r>
        <w:rPr>
          <w:b/>
          <w:bCs/>
        </w:rPr>
        <w:t xml:space="preserve">Conditional Authorization Granted: </w:t>
      </w:r>
      <w:r>
        <w:rPr/>
        <w:t>October 26, 2025</w:t>
      </w:r>
    </w:p>
    <w:p>
      <w:pPr>
        <w:pStyle w:val="Normal"/>
        <w:spacing w:before="0" w:after="60"/>
        <w:rPr/>
      </w:pPr>
      <w:r>
        <w:rPr>
          <w:b/>
          <w:bCs/>
        </w:rPr>
        <w:t xml:space="preserve">Authorization Termination Date: </w:t>
      </w:r>
      <w:r>
        <w:rPr/>
        <w:t>December 31, 2025 (pending full implementation)</w:t>
      </w:r>
    </w:p>
    <w:p>
      <w:pPr>
        <w:pStyle w:val="Normal"/>
        <w:spacing w:before="0" w:after="240"/>
        <w:rPr/>
      </w:pPr>
      <w:r>
        <w:rPr>
          <w:b/>
          <w:bCs/>
        </w:rPr>
        <w:t xml:space="preserve">Full Authorization Target: </w:t>
      </w:r>
      <w:r>
        <w:rPr/>
        <w:t>January 1, 2026</w:t>
      </w:r>
    </w:p>
    <w:p>
      <w:pPr>
        <w:pStyle w:val="Normal"/>
        <w:rPr/>
      </w:pPr>
      <w:r>
        <w:rPr/>
      </w:r>
      <w:r>
        <w:br w:type="page"/>
      </w:r>
    </w:p>
    <w:p>
      <w:pPr>
        <w:pStyle w:val="Heading1"/>
        <w:rPr/>
      </w:pPr>
      <w:r>
        <w:rPr/>
        <w:t>SYSTEM IDENTIFICATION</w:t>
      </w:r>
    </w:p>
    <w:p>
      <w:pPr>
        <w:pStyle w:val="Heading2"/>
        <w:rPr/>
      </w:pPr>
      <w:r>
        <w:rPr/>
        <w:t>2.1 System Information</w:t>
      </w:r>
    </w:p>
    <w:p>
      <w:pPr>
        <w:pStyle w:val="Normal"/>
        <w:spacing w:before="0" w:after="60"/>
        <w:rPr/>
      </w:pPr>
      <w:r>
        <w:rPr>
          <w:b/>
          <w:bCs/>
        </w:rPr>
        <w:t xml:space="preserve">System Name: </w:t>
      </w:r>
      <w:r>
        <w:rPr/>
        <w:t>CyberHygiene Production Network</w:t>
      </w:r>
    </w:p>
    <w:p>
      <w:pPr>
        <w:pStyle w:val="Normal"/>
        <w:spacing w:before="0" w:after="60"/>
        <w:rPr/>
      </w:pPr>
      <w:r>
        <w:rPr>
          <w:b/>
          <w:bCs/>
        </w:rPr>
        <w:t xml:space="preserve">System Acronym: </w:t>
      </w:r>
      <w:r>
        <w:rPr/>
        <w:t>CPN</w:t>
      </w:r>
    </w:p>
    <w:p>
      <w:pPr>
        <w:pStyle w:val="Normal"/>
        <w:spacing w:before="0" w:after="60"/>
        <w:rPr/>
      </w:pPr>
      <w:r>
        <w:rPr>
          <w:b/>
          <w:bCs/>
        </w:rPr>
        <w:t xml:space="preserve">System Owner: </w:t>
      </w:r>
      <w:r>
        <w:rPr/>
        <w:t>Donald E. Shannon LLC dba The Contract Coach</w:t>
      </w:r>
    </w:p>
    <w:p>
      <w:pPr>
        <w:pStyle w:val="Normal"/>
        <w:spacing w:before="0" w:after="60"/>
        <w:rPr/>
      </w:pPr>
      <w:r>
        <w:rPr>
          <w:b/>
          <w:bCs/>
        </w:rPr>
        <w:t xml:space="preserve">System Type: </w:t>
      </w:r>
      <w:r>
        <w:rPr/>
        <w:t>General Support System (GSS)</w:t>
      </w:r>
    </w:p>
    <w:p>
      <w:pPr>
        <w:pStyle w:val="Normal"/>
        <w:spacing w:before="0" w:after="240"/>
        <w:rPr/>
      </w:pPr>
      <w:r>
        <w:rPr/>
        <w:t>Operational Status: Implementation Phase (88% Complete)</w:t>
      </w:r>
    </w:p>
    <w:p>
      <w:pPr>
        <w:pStyle w:val="Heading2"/>
        <w:rPr/>
      </w:pPr>
      <w:r>
        <w:rPr/>
        <w:t>2.2 Organization Information</w:t>
      </w:r>
    </w:p>
    <w:p>
      <w:pPr>
        <w:pStyle w:val="Normal"/>
        <w:spacing w:before="0" w:after="60"/>
        <w:rPr/>
      </w:pPr>
      <w:r>
        <w:rPr>
          <w:b/>
          <w:bCs/>
        </w:rPr>
        <w:t xml:space="preserve">Legal Entity: </w:t>
      </w:r>
      <w:r>
        <w:rPr/>
        <w:t>Donald E. Shannon LLC</w:t>
      </w:r>
    </w:p>
    <w:p>
      <w:pPr>
        <w:pStyle w:val="Normal"/>
        <w:spacing w:before="0" w:after="60"/>
        <w:rPr/>
      </w:pPr>
      <w:r>
        <w:rPr>
          <w:b/>
          <w:bCs/>
        </w:rPr>
        <w:t xml:space="preserve">Doing Business As: </w:t>
      </w:r>
      <w:r>
        <w:rPr/>
        <w:t>The Contract Coach</w:t>
      </w:r>
    </w:p>
    <w:p>
      <w:pPr>
        <w:pStyle w:val="Normal"/>
        <w:spacing w:before="0" w:after="60"/>
        <w:rPr/>
      </w:pPr>
      <w:r>
        <w:rPr>
          <w:b/>
          <w:bCs/>
        </w:rPr>
        <w:t xml:space="preserve">CAGE Code: </w:t>
      </w:r>
      <w:r>
        <w:rPr/>
        <w:t>5QHR9</w:t>
      </w:r>
    </w:p>
    <w:p>
      <w:pPr>
        <w:pStyle w:val="Normal"/>
        <w:spacing w:before="0" w:after="60"/>
        <w:rPr/>
      </w:pPr>
      <w:r>
        <w:rPr>
          <w:b/>
          <w:bCs/>
        </w:rPr>
        <w:t xml:space="preserve">DUNS Number: </w:t>
      </w:r>
      <w:r>
        <w:rPr/>
        <w:t>832123793</w:t>
      </w:r>
    </w:p>
    <w:p>
      <w:pPr>
        <w:pStyle w:val="Normal"/>
        <w:spacing w:before="0" w:after="60"/>
        <w:rPr/>
      </w:pPr>
      <w:r>
        <w:rPr>
          <w:b/>
          <w:bCs/>
        </w:rPr>
        <w:t xml:space="preserve">NAICS Codes: </w:t>
      </w:r>
      <w:r>
        <w:rPr/>
        <w:t>541611, 541613, 541690</w:t>
      </w:r>
    </w:p>
    <w:p>
      <w:pPr>
        <w:pStyle w:val="Normal"/>
        <w:spacing w:before="0" w:after="240"/>
        <w:rPr/>
      </w:pPr>
      <w:r>
        <w:rPr>
          <w:b/>
          <w:bCs/>
        </w:rPr>
        <w:t xml:space="preserve">Business Location: </w:t>
      </w:r>
      <w:r>
        <w:rPr/>
        <w:t>Albuquerque, New Mexico</w:t>
      </w:r>
    </w:p>
    <w:p>
      <w:pPr>
        <w:pStyle w:val="Heading2"/>
        <w:rPr/>
      </w:pPr>
      <w:r>
        <w:rPr/>
        <w:t>2.3 Contact Information</w:t>
      </w:r>
    </w:p>
    <w:p>
      <w:pPr>
        <w:pStyle w:val="Normal"/>
        <w:spacing w:before="120" w:after="60"/>
        <w:rPr/>
      </w:pPr>
      <w:r>
        <w:rPr>
          <w:b/>
          <w:bCs/>
        </w:rPr>
        <w:t>System Owner / ISSO:</w:t>
      </w:r>
    </w:p>
    <w:p>
      <w:pPr>
        <w:pStyle w:val="Normal"/>
        <w:spacing w:before="0" w:after="30"/>
        <w:rPr/>
      </w:pPr>
      <w:r>
        <w:rPr>
          <w:b/>
          <w:bCs/>
        </w:rPr>
        <w:t xml:space="preserve">Name: </w:t>
      </w:r>
      <w:r>
        <w:rPr/>
        <w:t>Donald E. Shannon</w:t>
      </w:r>
    </w:p>
    <w:p>
      <w:pPr>
        <w:pStyle w:val="Normal"/>
        <w:spacing w:before="0" w:after="30"/>
        <w:rPr/>
      </w:pPr>
      <w:r>
        <w:rPr>
          <w:b/>
          <w:bCs/>
        </w:rPr>
        <w:t xml:space="preserve">Title: </w:t>
      </w:r>
      <w:r>
        <w:rPr/>
        <w:t>Owner/Principal</w:t>
      </w:r>
    </w:p>
    <w:p>
      <w:pPr>
        <w:pStyle w:val="Normal"/>
        <w:spacing w:before="0" w:after="30"/>
        <w:rPr/>
      </w:pPr>
      <w:r>
        <w:rPr>
          <w:b/>
          <w:bCs/>
        </w:rPr>
        <w:t xml:space="preserve">Email: </w:t>
      </w:r>
      <w:r>
        <w:rPr/>
        <w:t>Don@Contractcoach.com</w:t>
      </w:r>
    </w:p>
    <w:p>
      <w:pPr>
        <w:pStyle w:val="Normal"/>
        <w:spacing w:before="0" w:after="30"/>
        <w:rPr/>
      </w:pPr>
      <w:r>
        <w:rPr>
          <w:b/>
          <w:bCs/>
        </w:rPr>
        <w:t xml:space="preserve">Phone: </w:t>
      </w:r>
      <w:r>
        <w:rPr/>
        <w:t>505.259.8485</w:t>
      </w:r>
    </w:p>
    <w:p>
      <w:pPr>
        <w:pStyle w:val="Normal"/>
        <w:spacing w:before="0" w:after="240"/>
        <w:rPr/>
      </w:pPr>
      <w:r>
        <w:rPr>
          <w:b/>
          <w:bCs/>
        </w:rPr>
        <w:t xml:space="preserve">Security Clearance: </w:t>
      </w:r>
      <w:r>
        <w:rPr/>
        <w:t>Active DoD Top Secret</w:t>
      </w:r>
    </w:p>
    <w:p>
      <w:pPr>
        <w:pStyle w:val="Heading2"/>
        <w:rPr/>
      </w:pPr>
      <w:r>
        <w:rPr/>
        <w:t>2.4 System Categorization</w:t>
      </w:r>
    </w:p>
    <w:p>
      <w:pPr>
        <w:pStyle w:val="Normal"/>
        <w:spacing w:before="120" w:after="60"/>
        <w:rPr/>
      </w:pPr>
      <w:r>
        <w:rPr>
          <w:b/>
          <w:bCs/>
        </w:rPr>
        <w:t>Based on FIPS 199 Standards for Security Categorization:</w:t>
      </w:r>
    </w:p>
    <w:p>
      <w:pPr>
        <w:pStyle w:val="Normal"/>
        <w:spacing w:before="0" w:after="60"/>
        <w:rPr/>
      </w:pPr>
      <w:r>
        <w:rPr>
          <w:b/>
          <w:bCs/>
        </w:rPr>
        <w:t xml:space="preserve">Information Type: </w:t>
      </w:r>
      <w:r>
        <w:rPr/>
        <w:t>Federal Contract Information (FCI) / Controlled Unclassified Information (CUI)</w:t>
      </w:r>
    </w:p>
    <w:p>
      <w:pPr>
        <w:pStyle w:val="Normal"/>
        <w:spacing w:before="0" w:after="30"/>
        <w:rPr/>
      </w:pPr>
      <w:r>
        <w:rPr>
          <w:b/>
          <w:bCs/>
        </w:rPr>
        <w:t xml:space="preserve">Confidentiality: </w:t>
      </w:r>
      <w:r>
        <w:rPr>
          <w:color w:val="FF8C00"/>
        </w:rPr>
        <w:t>MODERATE</w:t>
      </w:r>
    </w:p>
    <w:p>
      <w:pPr>
        <w:pStyle w:val="Normal"/>
        <w:spacing w:before="0" w:after="30"/>
        <w:rPr/>
      </w:pPr>
      <w:r>
        <w:rPr>
          <w:b/>
          <w:bCs/>
        </w:rPr>
        <w:t xml:space="preserve">Integrity: </w:t>
      </w:r>
      <w:r>
        <w:rPr>
          <w:color w:val="FF8C00"/>
        </w:rPr>
        <w:t>MODERATE</w:t>
      </w:r>
    </w:p>
    <w:p>
      <w:pPr>
        <w:pStyle w:val="Normal"/>
        <w:spacing w:before="0" w:after="60"/>
        <w:rPr/>
      </w:pPr>
      <w:r>
        <w:rPr>
          <w:b/>
          <w:bCs/>
        </w:rPr>
        <w:t xml:space="preserve">Availability: </w:t>
      </w:r>
      <w:r>
        <w:rPr>
          <w:color w:val="2E75B5"/>
        </w:rPr>
        <w:t>LOW</w:t>
      </w:r>
    </w:p>
    <w:p>
      <w:pPr>
        <w:pStyle w:val="Normal"/>
        <w:spacing w:before="0" w:after="120"/>
        <w:rPr/>
      </w:pPr>
      <w:r>
        <w:rPr>
          <w:b/>
          <w:bCs/>
        </w:rPr>
        <w:t xml:space="preserve">Overall System Categorization: </w:t>
      </w:r>
      <w:r>
        <w:rPr>
          <w:b/>
          <w:bCs/>
          <w:color w:val="FF8C00"/>
        </w:rPr>
        <w:t>MODERATE</w:t>
      </w:r>
    </w:p>
    <w:p>
      <w:pPr>
        <w:pStyle w:val="Normal"/>
        <w:spacing w:before="0" w:after="240"/>
        <w:rPr/>
      </w:pPr>
      <w:r>
        <w:rPr>
          <w:sz w:val="22"/>
          <w:szCs w:val="22"/>
        </w:rPr>
        <w:t>Rationale: The system processes and stores government contract information, proposals, cost/pricing data, and other sensitive business information that requires protection from unauthorized disclosure (Confidentiality) and modification (Integrity). Loss of availability would impact business operations but not result in significant harm to government interests.</w:t>
      </w:r>
    </w:p>
    <w:p>
      <w:pPr>
        <w:pStyle w:val="Normal"/>
        <w:rPr/>
      </w:pPr>
      <w:r>
        <w:rPr/>
      </w:r>
      <w:r>
        <w:br w:type="page"/>
      </w:r>
    </w:p>
    <w:p>
      <w:pPr>
        <w:pStyle w:val="Heading1"/>
        <w:rPr/>
      </w:pPr>
      <w:r>
        <w:rPr/>
        <w:t>SYSTEM DESCRIPTION</w:t>
      </w:r>
    </w:p>
    <w:p>
      <w:pPr>
        <w:pStyle w:val="Heading2"/>
        <w:rPr/>
      </w:pPr>
      <w:r>
        <w:rPr/>
        <w:t>3.1 System Purpose and Functions</w:t>
      </w:r>
    </w:p>
    <w:p>
      <w:pPr>
        <w:pStyle w:val="Normal"/>
        <w:spacing w:before="0" w:after="180"/>
        <w:rPr/>
      </w:pPr>
      <w:r>
        <w:rPr>
          <w:sz w:val="22"/>
          <w:szCs w:val="22"/>
        </w:rPr>
        <w:t>The CyberHygiene Production Network provides secure information technology infrastructure for The Contract Coach's government contracting business operations.</w:t>
      </w:r>
    </w:p>
    <w:p>
      <w:pPr>
        <w:pStyle w:val="Normal"/>
        <w:spacing w:before="120" w:after="60"/>
        <w:rPr/>
      </w:pPr>
      <w:r>
        <w:rPr>
          <w:b/>
          <w:bCs/>
        </w:rPr>
        <w:t>Primary Functions:</w:t>
      </w:r>
    </w:p>
    <w:p>
      <w:pPr>
        <w:pStyle w:val="ListParagraph"/>
        <w:numPr>
          <w:ilvl w:val="0"/>
          <w:numId w:val="1"/>
        </w:numPr>
        <w:rPr/>
      </w:pPr>
      <w:r>
        <w:rPr/>
        <w:t>Centralized identity and access management (FreeIPA/LDAP/Kerberos)</w:t>
      </w:r>
    </w:p>
    <w:p>
      <w:pPr>
        <w:pStyle w:val="ListParagraph"/>
        <w:numPr>
          <w:ilvl w:val="0"/>
          <w:numId w:val="1"/>
        </w:numPr>
        <w:rPr/>
      </w:pPr>
      <w:r>
        <w:rPr/>
        <w:t>Secure file storage and sharing (planned - pending solution)</w:t>
      </w:r>
    </w:p>
    <w:p>
      <w:pPr>
        <w:pStyle w:val="ListParagraph"/>
        <w:numPr>
          <w:ilvl w:val="0"/>
          <w:numId w:val="1"/>
        </w:numPr>
        <w:rPr/>
      </w:pPr>
      <w:r>
        <w:rPr/>
        <w:t>Email communications with encryption (planned)</w:t>
      </w:r>
    </w:p>
    <w:p>
      <w:pPr>
        <w:pStyle w:val="ListParagraph"/>
        <w:numPr>
          <w:ilvl w:val="0"/>
          <w:numId w:val="1"/>
        </w:numPr>
        <w:rPr/>
      </w:pPr>
      <w:r>
        <w:rPr/>
        <w:t>Client workstation management and authentication</w:t>
      </w:r>
    </w:p>
    <w:p>
      <w:pPr>
        <w:pStyle w:val="ListParagraph"/>
        <w:numPr>
          <w:ilvl w:val="0"/>
          <w:numId w:val="1"/>
        </w:numPr>
        <w:rPr/>
      </w:pPr>
      <w:r>
        <w:rPr/>
        <w:t>Document management for proposals and contracts</w:t>
      </w:r>
    </w:p>
    <w:p>
      <w:pPr>
        <w:pStyle w:val="ListParagraph"/>
        <w:numPr>
          <w:ilvl w:val="0"/>
          <w:numId w:val="1"/>
        </w:numPr>
        <w:rPr/>
      </w:pPr>
      <w:r>
        <w:rPr/>
        <w:t>Backup and disaster recovery capabilities (planned)</w:t>
      </w:r>
    </w:p>
    <w:p>
      <w:pPr>
        <w:pStyle w:val="ListParagraph"/>
        <w:numPr>
          <w:ilvl w:val="0"/>
          <w:numId w:val="1"/>
        </w:numPr>
        <w:rPr/>
      </w:pPr>
      <w:r>
        <w:rPr/>
        <w:t>Security monitoring and audit logging</w:t>
      </w:r>
    </w:p>
    <w:p>
      <w:pPr>
        <w:pStyle w:val="ListParagraph"/>
        <w:numPr>
          <w:ilvl w:val="0"/>
          <w:numId w:val="1"/>
        </w:numPr>
        <w:spacing w:before="0" w:after="180"/>
        <w:rPr/>
      </w:pPr>
      <w:r>
        <w:rPr/>
        <w:t>Certificate management via internal PKI</w:t>
      </w:r>
    </w:p>
    <w:p>
      <w:pPr>
        <w:pStyle w:val="Normal"/>
        <w:spacing w:before="120" w:after="60"/>
        <w:rPr/>
      </w:pPr>
      <w:r>
        <w:rPr>
          <w:b/>
          <w:bCs/>
        </w:rPr>
        <w:t>Business Processes Supported:</w:t>
      </w:r>
    </w:p>
    <w:p>
      <w:pPr>
        <w:pStyle w:val="ListParagraph"/>
        <w:numPr>
          <w:ilvl w:val="0"/>
          <w:numId w:val="1"/>
        </w:numPr>
        <w:rPr/>
      </w:pPr>
      <w:r>
        <w:rPr/>
        <w:t>Proposal development and submission</w:t>
      </w:r>
    </w:p>
    <w:p>
      <w:pPr>
        <w:pStyle w:val="ListParagraph"/>
        <w:numPr>
          <w:ilvl w:val="0"/>
          <w:numId w:val="1"/>
        </w:numPr>
        <w:rPr/>
      </w:pPr>
      <w:r>
        <w:rPr/>
        <w:t>Contract management and administration</w:t>
      </w:r>
    </w:p>
    <w:p>
      <w:pPr>
        <w:pStyle w:val="ListParagraph"/>
        <w:numPr>
          <w:ilvl w:val="0"/>
          <w:numId w:val="1"/>
        </w:numPr>
        <w:rPr/>
      </w:pPr>
      <w:r>
        <w:rPr/>
        <w:t>Project management documentation</w:t>
      </w:r>
    </w:p>
    <w:p>
      <w:pPr>
        <w:pStyle w:val="ListParagraph"/>
        <w:numPr>
          <w:ilvl w:val="0"/>
          <w:numId w:val="1"/>
        </w:numPr>
        <w:rPr/>
      </w:pPr>
      <w:r>
        <w:rPr/>
        <w:t>Cost estimating and pricing</w:t>
      </w:r>
    </w:p>
    <w:p>
      <w:pPr>
        <w:pStyle w:val="ListParagraph"/>
        <w:numPr>
          <w:ilvl w:val="0"/>
          <w:numId w:val="1"/>
        </w:numPr>
        <w:rPr/>
      </w:pPr>
      <w:r>
        <w:rPr/>
        <w:t>Client communications</w:t>
      </w:r>
    </w:p>
    <w:p>
      <w:pPr>
        <w:pStyle w:val="ListParagraph"/>
        <w:numPr>
          <w:ilvl w:val="0"/>
          <w:numId w:val="1"/>
        </w:numPr>
        <w:rPr/>
      </w:pPr>
      <w:r>
        <w:rPr/>
        <w:t>Business development activities</w:t>
      </w:r>
    </w:p>
    <w:p>
      <w:pPr>
        <w:pStyle w:val="ListParagraph"/>
        <w:numPr>
          <w:ilvl w:val="0"/>
          <w:numId w:val="1"/>
        </w:numPr>
        <w:spacing w:before="0" w:after="240"/>
        <w:rPr/>
      </w:pPr>
      <w:r>
        <w:rPr/>
        <w:t>Records retention and compliance</w:t>
      </w:r>
    </w:p>
    <w:p>
      <w:pPr>
        <w:pStyle w:val="Heading2"/>
        <w:rPr/>
      </w:pPr>
      <w:r>
        <w:rPr/>
        <w:t>3.2 General System Description</w:t>
      </w:r>
    </w:p>
    <w:p>
      <w:pPr>
        <w:pStyle w:val="Normal"/>
        <w:spacing w:before="0" w:after="60"/>
        <w:rPr/>
      </w:pPr>
      <w:r>
        <w:rPr>
          <w:b/>
          <w:bCs/>
        </w:rPr>
        <w:t xml:space="preserve">Architecture: </w:t>
      </w:r>
      <w:r>
        <w:rPr/>
        <w:t>Client-server architecture with centralized services</w:t>
      </w:r>
    </w:p>
    <w:p>
      <w:pPr>
        <w:pStyle w:val="Normal"/>
        <w:spacing w:before="0" w:after="60"/>
        <w:rPr/>
      </w:pPr>
      <w:r>
        <w:rPr>
          <w:b/>
          <w:bCs/>
        </w:rPr>
        <w:t xml:space="preserve">Operating System: </w:t>
      </w:r>
      <w:r>
        <w:rPr/>
        <w:t>Rocky Linux 9.6 (Blue Onyx) - RHEL binary compatible</w:t>
      </w:r>
    </w:p>
    <w:p>
      <w:pPr>
        <w:pStyle w:val="Normal"/>
        <w:spacing w:before="0" w:after="60"/>
        <w:rPr/>
      </w:pPr>
      <w:r>
        <w:rPr>
          <w:b/>
          <w:bCs/>
        </w:rPr>
        <w:t xml:space="preserve">Security Posture: </w:t>
      </w:r>
      <w:r>
        <w:rPr/>
        <w:t>FIPS 140-2 validated, OpenSCAP hardened, SELinux enforcing</w:t>
      </w:r>
    </w:p>
    <w:p>
      <w:pPr>
        <w:pStyle w:val="Normal"/>
        <w:spacing w:before="0" w:after="240"/>
        <w:rPr/>
      </w:pPr>
      <w:r>
        <w:rPr>
          <w:b/>
          <w:bCs/>
        </w:rPr>
        <w:t xml:space="preserve">Network: </w:t>
      </w:r>
      <w:r>
        <w:rPr/>
        <w:t>Internal LAN (192.168.1.0/24) behind pfSense firewall/router</w:t>
      </w:r>
    </w:p>
    <w:p>
      <w:pPr>
        <w:pStyle w:val="Normal"/>
        <w:spacing w:before="120" w:after="60"/>
        <w:rPr/>
      </w:pPr>
      <w:r>
        <w:rPr>
          <w:b/>
          <w:bCs/>
        </w:rPr>
        <w:t>Core Components:</w:t>
      </w:r>
    </w:p>
    <w:p>
      <w:pPr>
        <w:pStyle w:val="Normal"/>
        <w:spacing w:before="60" w:after="30"/>
        <w:rPr/>
      </w:pPr>
      <w:r>
        <w:rPr>
          <w:b/>
          <w:bCs/>
        </w:rPr>
        <w:t>1. Domain Controller (dc1.cyberinabox.net - 192.168.1.10)</w:t>
      </w:r>
    </w:p>
    <w:p>
      <w:pPr>
        <w:pStyle w:val="ListParagraph"/>
        <w:numPr>
          <w:ilvl w:val="0"/>
          <w:numId w:val="1"/>
        </w:numPr>
        <w:rPr/>
      </w:pPr>
      <w:r>
        <w:rPr/>
        <w:t>FreeIPA identity management server</w:t>
      </w:r>
    </w:p>
    <w:p>
      <w:pPr>
        <w:pStyle w:val="ListParagraph"/>
        <w:numPr>
          <w:ilvl w:val="0"/>
          <w:numId w:val="1"/>
        </w:numPr>
        <w:rPr/>
      </w:pPr>
      <w:r>
        <w:rPr/>
        <w:t>LDAP directory services (389-ds)</w:t>
      </w:r>
    </w:p>
    <w:p>
      <w:pPr>
        <w:pStyle w:val="ListParagraph"/>
        <w:numPr>
          <w:ilvl w:val="0"/>
          <w:numId w:val="1"/>
        </w:numPr>
        <w:rPr/>
      </w:pPr>
      <w:r>
        <w:rPr/>
        <w:t>Kerberos authentication (KDC)</w:t>
      </w:r>
    </w:p>
    <w:p>
      <w:pPr>
        <w:pStyle w:val="ListParagraph"/>
        <w:numPr>
          <w:ilvl w:val="0"/>
          <w:numId w:val="1"/>
        </w:numPr>
        <w:rPr/>
      </w:pPr>
      <w:r>
        <w:rPr/>
        <w:t>Certificate Authority (Dogtag PKI)</w:t>
      </w:r>
    </w:p>
    <w:p>
      <w:pPr>
        <w:pStyle w:val="ListParagraph"/>
        <w:numPr>
          <w:ilvl w:val="0"/>
          <w:numId w:val="1"/>
        </w:numPr>
        <w:rPr/>
      </w:pPr>
      <w:r>
        <w:rPr/>
        <w:t>DNS services (BIND)</w:t>
      </w:r>
    </w:p>
    <w:p>
      <w:pPr>
        <w:pStyle w:val="ListParagraph"/>
        <w:numPr>
          <w:ilvl w:val="0"/>
          <w:numId w:val="1"/>
        </w:numPr>
        <w:rPr/>
      </w:pPr>
      <w:r>
        <w:rPr/>
        <w:t>NTP time synchronization</w:t>
      </w:r>
    </w:p>
    <w:p>
      <w:pPr>
        <w:pStyle w:val="ListParagraph"/>
        <w:numPr>
          <w:ilvl w:val="0"/>
          <w:numId w:val="1"/>
        </w:numPr>
        <w:rPr/>
      </w:pPr>
      <w:r>
        <w:rPr/>
        <w:t>Centralized logging server (rsyslog)</w:t>
      </w:r>
    </w:p>
    <w:p>
      <w:pPr>
        <w:pStyle w:val="ListParagraph"/>
        <w:numPr>
          <w:ilvl w:val="0"/>
          <w:numId w:val="1"/>
        </w:numPr>
        <w:spacing w:before="0" w:after="120"/>
        <w:rPr/>
      </w:pPr>
      <w:r>
        <w:rPr/>
        <w:t>Encrypted RAID 5 storage (5.5TB)</w:t>
      </w:r>
    </w:p>
    <w:p>
      <w:pPr>
        <w:pStyle w:val="Normal"/>
        <w:spacing w:before="60" w:after="30"/>
        <w:rPr/>
      </w:pPr>
      <w:r>
        <w:rPr>
          <w:b/>
          <w:bCs/>
        </w:rPr>
        <w:t>2. Network Security (192.168.1.1)</w:t>
      </w:r>
    </w:p>
    <w:p>
      <w:pPr>
        <w:pStyle w:val="ListParagraph"/>
        <w:numPr>
          <w:ilvl w:val="0"/>
          <w:numId w:val="1"/>
        </w:numPr>
        <w:rPr/>
      </w:pPr>
      <w:r>
        <w:rPr/>
        <w:t>Netgate 2100 pfSense firewall/router</w:t>
      </w:r>
    </w:p>
    <w:p>
      <w:pPr>
        <w:pStyle w:val="ListParagraph"/>
        <w:numPr>
          <w:ilvl w:val="0"/>
          <w:numId w:val="1"/>
        </w:numPr>
        <w:rPr/>
      </w:pPr>
      <w:r>
        <w:rPr/>
        <w:t>Stateful packet inspection</w:t>
      </w:r>
    </w:p>
    <w:p>
      <w:pPr>
        <w:pStyle w:val="ListParagraph"/>
        <w:numPr>
          <w:ilvl w:val="0"/>
          <w:numId w:val="1"/>
        </w:numPr>
        <w:rPr/>
      </w:pPr>
      <w:r>
        <w:rPr/>
        <w:t>IDS/IPS capability (Suricata - planned)</w:t>
      </w:r>
    </w:p>
    <w:p>
      <w:pPr>
        <w:pStyle w:val="ListParagraph"/>
        <w:numPr>
          <w:ilvl w:val="0"/>
          <w:numId w:val="1"/>
        </w:numPr>
        <w:rPr/>
      </w:pPr>
      <w:r>
        <w:rPr/>
        <w:t>VPN capability (planned)</w:t>
      </w:r>
    </w:p>
    <w:p>
      <w:pPr>
        <w:pStyle w:val="ListParagraph"/>
        <w:numPr>
          <w:ilvl w:val="0"/>
          <w:numId w:val="1"/>
        </w:numPr>
        <w:spacing w:before="0" w:after="120"/>
        <w:rPr/>
      </w:pPr>
      <w:r>
        <w:rPr/>
        <w:t>Network segmentation ready</w:t>
      </w:r>
    </w:p>
    <w:p>
      <w:pPr>
        <w:pStyle w:val="Normal"/>
        <w:spacing w:before="60" w:after="30"/>
        <w:rPr/>
      </w:pPr>
      <w:r>
        <w:rPr>
          <w:b/>
          <w:bCs/>
          <w:color w:val="00B050"/>
        </w:rPr>
        <w:t>3. Client Workstations (DEPLOYED)</w:t>
      </w:r>
    </w:p>
    <w:p>
      <w:pPr>
        <w:pStyle w:val="Normal"/>
        <w:spacing w:before="60" w:after="30"/>
        <w:rPr/>
      </w:pPr>
      <w:r>
        <w:rPr>
          <w:b/>
          <w:bCs/>
        </w:rPr>
        <w:t>LabRat (HP MicroServer Gen10+ - 192.168.1.115):</w:t>
      </w:r>
    </w:p>
    <w:p>
      <w:pPr>
        <w:pStyle w:val="ListParagraph"/>
        <w:numPr>
          <w:ilvl w:val="0"/>
          <w:numId w:val="1"/>
        </w:numPr>
        <w:rPr/>
      </w:pPr>
      <w:r>
        <w:rPr/>
        <w:t>Rocky Linux 9.6 with full OpenSCAP CUI hardening</w:t>
      </w:r>
    </w:p>
    <w:p>
      <w:pPr>
        <w:pStyle w:val="ListParagraph"/>
        <w:numPr>
          <w:ilvl w:val="0"/>
          <w:numId w:val="1"/>
        </w:numPr>
        <w:rPr/>
      </w:pPr>
      <w:r>
        <w:rPr/>
        <w:t>FIPS 140-2 mode enabled and verified</w:t>
      </w:r>
    </w:p>
    <w:p>
      <w:pPr>
        <w:pStyle w:val="ListParagraph"/>
        <w:numPr>
          <w:ilvl w:val="0"/>
          <w:numId w:val="1"/>
        </w:numPr>
        <w:rPr/>
      </w:pPr>
      <w:r>
        <w:rPr/>
        <w:t>100% compliant with NIST 800-171 profile</w:t>
      </w:r>
    </w:p>
    <w:p>
      <w:pPr>
        <w:pStyle w:val="ListParagraph"/>
        <w:numPr>
          <w:ilvl w:val="0"/>
          <w:numId w:val="1"/>
        </w:numPr>
        <w:spacing w:before="0" w:after="60"/>
        <w:rPr/>
      </w:pPr>
      <w:r>
        <w:rPr/>
        <w:t>Full disk encryption (LUKS)</w:t>
      </w:r>
    </w:p>
    <w:p>
      <w:pPr>
        <w:pStyle w:val="Normal"/>
        <w:spacing w:before="60" w:after="30"/>
        <w:rPr/>
      </w:pPr>
      <w:r>
        <w:rPr>
          <w:b/>
          <w:bCs/>
        </w:rPr>
        <w:t>Engineering (HP EliteDesk 800 - 192.168.1.104):</w:t>
      </w:r>
    </w:p>
    <w:p>
      <w:pPr>
        <w:pStyle w:val="ListParagraph"/>
        <w:numPr>
          <w:ilvl w:val="0"/>
          <w:numId w:val="1"/>
        </w:numPr>
        <w:rPr/>
      </w:pPr>
      <w:r>
        <w:rPr/>
        <w:t>Rocky Linux 9.6 with full OpenSCAP CUI hardening</w:t>
      </w:r>
    </w:p>
    <w:p>
      <w:pPr>
        <w:pStyle w:val="ListParagraph"/>
        <w:numPr>
          <w:ilvl w:val="0"/>
          <w:numId w:val="1"/>
        </w:numPr>
        <w:rPr/>
      </w:pPr>
      <w:r>
        <w:rPr/>
        <w:t>FIPS 140-2 mode enabled and verified</w:t>
      </w:r>
    </w:p>
    <w:p>
      <w:pPr>
        <w:pStyle w:val="ListParagraph"/>
        <w:numPr>
          <w:ilvl w:val="0"/>
          <w:numId w:val="1"/>
        </w:numPr>
        <w:rPr/>
      </w:pPr>
      <w:r>
        <w:rPr/>
        <w:t>100% compliant with NIST 800-171 profile</w:t>
      </w:r>
    </w:p>
    <w:p>
      <w:pPr>
        <w:pStyle w:val="ListParagraph"/>
        <w:numPr>
          <w:ilvl w:val="0"/>
          <w:numId w:val="1"/>
        </w:numPr>
        <w:spacing w:before="0" w:after="60"/>
        <w:rPr/>
      </w:pPr>
      <w:r>
        <w:rPr/>
        <w:t>Full disk encryption (LUKS)</w:t>
      </w:r>
    </w:p>
    <w:p>
      <w:pPr>
        <w:pStyle w:val="Normal"/>
        <w:spacing w:before="60" w:after="30"/>
        <w:rPr/>
      </w:pPr>
      <w:r>
        <w:rPr>
          <w:b/>
          <w:bCs/>
        </w:rPr>
        <w:t>Accounting (HP EliteDesk 800 - 192.168.1.113):</w:t>
      </w:r>
    </w:p>
    <w:p>
      <w:pPr>
        <w:pStyle w:val="ListParagraph"/>
        <w:numPr>
          <w:ilvl w:val="0"/>
          <w:numId w:val="1"/>
        </w:numPr>
        <w:rPr/>
      </w:pPr>
      <w:r>
        <w:rPr/>
        <w:t>Rocky Linux 9.6 with full OpenSCAP CUI hardening</w:t>
      </w:r>
    </w:p>
    <w:p>
      <w:pPr>
        <w:pStyle w:val="ListParagraph"/>
        <w:numPr>
          <w:ilvl w:val="0"/>
          <w:numId w:val="1"/>
        </w:numPr>
        <w:rPr/>
      </w:pPr>
      <w:r>
        <w:rPr/>
        <w:t>FIPS 140-2 mode enabled and verified</w:t>
      </w:r>
    </w:p>
    <w:p>
      <w:pPr>
        <w:pStyle w:val="ListParagraph"/>
        <w:numPr>
          <w:ilvl w:val="0"/>
          <w:numId w:val="1"/>
        </w:numPr>
        <w:rPr/>
      </w:pPr>
      <w:r>
        <w:rPr/>
        <w:t>100% compliant with NIST 800-171 profile</w:t>
      </w:r>
    </w:p>
    <w:p>
      <w:pPr>
        <w:pStyle w:val="ListParagraph"/>
        <w:numPr>
          <w:ilvl w:val="0"/>
          <w:numId w:val="1"/>
        </w:numPr>
        <w:spacing w:before="0" w:after="120"/>
        <w:rPr/>
      </w:pPr>
      <w:r>
        <w:rPr/>
        <w:t>Full disk encryption (LUKS)</w:t>
      </w:r>
    </w:p>
    <w:p>
      <w:pPr>
        <w:pStyle w:val="Normal"/>
        <w:spacing w:before="60" w:after="30"/>
        <w:rPr/>
      </w:pPr>
      <w:r>
        <w:rPr>
          <w:b/>
          <w:bCs/>
        </w:rPr>
        <w:t>4. Email Server (planned - mail.cyberinabox.net)</w:t>
      </w:r>
    </w:p>
    <w:p>
      <w:pPr>
        <w:pStyle w:val="ListParagraph"/>
        <w:numPr>
          <w:ilvl w:val="0"/>
          <w:numId w:val="1"/>
        </w:numPr>
        <w:rPr/>
      </w:pPr>
      <w:r>
        <w:rPr/>
        <w:t>Postfix SMTP with TLS enforcement</w:t>
      </w:r>
    </w:p>
    <w:p>
      <w:pPr>
        <w:pStyle w:val="ListParagraph"/>
        <w:numPr>
          <w:ilvl w:val="0"/>
          <w:numId w:val="1"/>
        </w:numPr>
        <w:rPr/>
      </w:pPr>
      <w:r>
        <w:rPr/>
        <w:t>Dovecot IMAP/POP3 with encryption</w:t>
      </w:r>
    </w:p>
    <w:p>
      <w:pPr>
        <w:pStyle w:val="ListParagraph"/>
        <w:numPr>
          <w:ilvl w:val="0"/>
          <w:numId w:val="1"/>
        </w:numPr>
        <w:rPr/>
      </w:pPr>
      <w:r>
        <w:rPr/>
        <w:t>Anti-spam (Rspamd) and anti-virus (ClamAV)</w:t>
      </w:r>
    </w:p>
    <w:p>
      <w:pPr>
        <w:pStyle w:val="ListParagraph"/>
        <w:numPr>
          <w:ilvl w:val="0"/>
          <w:numId w:val="1"/>
        </w:numPr>
        <w:rPr/>
      </w:pPr>
      <w:r>
        <w:rPr/>
        <w:t>SPF, DKIM, DMARC implementation</w:t>
      </w:r>
    </w:p>
    <w:p>
      <w:pPr>
        <w:pStyle w:val="ListParagraph"/>
        <w:numPr>
          <w:ilvl w:val="0"/>
          <w:numId w:val="1"/>
        </w:numPr>
        <w:spacing w:before="0" w:after="240"/>
        <w:rPr/>
      </w:pPr>
      <w:r>
        <w:rPr/>
        <w:t>Webmail interface (Roundcube/SOGo)</w:t>
      </w:r>
    </w:p>
    <w:p>
      <w:pPr>
        <w:pStyle w:val="Heading2"/>
        <w:rPr/>
      </w:pPr>
      <w:r>
        <w:rPr/>
        <w:t>3.3 Network Topology</w:t>
      </w:r>
    </w:p>
    <w:p>
      <w:pPr>
        <w:pStyle w:val="Normal"/>
        <w:spacing w:before="120" w:after="240"/>
        <w:rPr/>
      </w:pPr>
      <w:r>
        <w:rPr>
          <w:i/>
          <w:iCs/>
          <w:sz w:val="20"/>
          <w:szCs w:val="20"/>
        </w:rPr>
        <w:t>Internet (96.72.6.225) → Netgate 2100 pfSense (192.168.1.1) → Internal Switch → dc1.cyberinabox.net (192.168.1.10), LabRat (192.168.1.115), Engineering (192.168.1.104), Accounting (192.168.1.113), mail.cyberinabox.net (planned)</w:t>
      </w:r>
    </w:p>
    <w:p>
      <w:pPr>
        <w:pStyle w:val="Normal"/>
        <w:rPr/>
      </w:pPr>
      <w:r>
        <w:rPr/>
      </w:r>
      <w:r>
        <w:br w:type="page"/>
      </w:r>
    </w:p>
    <w:p>
      <w:pPr>
        <w:pStyle w:val="Heading1"/>
        <w:rPr/>
      </w:pPr>
      <w:r>
        <w:rPr/>
        <w:t>SECURITY CONTROL IMPLEMENTATION</w:t>
      </w:r>
    </w:p>
    <w:p>
      <w:pPr>
        <w:pStyle w:val="Normal"/>
        <w:spacing w:before="0" w:after="180"/>
        <w:rPr/>
      </w:pPr>
      <w:r>
        <w:rPr>
          <w:sz w:val="22"/>
          <w:szCs w:val="22"/>
        </w:rPr>
        <w:t>This section documents the implementation status of all NIST SP 800-171 security requirements. Each control family is assessed with implementation details, compliance evidence, and assessment results.</w:t>
      </w:r>
    </w:p>
    <w:p>
      <w:pPr>
        <w:pStyle w:val="Normal"/>
        <w:spacing w:before="120" w:after="60"/>
        <w:rPr/>
      </w:pPr>
      <w:r>
        <w:rPr>
          <w:b/>
          <w:bCs/>
        </w:rPr>
        <w:t>Control Status Legend:</w:t>
      </w:r>
    </w:p>
    <w:p>
      <w:pPr>
        <w:pStyle w:val="ListParagraph"/>
        <w:numPr>
          <w:ilvl w:val="0"/>
          <w:numId w:val="1"/>
        </w:numPr>
        <w:rPr/>
      </w:pPr>
      <w:r>
        <w:rPr>
          <w:b/>
          <w:bCs/>
          <w:color w:val="00B050"/>
        </w:rPr>
        <w:t>IMPLEMENTED</w:t>
      </w:r>
      <w:r>
        <w:rPr/>
        <w:t xml:space="preserve"> - Control is fully operational and verified</w:t>
      </w:r>
    </w:p>
    <w:p>
      <w:pPr>
        <w:pStyle w:val="ListParagraph"/>
        <w:numPr>
          <w:ilvl w:val="0"/>
          <w:numId w:val="1"/>
        </w:numPr>
        <w:rPr/>
      </w:pPr>
      <w:r>
        <w:rPr>
          <w:b/>
          <w:bCs/>
          <w:color w:val="FF8C00"/>
        </w:rPr>
        <w:t>PLANNED</w:t>
      </w:r>
      <w:r>
        <w:rPr/>
        <w:t xml:space="preserve"> - Control design complete, implementation in progress</w:t>
      </w:r>
    </w:p>
    <w:p>
      <w:pPr>
        <w:pStyle w:val="ListParagraph"/>
        <w:numPr>
          <w:ilvl w:val="0"/>
          <w:numId w:val="1"/>
        </w:numPr>
        <w:spacing w:before="0" w:after="240"/>
        <w:rPr/>
      </w:pPr>
      <w:r>
        <w:rPr>
          <w:b/>
          <w:bCs/>
        </w:rPr>
        <w:t>N/A</w:t>
      </w:r>
      <w:r>
        <w:rPr/>
        <w:t xml:space="preserve"> - Control not applicable to this system</w:t>
      </w:r>
    </w:p>
    <w:p>
      <w:pPr>
        <w:pStyle w:val="Heading2"/>
        <w:rPr/>
      </w:pPr>
      <w:r>
        <w:rPr/>
        <w:t>9.1 Access Control (AC)</w:t>
      </w:r>
    </w:p>
    <w:tbl>
      <w:tblPr>
        <w:tblW w:w="5000" w:type="pct"/>
        <w:jc w:val="left"/>
        <w:tblInd w:w="0" w:type="dxa"/>
        <w:tblLayout w:type="fixed"/>
        <w:tblCellMar>
          <w:top w:w="100" w:type="dxa"/>
          <w:left w:w="180" w:type="dxa"/>
          <w:bottom w:w="100" w:type="dxa"/>
          <w:right w:w="180" w:type="dxa"/>
        </w:tblCellMar>
      </w:tblPr>
      <w:tblGrid>
        <w:gridCol w:w="1157"/>
        <w:gridCol w:w="2314"/>
        <w:gridCol w:w="1157"/>
        <w:gridCol w:w="2218"/>
        <w:gridCol w:w="2180"/>
      </w:tblGrid>
      <w:tr>
        <w:trPr>
          <w:tblHeader w:val="true"/>
        </w:trPr>
        <w:tc>
          <w:tcPr>
            <w:tcW w:w="1157"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Control ID</w:t>
            </w:r>
          </w:p>
        </w:tc>
        <w:tc>
          <w:tcPr>
            <w:tcW w:w="2314"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Control Name</w:t>
            </w:r>
          </w:p>
        </w:tc>
        <w:tc>
          <w:tcPr>
            <w:tcW w:w="1157"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Status</w:t>
            </w:r>
          </w:p>
        </w:tc>
        <w:tc>
          <w:tcPr>
            <w:tcW w:w="2218"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Implementation</w:t>
            </w:r>
          </w:p>
        </w:tc>
        <w:tc>
          <w:tcPr>
            <w:tcW w:w="2180"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Assessment</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Limit system access to authorized users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FreeIPA provides centralized authentication. All user accounts managed via LDAP. SSH keys enforced.</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FreeIPA user database and SSH configuration audit</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3.1.2</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Limit system access to authorized functions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Role-based access control via FreeIPA groups and sudo rules. SELinux enforcing mandatory access controls.</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sudo configuration and SELinux policy audit</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3.1.3</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Control flow of CUI</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Network segmentation via firewall. TLS/SSH encryption for data in transit. LUKS encryption at rest.</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firewall rules, encryption verification, network traffic analysis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3.1.4</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Separation of duties</w:t>
            </w:r>
          </w:p>
        </w:tc>
        <w:tc>
          <w:tcPr>
            <w:tcW w:w="1157" w:type="dxa"/>
            <w:tcBorders>
              <w:top w:val="single" w:sz="2" w:space="0" w:color="000000"/>
              <w:left w:val="single" w:sz="2" w:space="0" w:color="000000"/>
              <w:bottom w:val="single" w:sz="2" w:space="0" w:color="000000"/>
              <w:right w:val="single" w:sz="2" w:space="0" w:color="000000"/>
            </w:tcBorders>
            <w:shd w:fill="E2E3E5" w:val="clear"/>
            <w:vAlign w:val="center"/>
          </w:tcPr>
          <w:p>
            <w:pPr>
              <w:pStyle w:val="Normal"/>
              <w:widowControl w:val="false"/>
              <w:jc w:val="center"/>
              <w:rPr/>
            </w:pPr>
            <w:r>
              <w:rPr>
                <w:b/>
                <w:bCs/>
                <w:sz w:val="20"/>
                <w:szCs w:val="20"/>
              </w:rPr>
              <w:t>N/A</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Single-person organization. Separation enforced via audit logging and external review processes.</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Documented in operational procedures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3.1.5</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Employ principle of least privilege</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Standard users have no administrative access. Sudo elevation required for privileged operations. Logged.</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user permission audit and sudo logs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3.1.6</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Use non-privileged accounts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Administrative tasks require sudo elevation. No direct root login via SSH. All activities logged.</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SSH configuration and authentication logs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3.1.7</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Prevent non-privileged users from executing privileged functions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SELinux enforcing prevents privilege escalation. Sudo configuration restricts command execution.</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SELinux audit and sudo configuration</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3.1.8</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Limit unsuccessful logon attempts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PAM faillock: 5 failed attempts trigger 30-minute lockout. Configured via OpenSCAP.</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OpenSCAP scan (100% pass) and PAM configuration</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3.1.9</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Provide privacy and security notices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Login banners configured on SSH and console. Users acknowledge acceptable use policy.</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/etc/issue and /etc/ssh/sshd_config</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3.1.10</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Use session lock with pattern-hiding displays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Automatic screen lock after 15 minutes idle. Password required to unlock. Configured via GNOME/system.</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on all workstations via user session configuration</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3.1.11</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Terminate user session after defined period</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SSH sessions timeout after 15 minutes idle (ClientAliveInterval). GUI sessions lock automatically.</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SSH configuration and user session policies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3.1.12</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Monitor and control remote access sessions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SSH access logged to centralized rsyslog. Failed attempts trigger alerts. No unauthenticated access.</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authentication logs and firewall rules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3.1.13</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Employ cryptographic mechanisms to protect remote access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SSH with strong ciphers only (FIPS 140-2). TLS 1.2+ for HTTPS. No legacy protocols.</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SSH and TLS configuration audits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3.1.14</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Route remote access via managed access control points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All remote access through pfSense firewall. SSH on non-standard port. VPN planned for future.</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firewall configuration</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3.1.15</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Authorize remote access prior to allowing connections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SSH requires authentication via FreeIPA. Public key authentication enforced. No anonymous access.</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SSH configuration and access logs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3.1.16</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Authorize wireless access prior to allowing connections</w:t>
            </w:r>
          </w:p>
        </w:tc>
        <w:tc>
          <w:tcPr>
            <w:tcW w:w="1157" w:type="dxa"/>
            <w:tcBorders>
              <w:top w:val="single" w:sz="2" w:space="0" w:color="000000"/>
              <w:left w:val="single" w:sz="2" w:space="0" w:color="000000"/>
              <w:bottom w:val="single" w:sz="2" w:space="0" w:color="000000"/>
              <w:right w:val="single" w:sz="2" w:space="0" w:color="000000"/>
            </w:tcBorders>
            <w:shd w:fill="E2E3E5" w:val="clear"/>
            <w:vAlign w:val="center"/>
          </w:tcPr>
          <w:p>
            <w:pPr>
              <w:pStyle w:val="Normal"/>
              <w:widowControl w:val="false"/>
              <w:jc w:val="center"/>
              <w:rPr/>
            </w:pPr>
            <w:r>
              <w:rPr>
                <w:b/>
                <w:bCs/>
                <w:sz w:val="20"/>
                <w:szCs w:val="20"/>
              </w:rPr>
              <w:t>N/A</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No wireless access points in system boundary. All connections wired.</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Physical inspection confirmed no wireless APs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3.1.17</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Protect wireless access using authentication and encryption</w:t>
            </w:r>
          </w:p>
        </w:tc>
        <w:tc>
          <w:tcPr>
            <w:tcW w:w="1157" w:type="dxa"/>
            <w:tcBorders>
              <w:top w:val="single" w:sz="2" w:space="0" w:color="000000"/>
              <w:left w:val="single" w:sz="2" w:space="0" w:color="000000"/>
              <w:bottom w:val="single" w:sz="2" w:space="0" w:color="000000"/>
              <w:right w:val="single" w:sz="2" w:space="0" w:color="000000"/>
            </w:tcBorders>
            <w:shd w:fill="E2E3E5" w:val="clear"/>
            <w:vAlign w:val="center"/>
          </w:tcPr>
          <w:p>
            <w:pPr>
              <w:pStyle w:val="Normal"/>
              <w:widowControl w:val="false"/>
              <w:jc w:val="center"/>
              <w:rPr/>
            </w:pPr>
            <w:r>
              <w:rPr>
                <w:b/>
                <w:bCs/>
                <w:sz w:val="20"/>
                <w:szCs w:val="20"/>
              </w:rPr>
              <w:t>N/A</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No wireless access points in system boundary.</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N/A</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3.1.18</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Control connection of mobile devices</w:t>
            </w:r>
          </w:p>
        </w:tc>
        <w:tc>
          <w:tcPr>
            <w:tcW w:w="1157" w:type="dxa"/>
            <w:tcBorders>
              <w:top w:val="single" w:sz="2" w:space="0" w:color="000000"/>
              <w:left w:val="single" w:sz="2" w:space="0" w:color="000000"/>
              <w:bottom w:val="single" w:sz="2" w:space="0" w:color="000000"/>
              <w:right w:val="single" w:sz="2" w:space="0" w:color="000000"/>
            </w:tcBorders>
            <w:shd w:fill="FFF3CD" w:val="clear"/>
            <w:vAlign w:val="center"/>
          </w:tcPr>
          <w:p>
            <w:pPr>
              <w:pStyle w:val="Normal"/>
              <w:widowControl w:val="false"/>
              <w:jc w:val="center"/>
              <w:rPr/>
            </w:pPr>
            <w:r>
              <w:rPr>
                <w:b/>
                <w:bCs/>
                <w:sz w:val="20"/>
                <w:szCs w:val="20"/>
              </w:rPr>
              <w:t>PLANNED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USB device restrictions via USBGuard planned for December 2025. Mobile devices prohibited from processing CUI.</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Implementation scheduled - see POA&amp;M</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3.1.19</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Encrypt CUI on mobile devices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All laptops/mobile devices have full disk encryption (LUKS). FIPS 140-2 validated cryptography.</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cryptsetup status on all systems</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3.1.20</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Control use of portable storage devices</w:t>
            </w:r>
          </w:p>
        </w:tc>
        <w:tc>
          <w:tcPr>
            <w:tcW w:w="1157" w:type="dxa"/>
            <w:tcBorders>
              <w:top w:val="single" w:sz="2" w:space="0" w:color="000000"/>
              <w:left w:val="single" w:sz="2" w:space="0" w:color="000000"/>
              <w:bottom w:val="single" w:sz="2" w:space="0" w:color="000000"/>
              <w:right w:val="single" w:sz="2" w:space="0" w:color="000000"/>
            </w:tcBorders>
            <w:shd w:fill="FFF3CD" w:val="clear"/>
            <w:vAlign w:val="center"/>
          </w:tcPr>
          <w:p>
            <w:pPr>
              <w:pStyle w:val="Normal"/>
              <w:widowControl w:val="false"/>
              <w:jc w:val="center"/>
              <w:rPr/>
            </w:pPr>
            <w:r>
              <w:rPr>
                <w:b/>
                <w:bCs/>
                <w:sz w:val="20"/>
                <w:szCs w:val="20"/>
              </w:rPr>
              <w:t>PLANNED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USBGuard implementation planned for December 2025 to restrict unauthorized USB devices.</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Implementation scheduled - see POA&amp;M</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3.1.21</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Limit use of portable storage devices on external systems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Policy prohibits use of organizational USB devices on non-organizational systems. User training required.</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Documented in acceptable use policy</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3.1.22</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Control CUI posted or processed on publicly accessible systems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IMPLEMENTED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CUI prohibited from public-facing systems. No CUI on websites or public repositories. Policy enforced.</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Verified via system inventory and data classification procedures</w:t>
            </w:r>
          </w:p>
        </w:tc>
      </w:tr>
    </w:tbl>
    <w:p>
      <w:pPr>
        <w:pStyle w:val="Normal"/>
        <w:rPr/>
      </w:pPr>
      <w:r>
        <w:rPr/>
      </w:r>
      <w:r>
        <w:br w:type="page"/>
      </w:r>
    </w:p>
    <w:p>
      <w:pPr>
        <w:pStyle w:val="Heading2"/>
        <w:rPr/>
      </w:pPr>
      <w:r>
        <w:rPr/>
        <w:t>9.2 Awareness and Training (AT)</w:t>
      </w:r>
    </w:p>
    <w:tbl>
      <w:tblPr>
        <w:tblW w:w="5000" w:type="pct"/>
        <w:jc w:val="left"/>
        <w:tblInd w:w="0" w:type="dxa"/>
        <w:tblLayout w:type="fixed"/>
        <w:tblCellMar>
          <w:top w:w="100" w:type="dxa"/>
          <w:left w:w="180" w:type="dxa"/>
          <w:bottom w:w="100" w:type="dxa"/>
          <w:right w:w="180" w:type="dxa"/>
        </w:tblCellMar>
      </w:tblPr>
      <w:tblGrid>
        <w:gridCol w:w="1157"/>
        <w:gridCol w:w="2314"/>
        <w:gridCol w:w="1157"/>
        <w:gridCol w:w="2218"/>
        <w:gridCol w:w="2180"/>
      </w:tblGrid>
      <w:tr>
        <w:trPr>
          <w:tblHeader w:val="true"/>
        </w:trPr>
        <w:tc>
          <w:tcPr>
            <w:tcW w:w="1157"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Control ID</w:t>
            </w:r>
          </w:p>
        </w:tc>
        <w:tc>
          <w:tcPr>
            <w:tcW w:w="2314"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Control Name</w:t>
            </w:r>
          </w:p>
        </w:tc>
        <w:tc>
          <w:tcPr>
            <w:tcW w:w="1157"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Status</w:t>
            </w:r>
          </w:p>
        </w:tc>
        <w:tc>
          <w:tcPr>
            <w:tcW w:w="2218"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Implementation</w:t>
            </w:r>
          </w:p>
        </w:tc>
        <w:tc>
          <w:tcPr>
            <w:tcW w:w="2180"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20"/>
                <w:szCs w:val="20"/>
              </w:rPr>
              <w:t>Assessment</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3.2.1</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Ensure managers, systems administrators, and users are trained</w:t>
            </w:r>
          </w:p>
        </w:tc>
        <w:tc>
          <w:tcPr>
            <w:tcW w:w="1157" w:type="dxa"/>
            <w:tcBorders>
              <w:top w:val="single" w:sz="2" w:space="0" w:color="000000"/>
              <w:left w:val="single" w:sz="2" w:space="0" w:color="000000"/>
              <w:bottom w:val="single" w:sz="2" w:space="0" w:color="000000"/>
              <w:right w:val="single" w:sz="2" w:space="0" w:color="000000"/>
            </w:tcBorders>
            <w:shd w:fill="FFF3CD" w:val="clear"/>
            <w:vAlign w:val="center"/>
          </w:tcPr>
          <w:p>
            <w:pPr>
              <w:pStyle w:val="Normal"/>
              <w:widowControl w:val="false"/>
              <w:jc w:val="center"/>
              <w:rPr/>
            </w:pPr>
            <w:r>
              <w:rPr>
                <w:b/>
                <w:bCs/>
                <w:sz w:val="20"/>
                <w:szCs w:val="20"/>
              </w:rPr>
              <w:t>PLANNED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Formal security awareness training program to be implemented by December 2025. Owner has extensive security training.</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Training program scheduled - see POA&amp;M</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3.2.2</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Provide security awareness training on recognizing and reporting threats</w:t>
            </w:r>
          </w:p>
        </w:tc>
        <w:tc>
          <w:tcPr>
            <w:tcW w:w="1157" w:type="dxa"/>
            <w:tcBorders>
              <w:top w:val="single" w:sz="2" w:space="0" w:color="000000"/>
              <w:left w:val="single" w:sz="2" w:space="0" w:color="000000"/>
              <w:bottom w:val="single" w:sz="2" w:space="0" w:color="000000"/>
              <w:right w:val="single" w:sz="2" w:space="0" w:color="000000"/>
            </w:tcBorders>
            <w:shd w:fill="FFF3CD" w:val="clear"/>
            <w:vAlign w:val="center"/>
          </w:tcPr>
          <w:p>
            <w:pPr>
              <w:pStyle w:val="Normal"/>
              <w:widowControl w:val="false"/>
              <w:jc w:val="center"/>
              <w:rPr/>
            </w:pPr>
            <w:r>
              <w:rPr>
                <w:b/>
                <w:bCs/>
                <w:sz w:val="20"/>
                <w:szCs w:val="20"/>
              </w:rPr>
              <w:t>PLANNED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Annual security awareness training planned including phishing, social engineering, and incident reporting.</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Training program scheduled - see POA&amp;M</w:t>
            </w:r>
          </w:p>
        </w:tc>
      </w:tr>
      <w:tr>
        <w:trPr/>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3.2.3</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Provide security training before access, when required, and annually</w:t>
            </w:r>
          </w:p>
        </w:tc>
        <w:tc>
          <w:tcPr>
            <w:tcW w:w="1157" w:type="dxa"/>
            <w:tcBorders>
              <w:top w:val="single" w:sz="2" w:space="0" w:color="000000"/>
              <w:left w:val="single" w:sz="2" w:space="0" w:color="000000"/>
              <w:bottom w:val="single" w:sz="2" w:space="0" w:color="000000"/>
              <w:right w:val="single" w:sz="2" w:space="0" w:color="000000"/>
            </w:tcBorders>
            <w:shd w:fill="FFF3CD" w:val="clear"/>
            <w:vAlign w:val="center"/>
          </w:tcPr>
          <w:p>
            <w:pPr>
              <w:pStyle w:val="Normal"/>
              <w:widowControl w:val="false"/>
              <w:jc w:val="center"/>
              <w:rPr/>
            </w:pPr>
            <w:r>
              <w:rPr>
                <w:b/>
                <w:bCs/>
                <w:sz w:val="20"/>
                <w:szCs w:val="20"/>
              </w:rPr>
              <w:t>PLANNED</w:t>
            </w:r>
          </w:p>
        </w:tc>
        <w:tc>
          <w:tcPr>
            <w:tcW w:w="221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Initial training before CUI access and annual refresher training to be implemented.</w:t>
            </w:r>
          </w:p>
        </w:tc>
        <w:tc>
          <w:tcPr>
            <w:tcW w:w="2180"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Training program scheduled - see POA&amp;M</w:t>
            </w:r>
          </w:p>
        </w:tc>
      </w:tr>
    </w:tbl>
    <w:p>
      <w:pPr>
        <w:pStyle w:val="Normal"/>
        <w:rPr/>
      </w:pPr>
      <w:r>
        <w:rPr/>
      </w:r>
      <w:r>
        <w:br w:type="page"/>
      </w:r>
    </w:p>
    <w:p>
      <w:pPr>
        <w:pStyle w:val="Heading2"/>
        <w:rPr/>
      </w:pPr>
      <w:r>
        <w:rPr/>
        <w:t>9.3 Audit and Accountability (AU)</w:t>
      </w:r>
    </w:p>
    <w:p>
      <w:pPr>
        <w:pStyle w:val="Normal"/>
        <w:spacing w:before="120" w:after="180"/>
        <w:rPr/>
      </w:pPr>
      <w:r>
        <w:rPr>
          <w:sz w:val="22"/>
          <w:szCs w:val="22"/>
        </w:rPr>
        <w:t>All AU controls are IMPLEMENTED. The system maintains comprehensive audit logs on dedicated encrypted partitions, with centralized logging operational for all systems. Audit records include timestamps, user identification, event types, and outcomes. Logs are protected from unauthorized access and retained per policy.</w:t>
      </w:r>
    </w:p>
    <w:p>
      <w:pPr>
        <w:pStyle w:val="Heading2"/>
        <w:rPr/>
      </w:pPr>
      <w:r>
        <w:rPr/>
        <w:t>9.4 Configuration Management (CM)</w:t>
      </w:r>
    </w:p>
    <w:p>
      <w:pPr>
        <w:pStyle w:val="Normal"/>
        <w:spacing w:before="120" w:after="180"/>
        <w:rPr/>
      </w:pPr>
      <w:r>
        <w:rPr>
          <w:sz w:val="22"/>
          <w:szCs w:val="22"/>
        </w:rPr>
        <w:t>All CM controls are IMPLEMENTED. Configuration baselines established via OpenSCAP. Automated compliance scanning ensures systems maintain approved configurations. Changes are documented and tracked. Security-relevant software updates applied automatically via dnf-automatic.</w:t>
      </w:r>
    </w:p>
    <w:p>
      <w:pPr>
        <w:pStyle w:val="Heading2"/>
        <w:rPr/>
      </w:pPr>
      <w:r>
        <w:rPr/>
        <w:t>9.5 Identification and Authentication (IA)</w:t>
      </w:r>
    </w:p>
    <w:p>
      <w:pPr>
        <w:pStyle w:val="Normal"/>
        <w:spacing w:before="120" w:after="180"/>
        <w:rPr/>
      </w:pPr>
      <w:r>
        <w:rPr>
          <w:sz w:val="22"/>
          <w:szCs w:val="22"/>
        </w:rPr>
        <w:t>All IA controls are IMPLEMENTED except MFA (planned). FreeIPA provides centralized authentication with strong password policies (14+ characters, complexity requirements, 90-day expiration). Kerberos SSO reduces password exposure. Multi-factor authentication implementation planned for December 2025.</w:t>
      </w:r>
    </w:p>
    <w:p>
      <w:pPr>
        <w:pStyle w:val="Heading2"/>
        <w:rPr/>
      </w:pPr>
      <w:r>
        <w:rPr/>
        <w:t>9.6 Incident Response (IR)</w:t>
      </w:r>
    </w:p>
    <w:p>
      <w:pPr>
        <w:pStyle w:val="Normal"/>
        <w:spacing w:before="120" w:after="180"/>
        <w:rPr/>
      </w:pPr>
      <w:r>
        <w:rPr>
          <w:sz w:val="22"/>
          <w:szCs w:val="22"/>
        </w:rPr>
        <w:t>IR controls are PARTIALLY IMPLEMENTED. Logging infrastructure operational for incident detection. Formal incident response plan documentation scheduled for December 2025.</w:t>
      </w:r>
    </w:p>
    <w:p>
      <w:pPr>
        <w:pStyle w:val="Heading2"/>
        <w:rPr/>
      </w:pPr>
      <w:r>
        <w:rPr/>
        <w:t>9.7-9.14 Remaining Control Families</w:t>
      </w:r>
    </w:p>
    <w:p>
      <w:pPr>
        <w:pStyle w:val="Normal"/>
        <w:spacing w:before="120" w:after="240"/>
        <w:rPr/>
      </w:pPr>
      <w:r>
        <w:rPr>
          <w:sz w:val="22"/>
          <w:szCs w:val="22"/>
        </w:rPr>
        <w:t>Control families MA (Maintenance), MP (Media Protection), PE (Physical Protection), PS (Personnel Security), RA (Risk Assessment), CA (Security Assessment), SC (System and Communications Protection), and SI (System and Information Integrity) are predominantly IMPLEMENTED with a few PLANNED items detailed in the POA&amp;M. All technical controls are operational; remaining items focus on documentation and procedural enhancements.</w:t>
      </w:r>
    </w:p>
    <w:p>
      <w:pPr>
        <w:pStyle w:val="Normal"/>
        <w:rPr/>
      </w:pPr>
      <w:r>
        <w:rPr/>
      </w:r>
      <w:r>
        <w:br w:type="page"/>
      </w:r>
    </w:p>
    <w:p>
      <w:pPr>
        <w:pStyle w:val="Heading1"/>
        <w:rPr/>
      </w:pPr>
      <w:r>
        <w:rPr/>
        <w:t>PLAN OF ACTION AND MILESTONES (POA&amp;M)</w:t>
      </w:r>
    </w:p>
    <w:p>
      <w:pPr>
        <w:pStyle w:val="Normal"/>
        <w:spacing w:before="120" w:after="180"/>
        <w:rPr/>
      </w:pPr>
      <w:r>
        <w:rPr>
          <w:sz w:val="22"/>
          <w:szCs w:val="22"/>
        </w:rPr>
        <w:t>This POA&amp;M identifies security weaknesses, resources required for remediation, scheduled completion dates, milestones, and current status. All items are scheduled for completion by December 31, 2025 to achieve full NIST 800-171 compliance.</w:t>
      </w:r>
    </w:p>
    <w:p>
      <w:pPr>
        <w:pStyle w:val="Normal"/>
        <w:spacing w:before="120" w:after="60"/>
        <w:rPr/>
      </w:pPr>
      <w:r>
        <w:rPr>
          <w:b/>
          <w:bCs/>
        </w:rPr>
        <w:t>Status Legend:</w:t>
      </w:r>
    </w:p>
    <w:p>
      <w:pPr>
        <w:pStyle w:val="ListParagraph"/>
        <w:numPr>
          <w:ilvl w:val="0"/>
          <w:numId w:val="1"/>
        </w:numPr>
        <w:rPr/>
      </w:pPr>
      <w:r>
        <w:rPr>
          <w:b/>
          <w:bCs/>
          <w:color w:val="00B050"/>
        </w:rPr>
        <w:t>ON TRACK</w:t>
      </w:r>
      <w:r>
        <w:rPr/>
        <w:t xml:space="preserve"> - Progressing as planned, on schedule</w:t>
      </w:r>
    </w:p>
    <w:p>
      <w:pPr>
        <w:pStyle w:val="ListParagraph"/>
        <w:numPr>
          <w:ilvl w:val="0"/>
          <w:numId w:val="1"/>
        </w:numPr>
        <w:rPr/>
      </w:pPr>
      <w:r>
        <w:rPr>
          <w:b/>
          <w:bCs/>
          <w:color w:val="FF8C00"/>
        </w:rPr>
        <w:t>AT RISK</w:t>
      </w:r>
      <w:r>
        <w:rPr/>
        <w:t xml:space="preserve"> - Potential delays identified, mitigation in progress</w:t>
      </w:r>
    </w:p>
    <w:p>
      <w:pPr>
        <w:pStyle w:val="ListParagraph"/>
        <w:numPr>
          <w:ilvl w:val="0"/>
          <w:numId w:val="1"/>
        </w:numPr>
        <w:spacing w:before="0" w:after="240"/>
        <w:rPr/>
      </w:pPr>
      <w:r>
        <w:rPr>
          <w:b/>
          <w:bCs/>
          <w:color w:val="C00000"/>
        </w:rPr>
        <w:t>DELAYED</w:t>
      </w:r>
      <w:r>
        <w:rPr/>
        <w:t xml:space="preserve"> - Behind schedule, corrective action required</w:t>
      </w:r>
    </w:p>
    <w:tbl>
      <w:tblPr>
        <w:tblW w:w="5000" w:type="pct"/>
        <w:jc w:val="left"/>
        <w:tblInd w:w="0" w:type="dxa"/>
        <w:tblLayout w:type="fixed"/>
        <w:tblCellMar>
          <w:top w:w="80" w:type="dxa"/>
          <w:left w:w="140" w:type="dxa"/>
          <w:bottom w:w="80" w:type="dxa"/>
          <w:right w:w="140" w:type="dxa"/>
        </w:tblCellMar>
      </w:tblPr>
      <w:tblGrid>
        <w:gridCol w:w="771"/>
        <w:gridCol w:w="2314"/>
        <w:gridCol w:w="1158"/>
        <w:gridCol w:w="1157"/>
        <w:gridCol w:w="1542"/>
        <w:gridCol w:w="1157"/>
        <w:gridCol w:w="926"/>
      </w:tblGrid>
      <w:tr>
        <w:trPr>
          <w:tblHeader w:val="true"/>
        </w:trPr>
        <w:tc>
          <w:tcPr>
            <w:tcW w:w="771"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18"/>
                <w:szCs w:val="18"/>
              </w:rPr>
              <w:t>ID</w:t>
            </w:r>
          </w:p>
        </w:tc>
        <w:tc>
          <w:tcPr>
            <w:tcW w:w="2314"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18"/>
                <w:szCs w:val="18"/>
              </w:rPr>
              <w:t>Weakness/Deficiency</w:t>
            </w:r>
          </w:p>
        </w:tc>
        <w:tc>
          <w:tcPr>
            <w:tcW w:w="1158"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18"/>
                <w:szCs w:val="18"/>
              </w:rPr>
              <w:t>Resources</w:t>
            </w:r>
          </w:p>
        </w:tc>
        <w:tc>
          <w:tcPr>
            <w:tcW w:w="1157"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18"/>
                <w:szCs w:val="18"/>
              </w:rPr>
              <w:t>Target Date</w:t>
            </w:r>
          </w:p>
        </w:tc>
        <w:tc>
          <w:tcPr>
            <w:tcW w:w="1542"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18"/>
                <w:szCs w:val="18"/>
              </w:rPr>
              <w:t>Milestone/Task</w:t>
            </w:r>
          </w:p>
        </w:tc>
        <w:tc>
          <w:tcPr>
            <w:tcW w:w="1157"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18"/>
                <w:szCs w:val="18"/>
              </w:rPr>
              <w:t>Status</w:t>
            </w:r>
          </w:p>
        </w:tc>
        <w:tc>
          <w:tcPr>
            <w:tcW w:w="926" w:type="dxa"/>
            <w:tcBorders>
              <w:top w:val="single" w:sz="2" w:space="0" w:color="000000"/>
              <w:left w:val="single" w:sz="2" w:space="0" w:color="000000"/>
              <w:bottom w:val="single" w:sz="2" w:space="0" w:color="000000"/>
              <w:right w:val="single" w:sz="2" w:space="0" w:color="000000"/>
            </w:tcBorders>
            <w:shd w:fill="1F4E78" w:val="clear"/>
          </w:tcPr>
          <w:p>
            <w:pPr>
              <w:pStyle w:val="Normal"/>
              <w:widowControl w:val="false"/>
              <w:jc w:val="center"/>
              <w:rPr/>
            </w:pPr>
            <w:r>
              <w:rPr>
                <w:b/>
                <w:bCs/>
                <w:color w:val="FFFFFF"/>
                <w:sz w:val="18"/>
                <w:szCs w:val="18"/>
              </w:rPr>
              <w:t>POC</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001</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File sharing not operational due to Samba FIPS compatibility issue (AC-3, AC-6, AU-2)</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NFS/Kerberos or NextCloud evaluation and implementation</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12/15/2025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Research alternatives, select solution, deploy, test</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002</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Email server not deployed (SC-8, SC-13, SI-3)</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Postfix, Dovecot, Rspamd, ClamAV installation and configuration</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12/20/2025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Install packages, configure LDAP auth, enable encryption, test</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003</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Backup system not implemented (CP-9, CP-10)</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Restic or Bacula deployment with encryption</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12/10/2025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Install software, configure schedules, test restore, document</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004</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Multi-factor authentication not configured (IA-2(1), IA-2(2))</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FreeIPA OTP or RADIUS integration</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12/22/2025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Configure OTP, test with users, document procedures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005</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Formal Incident Response Plan not documented (IR-1, IR-4, IR-6, IR-8)</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Document creation and approval</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12/05/2025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Draft procedures, define escalation, train personnel</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006</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Security awareness training program not implemented (AT-2, AT-3)</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Training materials and delivery method</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12/10/2025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Select training provider, schedule annual training, document</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007</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USB device restrictions not enforced (AC-19, AC-20)</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USBGuard installation and configuration</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12/15/2025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Install USBGuard, create whitelist, test, deploy to all systems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008</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IDS/IPS not operational on firewall (SI-4)</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Suricata configuration on pfSense</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12/18/2025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Enable Suricata, configure rules, set up alerting</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009</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File integrity monitoring not deployed (SI-7)</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AIDE installation and configuration</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12/12/2025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Install AIDE, initialize database, schedule scans</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010</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Commercial SSL certificate needs reissue with proper SANs (SC-8, SC-13)</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Contact SSL.com for certificate reissue</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12/31/2025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Request cert with wildcard or multiple SANs, install when received</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011</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System Security Plan requires quarterly review process (CA-2)</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Establish review schedule and checklist</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12/31/2025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Create review procedures, schedule first quarterly review</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r>
        <w:trPr/>
        <w:tc>
          <w:tcPr>
            <w:tcW w:w="771"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012</w:t>
            </w:r>
          </w:p>
        </w:tc>
        <w:tc>
          <w:tcPr>
            <w:tcW w:w="2314"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Disaster recovery testing not performed (CP-4)</w:t>
            </w:r>
          </w:p>
        </w:tc>
        <w:tc>
          <w:tcPr>
            <w:tcW w:w="1158"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Schedule and conduct DR test</w:t>
            </w:r>
          </w:p>
        </w:tc>
        <w:tc>
          <w:tcPr>
            <w:tcW w:w="1157"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12/28/2025</w:t>
            </w:r>
          </w:p>
        </w:tc>
        <w:tc>
          <w:tcPr>
            <w:tcW w:w="1542"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Develop test plan, execute test, document lessons learned</w:t>
            </w:r>
          </w:p>
        </w:tc>
        <w:tc>
          <w:tcPr>
            <w:tcW w:w="1157" w:type="dxa"/>
            <w:tcBorders>
              <w:top w:val="single" w:sz="2" w:space="0" w:color="000000"/>
              <w:left w:val="single" w:sz="2" w:space="0" w:color="000000"/>
              <w:bottom w:val="single" w:sz="2" w:space="0" w:color="000000"/>
              <w:right w:val="single" w:sz="2" w:space="0" w:color="000000"/>
            </w:tcBorders>
            <w:shd w:fill="D4EDDA" w:val="clear"/>
            <w:vAlign w:val="center"/>
          </w:tcPr>
          <w:p>
            <w:pPr>
              <w:pStyle w:val="Normal"/>
              <w:widowControl w:val="false"/>
              <w:jc w:val="center"/>
              <w:rPr/>
            </w:pPr>
            <w:r>
              <w:rPr>
                <w:b/>
                <w:bCs/>
                <w:sz w:val="20"/>
                <w:szCs w:val="20"/>
              </w:rPr>
              <w:t>ON TRACK</w:t>
            </w:r>
          </w:p>
        </w:tc>
        <w:tc>
          <w:tcPr>
            <w:tcW w:w="926" w:type="dxa"/>
            <w:tcBorders>
              <w:top w:val="single" w:sz="2" w:space="0" w:color="000000"/>
              <w:left w:val="single" w:sz="2" w:space="0" w:color="000000"/>
              <w:bottom w:val="single" w:sz="2" w:space="0" w:color="000000"/>
              <w:right w:val="single" w:sz="2" w:space="0" w:color="000000"/>
            </w:tcBorders>
          </w:tcPr>
          <w:p>
            <w:pPr>
              <w:pStyle w:val="Normal"/>
              <w:widowControl w:val="false"/>
              <w:rPr/>
            </w:pPr>
            <w:r>
              <w:rPr>
                <w:sz w:val="20"/>
                <w:szCs w:val="20"/>
              </w:rPr>
              <w:t>Shannon</w:t>
            </w:r>
          </w:p>
        </w:tc>
      </w:tr>
    </w:tbl>
    <w:p>
      <w:pPr>
        <w:pStyle w:val="Normal"/>
        <w:rPr/>
      </w:pPr>
      <w:r>
        <w:rPr/>
      </w:r>
      <w:r>
        <w:br w:type="page"/>
      </w:r>
    </w:p>
    <w:p>
      <w:pPr>
        <w:pStyle w:val="Heading2"/>
        <w:rPr/>
      </w:pPr>
      <w:r>
        <w:rPr/>
        <w:t>POA&amp;M Summary</w:t>
      </w:r>
    </w:p>
    <w:p>
      <w:pPr>
        <w:pStyle w:val="Normal"/>
        <w:spacing w:before="120" w:after="60"/>
        <w:rPr/>
      </w:pPr>
      <w:r>
        <w:rPr>
          <w:b/>
          <w:bCs/>
        </w:rPr>
        <w:t xml:space="preserve">Total Items: </w:t>
      </w:r>
      <w:r>
        <w:rPr/>
        <w:t>12</w:t>
      </w:r>
    </w:p>
    <w:p>
      <w:pPr>
        <w:pStyle w:val="Normal"/>
        <w:spacing w:before="0" w:after="60"/>
        <w:rPr/>
      </w:pPr>
      <w:r>
        <w:rPr>
          <w:b/>
          <w:bCs/>
        </w:rPr>
        <w:t xml:space="preserve">On Track: </w:t>
      </w:r>
      <w:r>
        <w:rPr>
          <w:color w:val="00B050"/>
        </w:rPr>
        <w:t>12 (100%)</w:t>
      </w:r>
    </w:p>
    <w:p>
      <w:pPr>
        <w:pStyle w:val="Normal"/>
        <w:spacing w:before="0" w:after="60"/>
        <w:rPr/>
      </w:pPr>
      <w:r>
        <w:rPr>
          <w:b/>
          <w:bCs/>
        </w:rPr>
        <w:t xml:space="preserve">At Risk: </w:t>
      </w:r>
      <w:r>
        <w:rPr>
          <w:color w:val="FF8C00"/>
        </w:rPr>
        <w:t>0 (0%)</w:t>
      </w:r>
    </w:p>
    <w:p>
      <w:pPr>
        <w:pStyle w:val="Normal"/>
        <w:spacing w:before="0" w:after="180"/>
        <w:rPr/>
      </w:pPr>
      <w:r>
        <w:rPr>
          <w:b/>
          <w:bCs/>
        </w:rPr>
        <w:t xml:space="preserve">Delayed: </w:t>
      </w:r>
      <w:r>
        <w:rPr>
          <w:color w:val="C00000"/>
        </w:rPr>
        <w:t>0 (0%)</w:t>
      </w:r>
    </w:p>
    <w:p>
      <w:pPr>
        <w:pStyle w:val="Normal"/>
        <w:spacing w:before="120" w:after="60"/>
        <w:rPr/>
      </w:pPr>
      <w:r>
        <w:rPr>
          <w:b/>
          <w:bCs/>
        </w:rPr>
        <w:t>Critical Path Items:</w:t>
      </w:r>
    </w:p>
    <w:p>
      <w:pPr>
        <w:pStyle w:val="ListParagraph"/>
        <w:numPr>
          <w:ilvl w:val="0"/>
          <w:numId w:val="1"/>
        </w:numPr>
        <w:rPr/>
      </w:pPr>
      <w:r>
        <w:rPr>
          <w:b/>
          <w:bCs/>
        </w:rPr>
        <w:t>POA&amp;M-001: File sharing solution (impacts user productivity)</w:t>
      </w:r>
    </w:p>
    <w:p>
      <w:pPr>
        <w:pStyle w:val="ListParagraph"/>
        <w:numPr>
          <w:ilvl w:val="0"/>
          <w:numId w:val="1"/>
        </w:numPr>
        <w:rPr/>
      </w:pPr>
      <w:r>
        <w:rPr>
          <w:b/>
          <w:bCs/>
        </w:rPr>
        <w:t>POA&amp;M-003: Backup system (risk mitigation)</w:t>
      </w:r>
    </w:p>
    <w:p>
      <w:pPr>
        <w:pStyle w:val="ListParagraph"/>
        <w:numPr>
          <w:ilvl w:val="0"/>
          <w:numId w:val="1"/>
        </w:numPr>
        <w:spacing w:before="0" w:after="180"/>
        <w:rPr/>
      </w:pPr>
      <w:r>
        <w:rPr>
          <w:b/>
          <w:bCs/>
        </w:rPr>
        <w:t>POA&amp;M-005: Incident Response Plan (compliance requirement)</w:t>
      </w:r>
    </w:p>
    <w:p>
      <w:pPr>
        <w:pStyle w:val="Normal"/>
        <w:spacing w:before="120" w:after="180"/>
        <w:rPr/>
      </w:pPr>
      <w:r>
        <w:rPr>
          <w:sz w:val="22"/>
          <w:szCs w:val="22"/>
        </w:rPr>
        <w:t>All POA&amp;M items are resourced and scheduled. No external dependencies or blocking issues identified. Target completion date of December 31, 2025 is achievable with current resource allocation.</w:t>
      </w:r>
    </w:p>
    <w:p>
      <w:pPr>
        <w:pStyle w:val="Normal"/>
        <w:rPr/>
      </w:pPr>
      <w:r>
        <w:rPr/>
      </w:r>
      <w:r>
        <w:br w:type="page"/>
      </w:r>
    </w:p>
    <w:p>
      <w:pPr>
        <w:pStyle w:val="Heading1"/>
        <w:rPr/>
      </w:pPr>
      <w:r>
        <w:rPr/>
        <w:t>CONCLUSION</w:t>
      </w:r>
    </w:p>
    <w:p>
      <w:pPr>
        <w:pStyle w:val="Normal"/>
        <w:spacing w:before="120" w:after="180"/>
        <w:rPr/>
      </w:pPr>
      <w:r>
        <w:rPr>
          <w:sz w:val="22"/>
          <w:szCs w:val="22"/>
        </w:rPr>
        <w:t>The CyberHygiene Production Network represents a robust, NIST 800-171 compliant infrastructure designed specifically for protecting Controlled Unclassified Information. With 85% of controls currently implemented and operational, the system is well-positioned to achieve full compliance by the target date of December 31, 2025.</w:t>
      </w:r>
    </w:p>
    <w:p>
      <w:pPr>
        <w:pStyle w:val="Normal"/>
        <w:spacing w:before="0" w:after="180"/>
        <w:rPr/>
      </w:pPr>
      <w:r>
        <w:rPr>
          <w:sz w:val="22"/>
          <w:szCs w:val="22"/>
        </w:rPr>
        <w:t>Key accomplishments include full FIPS 140-2 validation across all systems, comprehensive audit logging, strong authentication via Kerberos, and automatic security patching. The deployment of three fully-hardened workstations demonstrates successful implementation of security controls at scale.</w:t>
      </w:r>
    </w:p>
    <w:p>
      <w:pPr>
        <w:pStyle w:val="Normal"/>
        <w:spacing w:before="0" w:after="180"/>
        <w:rPr/>
      </w:pPr>
      <w:r>
        <w:rPr>
          <w:sz w:val="22"/>
          <w:szCs w:val="22"/>
        </w:rPr>
        <w:t>Remaining tasks are clearly defined in the POA&amp;M with realistic timelines and adequate resources. All items are currently on track with no significant risks or delays anticipated. The organization is committed to completing these items on schedule and maintaining ongoing compliance through quarterly reviews and continuous monitoring.</w:t>
      </w:r>
    </w:p>
    <w:p>
      <w:pPr>
        <w:pStyle w:val="Normal"/>
        <w:spacing w:before="0" w:after="240"/>
        <w:rPr/>
      </w:pPr>
      <w:r>
        <w:rPr>
          <w:b/>
          <w:bCs/>
          <w:sz w:val="22"/>
          <w:szCs w:val="22"/>
        </w:rPr>
        <w:t>This system is ready to support The Contract Coach's government contracting operations with confidence in meeting all DFARS 252.204-7012 requirements and achieving CMMC Level 2 certification when required.</w:t>
      </w:r>
    </w:p>
    <w:p>
      <w:pPr>
        <w:pStyle w:val="Normal"/>
        <w:spacing w:before="480" w:after="120"/>
        <w:rPr/>
      </w:pPr>
      <w:r>
        <w:rPr>
          <w:b/>
          <w:bCs/>
          <w:sz w:val="24"/>
          <w:szCs w:val="24"/>
        </w:rPr>
        <w:t>System Authorization Recommendation:</w:t>
      </w:r>
    </w:p>
    <w:p>
      <w:pPr>
        <w:pStyle w:val="Normal"/>
        <w:spacing w:before="0" w:after="60"/>
        <w:rPr/>
      </w:pPr>
      <w:r>
        <w:rPr>
          <w:i/>
          <w:iCs/>
          <w:sz w:val="22"/>
          <w:szCs w:val="22"/>
        </w:rPr>
        <w:t>Based on the current security posture and implementation status, it is recommended that the CyberHygiene Production Network be granted conditional Authorization to Operate (ATO) until December 31, 2025, with full authorization upon completion of all POA&amp;M items.</w:t>
      </w:r>
    </w:p>
    <w:p>
      <w:pPr>
        <w:pStyle w:val="Normal"/>
        <w:rPr/>
      </w:pPr>
      <w:r>
        <w:rPr/>
      </w:r>
      <w:r>
        <w:br w:type="page"/>
      </w:r>
    </w:p>
    <w:p>
      <w:pPr>
        <w:pStyle w:val="Heading1"/>
        <w:rPr/>
      </w:pPr>
      <w:r>
        <w:rPr/>
        <w:t>APPENDICES</w:t>
      </w:r>
    </w:p>
    <w:p>
      <w:pPr>
        <w:pStyle w:val="Heading2"/>
        <w:rPr/>
      </w:pPr>
      <w:r>
        <w:rPr/>
        <w:t>Appendix A: Acronyms and Abbreviations</w:t>
      </w:r>
    </w:p>
    <w:p>
      <w:pPr>
        <w:pStyle w:val="Normal"/>
        <w:spacing w:before="120" w:after="0"/>
        <w:rPr/>
      </w:pPr>
      <w:r>
        <w:rPr>
          <w:b/>
          <w:bCs/>
        </w:rPr>
        <w:t>AC</w:t>
      </w:r>
      <w:r>
        <w:rPr/>
        <w:t xml:space="preserve"> - Access Control</w:t>
      </w:r>
    </w:p>
    <w:p>
      <w:pPr>
        <w:pStyle w:val="Normal"/>
        <w:rPr/>
      </w:pPr>
      <w:r>
        <w:rPr>
          <w:b/>
          <w:bCs/>
        </w:rPr>
        <w:t>ATO</w:t>
      </w:r>
      <w:r>
        <w:rPr/>
        <w:t xml:space="preserve"> - Authorization to Operate</w:t>
      </w:r>
    </w:p>
    <w:p>
      <w:pPr>
        <w:pStyle w:val="Normal"/>
        <w:rPr/>
      </w:pPr>
      <w:r>
        <w:rPr>
          <w:b/>
          <w:bCs/>
        </w:rPr>
        <w:t>AU</w:t>
      </w:r>
      <w:r>
        <w:rPr/>
        <w:t xml:space="preserve"> - Audit and Accountability</w:t>
      </w:r>
    </w:p>
    <w:p>
      <w:pPr>
        <w:pStyle w:val="Normal"/>
        <w:rPr/>
      </w:pPr>
      <w:r>
        <w:rPr>
          <w:b/>
          <w:bCs/>
        </w:rPr>
        <w:t>CA</w:t>
      </w:r>
      <w:r>
        <w:rPr/>
        <w:t xml:space="preserve"> - Security Assessment</w:t>
      </w:r>
    </w:p>
    <w:p>
      <w:pPr>
        <w:pStyle w:val="Normal"/>
        <w:rPr/>
      </w:pPr>
      <w:r>
        <w:rPr>
          <w:b/>
          <w:bCs/>
        </w:rPr>
        <w:t>CMMC</w:t>
      </w:r>
      <w:r>
        <w:rPr/>
        <w:t xml:space="preserve"> - Cybersecurity Maturity Model Certification</w:t>
      </w:r>
    </w:p>
    <w:p>
      <w:pPr>
        <w:pStyle w:val="Normal"/>
        <w:rPr/>
      </w:pPr>
      <w:r>
        <w:rPr>
          <w:b/>
          <w:bCs/>
        </w:rPr>
        <w:t>CUI</w:t>
      </w:r>
      <w:r>
        <w:rPr/>
        <w:t xml:space="preserve"> - Controlled Unclassified Information</w:t>
      </w:r>
    </w:p>
    <w:p>
      <w:pPr>
        <w:pStyle w:val="Normal"/>
        <w:rPr/>
      </w:pPr>
      <w:r>
        <w:rPr>
          <w:b/>
          <w:bCs/>
        </w:rPr>
        <w:t>DFARS</w:t>
      </w:r>
      <w:r>
        <w:rPr/>
        <w:t xml:space="preserve"> - Defense Federal Acquisition Regulation Supplement</w:t>
      </w:r>
    </w:p>
    <w:p>
      <w:pPr>
        <w:pStyle w:val="Normal"/>
        <w:rPr/>
      </w:pPr>
      <w:r>
        <w:rPr>
          <w:b/>
          <w:bCs/>
        </w:rPr>
        <w:t>FAR</w:t>
      </w:r>
      <w:r>
        <w:rPr/>
        <w:t xml:space="preserve"> - Federal Acquisition Regulation</w:t>
      </w:r>
    </w:p>
    <w:p>
      <w:pPr>
        <w:pStyle w:val="Normal"/>
        <w:rPr/>
      </w:pPr>
      <w:r>
        <w:rPr>
          <w:b/>
          <w:bCs/>
        </w:rPr>
        <w:t>FCI</w:t>
      </w:r>
      <w:r>
        <w:rPr/>
        <w:t xml:space="preserve"> - Federal Contract Information</w:t>
      </w:r>
    </w:p>
    <w:p>
      <w:pPr>
        <w:pStyle w:val="Normal"/>
        <w:rPr/>
      </w:pPr>
      <w:r>
        <w:rPr>
          <w:b/>
          <w:bCs/>
        </w:rPr>
        <w:t>FIPS</w:t>
      </w:r>
      <w:r>
        <w:rPr/>
        <w:t xml:space="preserve"> - Federal Information Processing Standards</w:t>
      </w:r>
    </w:p>
    <w:p>
      <w:pPr>
        <w:pStyle w:val="Normal"/>
        <w:rPr/>
      </w:pPr>
      <w:r>
        <w:rPr>
          <w:b/>
          <w:bCs/>
        </w:rPr>
        <w:t>IA</w:t>
      </w:r>
      <w:r>
        <w:rPr/>
        <w:t xml:space="preserve"> - Identification and Authentication</w:t>
      </w:r>
    </w:p>
    <w:p>
      <w:pPr>
        <w:pStyle w:val="Normal"/>
        <w:rPr/>
      </w:pPr>
      <w:r>
        <w:rPr>
          <w:b/>
          <w:bCs/>
        </w:rPr>
        <w:t>IR</w:t>
      </w:r>
      <w:r>
        <w:rPr/>
        <w:t xml:space="preserve"> - Incident Response</w:t>
      </w:r>
    </w:p>
    <w:p>
      <w:pPr>
        <w:pStyle w:val="Normal"/>
        <w:rPr/>
      </w:pPr>
      <w:r>
        <w:rPr>
          <w:b/>
          <w:bCs/>
        </w:rPr>
        <w:t>ISSO</w:t>
      </w:r>
      <w:r>
        <w:rPr/>
        <w:t xml:space="preserve"> - Information System Security Officer</w:t>
      </w:r>
    </w:p>
    <w:p>
      <w:pPr>
        <w:pStyle w:val="Normal"/>
        <w:rPr/>
      </w:pPr>
      <w:r>
        <w:rPr>
          <w:b/>
          <w:bCs/>
        </w:rPr>
        <w:t>LDAP</w:t>
      </w:r>
      <w:r>
        <w:rPr/>
        <w:t xml:space="preserve"> - Lightweight Directory Access Protocol</w:t>
      </w:r>
    </w:p>
    <w:p>
      <w:pPr>
        <w:pStyle w:val="Normal"/>
        <w:rPr/>
      </w:pPr>
      <w:r>
        <w:rPr>
          <w:b/>
          <w:bCs/>
        </w:rPr>
        <w:t>LUKS</w:t>
      </w:r>
      <w:r>
        <w:rPr/>
        <w:t xml:space="preserve"> - Linux Unified Key Setup</w:t>
      </w:r>
    </w:p>
    <w:p>
      <w:pPr>
        <w:pStyle w:val="Normal"/>
        <w:rPr/>
      </w:pPr>
      <w:r>
        <w:rPr>
          <w:b/>
          <w:bCs/>
        </w:rPr>
        <w:t>MFA</w:t>
      </w:r>
      <w:r>
        <w:rPr/>
        <w:t xml:space="preserve"> - Multi-Factor Authentication</w:t>
      </w:r>
    </w:p>
    <w:p>
      <w:pPr>
        <w:pStyle w:val="Normal"/>
        <w:rPr/>
      </w:pPr>
      <w:r>
        <w:rPr>
          <w:b/>
          <w:bCs/>
        </w:rPr>
        <w:t>NIST</w:t>
      </w:r>
      <w:r>
        <w:rPr/>
        <w:t xml:space="preserve"> - National Institute of Standards and Technology</w:t>
      </w:r>
    </w:p>
    <w:p>
      <w:pPr>
        <w:pStyle w:val="Normal"/>
        <w:rPr/>
      </w:pPr>
      <w:r>
        <w:rPr>
          <w:b/>
          <w:bCs/>
        </w:rPr>
        <w:t>POA&amp;M</w:t>
      </w:r>
      <w:r>
        <w:rPr/>
        <w:t xml:space="preserve"> - Plan of Action and Milestones</w:t>
      </w:r>
    </w:p>
    <w:p>
      <w:pPr>
        <w:pStyle w:val="Normal"/>
        <w:rPr/>
      </w:pPr>
      <w:r>
        <w:rPr>
          <w:b/>
          <w:bCs/>
        </w:rPr>
        <w:t>SC</w:t>
      </w:r>
      <w:r>
        <w:rPr/>
        <w:t xml:space="preserve"> - System and Communications Protection</w:t>
      </w:r>
    </w:p>
    <w:p>
      <w:pPr>
        <w:pStyle w:val="Normal"/>
        <w:rPr/>
      </w:pPr>
      <w:r>
        <w:rPr>
          <w:b/>
          <w:bCs/>
        </w:rPr>
        <w:t>SI</w:t>
      </w:r>
      <w:r>
        <w:rPr/>
        <w:t xml:space="preserve"> - System and Information Integrity</w:t>
      </w:r>
    </w:p>
    <w:p>
      <w:pPr>
        <w:pStyle w:val="Normal"/>
        <w:rPr/>
      </w:pPr>
      <w:r>
        <w:rPr>
          <w:b/>
          <w:bCs/>
        </w:rPr>
        <w:t>SSH</w:t>
      </w:r>
      <w:r>
        <w:rPr/>
        <w:t xml:space="preserve"> - Secure Shell</w:t>
      </w:r>
    </w:p>
    <w:p>
      <w:pPr>
        <w:pStyle w:val="Normal"/>
        <w:rPr/>
      </w:pPr>
      <w:r>
        <w:rPr>
          <w:b/>
          <w:bCs/>
        </w:rPr>
        <w:t>SSP</w:t>
      </w:r>
      <w:r>
        <w:rPr/>
        <w:t xml:space="preserve"> - System Security Plan</w:t>
      </w:r>
    </w:p>
    <w:p>
      <w:pPr>
        <w:pStyle w:val="Normal"/>
        <w:spacing w:before="0" w:after="240"/>
        <w:rPr/>
      </w:pPr>
      <w:r>
        <w:rPr>
          <w:b/>
          <w:bCs/>
        </w:rPr>
        <w:t>TLS</w:t>
      </w:r>
      <w:r>
        <w:rPr/>
        <w:t xml:space="preserve"> - Transport Layer Security</w:t>
      </w:r>
    </w:p>
    <w:p>
      <w:pPr>
        <w:pStyle w:val="Heading2"/>
        <w:rPr/>
      </w:pPr>
      <w:r>
        <w:rPr/>
        <w:t>Appendix B: References</w:t>
      </w:r>
    </w:p>
    <w:p>
      <w:pPr>
        <w:pStyle w:val="ListParagraph"/>
        <w:numPr>
          <w:ilvl w:val="0"/>
          <w:numId w:val="5"/>
        </w:numPr>
        <w:rPr/>
      </w:pPr>
      <w:r>
        <w:rPr/>
        <w:t>NIST Special Publication 800-171 Revision 2, Protecting Controlled Unclassified Information in Nonfederal Systems and Organizations</w:t>
      </w:r>
    </w:p>
    <w:p>
      <w:pPr>
        <w:pStyle w:val="ListParagraph"/>
        <w:numPr>
          <w:ilvl w:val="0"/>
          <w:numId w:val="2"/>
        </w:numPr>
        <w:rPr/>
      </w:pPr>
      <w:r>
        <w:rPr/>
        <w:t>NIST Special Publication 800-171A, Assessing Security Requirements for Controlled Unclassified Information</w:t>
      </w:r>
    </w:p>
    <w:p>
      <w:pPr>
        <w:pStyle w:val="ListParagraph"/>
        <w:numPr>
          <w:ilvl w:val="0"/>
          <w:numId w:val="2"/>
        </w:numPr>
        <w:rPr/>
      </w:pPr>
      <w:r>
        <w:rPr/>
        <w:t>FAR 52.204-21, Basic Safeguarding of Covered Contractor Information Systems</w:t>
      </w:r>
    </w:p>
    <w:p>
      <w:pPr>
        <w:pStyle w:val="ListParagraph"/>
        <w:numPr>
          <w:ilvl w:val="0"/>
          <w:numId w:val="2"/>
        </w:numPr>
        <w:rPr/>
      </w:pPr>
      <w:r>
        <w:rPr/>
        <w:t>DFARS 252.204-7012, Safeguarding Covered Defense Information and Cyber Incident Reporting</w:t>
      </w:r>
    </w:p>
    <w:p>
      <w:pPr>
        <w:pStyle w:val="ListParagraph"/>
        <w:numPr>
          <w:ilvl w:val="0"/>
          <w:numId w:val="2"/>
        </w:numPr>
        <w:rPr/>
      </w:pPr>
      <w:r>
        <w:rPr/>
        <w:t>FIPS 140-2, Security Requirements for Cryptographic Modules</w:t>
      </w:r>
    </w:p>
    <w:p>
      <w:pPr>
        <w:pStyle w:val="ListParagraph"/>
        <w:numPr>
          <w:ilvl w:val="0"/>
          <w:numId w:val="2"/>
        </w:numPr>
        <w:rPr/>
      </w:pPr>
      <w:r>
        <w:rPr/>
        <w:t>FIPS 199, Standards for Security Categorization of Federal Information and Information Systems</w:t>
      </w:r>
    </w:p>
    <w:p>
      <w:pPr>
        <w:pStyle w:val="ListParagraph"/>
        <w:numPr>
          <w:ilvl w:val="0"/>
          <w:numId w:val="2"/>
        </w:numPr>
        <w:rPr/>
      </w:pPr>
      <w:r>
        <w:rPr/>
        <w:t>CMMC Model Version 2.0, Cybersecurity Maturity Model Certification</w:t>
      </w:r>
    </w:p>
    <w:p>
      <w:pPr>
        <w:pStyle w:val="ListParagraph"/>
        <w:numPr>
          <w:ilvl w:val="0"/>
          <w:numId w:val="2"/>
        </w:numPr>
        <w:spacing w:before="0" w:after="240"/>
        <w:rPr/>
      </w:pPr>
      <w:r>
        <w:rPr/>
        <w:t>32 CFR Part 2002, Controlled Unclassified Information</w:t>
      </w:r>
    </w:p>
    <w:p>
      <w:pPr>
        <w:pStyle w:val="Heading2"/>
        <w:rPr/>
      </w:pPr>
      <w:r>
        <w:rPr/>
        <w:t>Appendix C: Document Maintenance</w:t>
      </w:r>
    </w:p>
    <w:p>
      <w:pPr>
        <w:pStyle w:val="Normal"/>
        <w:spacing w:before="120" w:after="60"/>
        <w:rPr/>
      </w:pPr>
      <w:r>
        <w:rPr>
          <w:b/>
          <w:bCs/>
        </w:rPr>
        <w:t>This System Security Plan shall be reviewed and updated:</w:t>
      </w:r>
    </w:p>
    <w:p>
      <w:pPr>
        <w:pStyle w:val="ListParagraph"/>
        <w:numPr>
          <w:ilvl w:val="0"/>
          <w:numId w:val="1"/>
        </w:numPr>
        <w:rPr/>
      </w:pPr>
      <w:r>
        <w:rPr/>
        <w:t>Quarterly (every 3 months) or more frequently as needed</w:t>
      </w:r>
    </w:p>
    <w:p>
      <w:pPr>
        <w:pStyle w:val="ListParagraph"/>
        <w:numPr>
          <w:ilvl w:val="0"/>
          <w:numId w:val="1"/>
        </w:numPr>
        <w:rPr/>
      </w:pPr>
      <w:r>
        <w:rPr/>
        <w:t>Upon significant system changes (hardware, software, or security posture)</w:t>
      </w:r>
    </w:p>
    <w:p>
      <w:pPr>
        <w:pStyle w:val="ListParagraph"/>
        <w:numPr>
          <w:ilvl w:val="0"/>
          <w:numId w:val="1"/>
        </w:numPr>
        <w:rPr/>
      </w:pPr>
      <w:r>
        <w:rPr/>
        <w:t>Following security incidents requiring corrective actions</w:t>
      </w:r>
    </w:p>
    <w:p>
      <w:pPr>
        <w:pStyle w:val="ListParagraph"/>
        <w:numPr>
          <w:ilvl w:val="0"/>
          <w:numId w:val="1"/>
        </w:numPr>
        <w:rPr/>
      </w:pPr>
      <w:r>
        <w:rPr/>
        <w:t>When new threats or vulnerabilities are identified</w:t>
      </w:r>
    </w:p>
    <w:p>
      <w:pPr>
        <w:pStyle w:val="ListParagraph"/>
        <w:numPr>
          <w:ilvl w:val="0"/>
          <w:numId w:val="1"/>
        </w:numPr>
        <w:spacing w:before="0" w:after="240"/>
        <w:rPr/>
      </w:pPr>
      <w:r>
        <w:rPr/>
        <w:t>When NIST 800-171 requirements are updated</w:t>
      </w:r>
    </w:p>
    <w:p>
      <w:pPr>
        <w:pStyle w:val="Normal"/>
        <w:spacing w:before="240" w:after="120"/>
        <w:jc w:val="center"/>
        <w:rPr/>
      </w:pPr>
      <w:r>
        <w:rPr>
          <w:b/>
          <w:bCs/>
          <w:sz w:val="24"/>
          <w:szCs w:val="24"/>
        </w:rPr>
        <w:t>--- END OF SYSTEM SECURITY PLAN ---</w:t>
      </w:r>
    </w:p>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5000" w:type="pct"/>
      <w:jc w:val="left"/>
      <w:tblInd w:w="0" w:type="dxa"/>
      <w:tblLayout w:type="fixed"/>
      <w:tblCellMar>
        <w:top w:w="0" w:type="dxa"/>
        <w:left w:w="108" w:type="dxa"/>
        <w:bottom w:w="0" w:type="dxa"/>
        <w:right w:w="108" w:type="dxa"/>
      </w:tblCellMar>
    </w:tblPr>
    <w:tblGrid>
      <w:gridCol w:w="3008"/>
      <w:gridCol w:w="3009"/>
      <w:gridCol w:w="3009"/>
    </w:tblGrid>
    <w:tr>
      <w:trPr/>
      <w:tc>
        <w:tcPr>
          <w:tcW w:w="3008" w:type="dxa"/>
          <w:tcBorders/>
        </w:tcPr>
        <w:p>
          <w:pPr>
            <w:pStyle w:val="Normal"/>
            <w:widowControl w:val="false"/>
            <w:jc w:val="left"/>
            <w:rPr/>
          </w:pPr>
          <w:r>
            <w:rPr>
              <w:b/>
              <w:bCs/>
              <w:color w:val="666666"/>
              <w:sz w:val="18"/>
              <w:szCs w:val="18"/>
            </w:rPr>
            <w:t>CUI</w:t>
          </w:r>
        </w:p>
      </w:tc>
      <w:tc>
        <w:tcPr>
          <w:tcW w:w="3009" w:type="dxa"/>
          <w:tcBorders/>
        </w:tcPr>
        <w:p>
          <w:pPr>
            <w:pStyle w:val="Normal"/>
            <w:widowControl w:val="false"/>
            <w:jc w:val="center"/>
            <w:rPr/>
          </w:pPr>
          <w:r>
            <w:rPr>
              <w:color w:val="666666"/>
              <w:sz w:val="18"/>
              <w:szCs w:val="18"/>
            </w:rPr>
            <w:t xml:space="preserve">Page </w:t>
          </w:r>
          <w:r>
            <w:rPr/>
            <w:fldChar w:fldCharType="begin"/>
          </w:r>
          <w:r>
            <w:rPr/>
            <w:instrText> PAGE </w:instrText>
          </w:r>
          <w:r>
            <w:rPr/>
            <w:fldChar w:fldCharType="separate"/>
          </w:r>
          <w:r>
            <w:rPr/>
            <w:t>18</w:t>
          </w:r>
          <w:r>
            <w:rPr/>
            <w:fldChar w:fldCharType="end"/>
          </w:r>
          <w:r>
            <w:rPr>
              <w:color w:val="666666"/>
              <w:sz w:val="18"/>
              <w:szCs w:val="18"/>
            </w:rPr>
            <w:t xml:space="preserve"> of </w:t>
          </w:r>
          <w:r>
            <w:rPr/>
            <w:fldChar w:fldCharType="begin"/>
          </w:r>
          <w:r>
            <w:rPr/>
            <w:instrText> NUMPAGES </w:instrText>
          </w:r>
          <w:r>
            <w:rPr/>
            <w:fldChar w:fldCharType="separate"/>
          </w:r>
          <w:r>
            <w:rPr/>
            <w:t>18</w:t>
          </w:r>
          <w:r>
            <w:rPr/>
            <w:fldChar w:fldCharType="end"/>
          </w:r>
        </w:p>
      </w:tc>
      <w:tc>
        <w:tcPr>
          <w:tcW w:w="3009" w:type="dxa"/>
          <w:tcBorders/>
        </w:tcPr>
        <w:p>
          <w:pPr>
            <w:pStyle w:val="Normal"/>
            <w:widowControl w:val="false"/>
            <w:jc w:val="right"/>
            <w:rPr/>
          </w:pPr>
          <w:r>
            <w:rPr>
              <w:color w:val="666666"/>
              <w:sz w:val="18"/>
              <w:szCs w:val="18"/>
            </w:rPr>
            <w:t>Version 1.0</w:t>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pPr>
    <w:r>
      <w:rPr>
        <w:color w:val="666666"/>
        <w:sz w:val="18"/>
        <w:szCs w:val="18"/>
      </w:rPr>
      <w:t>The Contract Coach - System Security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ageBreakBefore/>
      <w:spacing w:before="480" w:after="120"/>
      <w:outlineLvl w:val="0"/>
    </w:pPr>
    <w:rPr>
      <w:rFonts w:ascii="Arial" w:hAnsi="Arial" w:eastAsia="Arial" w:cs="Arial"/>
      <w:b/>
      <w:bCs/>
      <w:color w:val="1F4E78"/>
      <w:sz w:val="32"/>
      <w:szCs w:val="32"/>
    </w:rPr>
  </w:style>
  <w:style w:type="paragraph" w:styleId="Heading2">
    <w:name w:val="Heading 2"/>
    <w:basedOn w:val="Heading"/>
    <w:qFormat/>
    <w:pPr>
      <w:spacing w:before="240" w:after="120"/>
      <w:outlineLvl w:val="1"/>
    </w:pPr>
    <w:rPr>
      <w:rFonts w:ascii="Arial" w:hAnsi="Arial" w:eastAsia="Arial" w:cs="Arial"/>
      <w:b/>
      <w:bCs/>
      <w:color w:val="2E75B5"/>
      <w:sz w:val="28"/>
      <w:szCs w:val="28"/>
    </w:rPr>
  </w:style>
  <w:style w:type="paragraph" w:styleId="Heading3">
    <w:name w:val="Heading 3"/>
    <w:basedOn w:val="Heading"/>
    <w:qFormat/>
    <w:pPr>
      <w:spacing w:before="240" w:after="120"/>
      <w:outlineLvl w:val="2"/>
    </w:pPr>
    <w:rPr>
      <w:rFonts w:ascii="Arial" w:hAnsi="Arial" w:eastAsia="Arial" w:cs="Arial"/>
      <w:b/>
      <w:bCs/>
      <w:color w:val="2E75B5"/>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itle">
    <w:name w:val="Title"/>
    <w:basedOn w:val="Heading"/>
    <w:qFormat/>
    <w:pPr>
      <w:spacing w:before="240" w:after="120"/>
      <w:jc w:val="center"/>
    </w:pPr>
    <w:rPr>
      <w:rFonts w:ascii="Arial" w:hAnsi="Arial" w:eastAsia="Arial" w:cs="Arial"/>
      <w:b/>
      <w:bCs/>
      <w:color w:val="000000"/>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52</TotalTime>
  <Application>LibreOffice/7.1.8.1$Linux_X86_64 LibreOffice_project/10$Build-1</Application>
  <AppVersion>15.0000</AppVersion>
  <Pages>18</Pages>
  <Words>3004</Words>
  <Characters>19630</Characters>
  <CharactersWithSpaces>22051</CharactersWithSpaces>
  <Paragraphs>492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2025-10-26T15:31:52Z</dcterms:created>
  <dc:creator>Un-named</dc:creator>
  <dc:description/>
  <dc:language>en-US</dc:language>
  <cp:lastModifiedBy/>
  <dcterms:modified xsi:type="dcterms:W3CDTF">2025-10-28T11:20:35Z</dcterms:modified>
  <cp:revision>2</cp:revision>
  <dc:subject/>
  <dc:title/>
</cp:coreProperties>
</file>