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5CD5" w14:textId="77777777" w:rsidR="00DA5167" w:rsidRDefault="00000000">
      <w:pPr>
        <w:pStyle w:val="Title"/>
      </w:pPr>
      <w:r>
        <w:t>Beyond the Checkbox: Critical Analysis of Self-Assessment Bias and Defense-in-Depth Understanding in Open-Source NIST 800-171 Implementations</w:t>
      </w:r>
    </w:p>
    <w:p w14:paraId="016233C5" w14:textId="77777777" w:rsidR="00DA5167" w:rsidRDefault="00000000">
      <w:pPr>
        <w:pStyle w:val="Author"/>
      </w:pPr>
      <w:r>
        <w:t>Donald E. Shannon</w:t>
      </w:r>
    </w:p>
    <w:p w14:paraId="2F68BE9F" w14:textId="77777777" w:rsidR="00DA5167" w:rsidRDefault="00000000">
      <w:pPr>
        <w:pStyle w:val="Date"/>
      </w:pPr>
      <w:r>
        <w:t>January 2026</w:t>
      </w:r>
    </w:p>
    <w:sdt>
      <w:sdtPr>
        <w:rPr>
          <w:rFonts w:asciiTheme="minorHAnsi" w:eastAsiaTheme="minorHAnsi" w:hAnsiTheme="minorHAnsi" w:cstheme="minorBidi"/>
          <w:color w:val="auto"/>
          <w:sz w:val="24"/>
          <w:szCs w:val="24"/>
        </w:rPr>
        <w:id w:val="1290241059"/>
        <w:docPartObj>
          <w:docPartGallery w:val="Table of Contents"/>
          <w:docPartUnique/>
        </w:docPartObj>
      </w:sdtPr>
      <w:sdtContent>
        <w:p w14:paraId="60659A20" w14:textId="77777777" w:rsidR="00DA5167" w:rsidRDefault="00000000">
          <w:pPr>
            <w:pStyle w:val="TOCHeading"/>
          </w:pPr>
          <w:r>
            <w:t>Table of Contents</w:t>
          </w:r>
        </w:p>
        <w:p w14:paraId="43A9CE5E" w14:textId="71795C88" w:rsidR="00965823" w:rsidRDefault="00000000">
          <w:pPr>
            <w:pStyle w:val="TOC1"/>
            <w:tabs>
              <w:tab w:val="left" w:pos="48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1262022" w:history="1">
            <w:r w:rsidR="00965823" w:rsidRPr="004A771D">
              <w:rPr>
                <w:rStyle w:val="Hyperlink"/>
                <w:noProof/>
              </w:rPr>
              <w:t>1</w:t>
            </w:r>
            <w:r w:rsidR="00965823">
              <w:rPr>
                <w:rFonts w:eastAsiaTheme="minorEastAsia"/>
                <w:noProof/>
                <w:kern w:val="2"/>
                <w14:ligatures w14:val="standardContextual"/>
              </w:rPr>
              <w:tab/>
            </w:r>
            <w:r w:rsidR="00965823" w:rsidRPr="004A771D">
              <w:rPr>
                <w:rStyle w:val="Hyperlink"/>
                <w:noProof/>
              </w:rPr>
              <w:t>Beyond the Checkbox: Critical Analysis of Self-Assessment Bias and Defense-in-Depth Understanding in Open-Source NIST 800-171 Implementations</w:t>
            </w:r>
            <w:r w:rsidR="00965823">
              <w:rPr>
                <w:noProof/>
                <w:webHidden/>
              </w:rPr>
              <w:tab/>
            </w:r>
            <w:r w:rsidR="00965823">
              <w:rPr>
                <w:noProof/>
                <w:webHidden/>
              </w:rPr>
              <w:fldChar w:fldCharType="begin"/>
            </w:r>
            <w:r w:rsidR="00965823">
              <w:rPr>
                <w:noProof/>
                <w:webHidden/>
              </w:rPr>
              <w:instrText xml:space="preserve"> PAGEREF _Toc221262022 \h </w:instrText>
            </w:r>
            <w:r w:rsidR="00965823">
              <w:rPr>
                <w:noProof/>
                <w:webHidden/>
              </w:rPr>
            </w:r>
            <w:r w:rsidR="00965823">
              <w:rPr>
                <w:noProof/>
                <w:webHidden/>
              </w:rPr>
              <w:fldChar w:fldCharType="separate"/>
            </w:r>
            <w:r w:rsidR="00965823">
              <w:rPr>
                <w:noProof/>
                <w:webHidden/>
              </w:rPr>
              <w:t>2</w:t>
            </w:r>
            <w:r w:rsidR="00965823">
              <w:rPr>
                <w:noProof/>
                <w:webHidden/>
              </w:rPr>
              <w:fldChar w:fldCharType="end"/>
            </w:r>
          </w:hyperlink>
        </w:p>
        <w:p w14:paraId="645EBDF8" w14:textId="3CFA0CC9" w:rsidR="00965823" w:rsidRDefault="00965823">
          <w:pPr>
            <w:pStyle w:val="TOC2"/>
            <w:tabs>
              <w:tab w:val="left" w:pos="960"/>
              <w:tab w:val="right" w:leader="dot" w:pos="9350"/>
            </w:tabs>
            <w:rPr>
              <w:rFonts w:eastAsiaTheme="minorEastAsia"/>
              <w:noProof/>
              <w:kern w:val="2"/>
              <w14:ligatures w14:val="standardContextual"/>
            </w:rPr>
          </w:pPr>
          <w:hyperlink w:anchor="_Toc221262023" w:history="1">
            <w:r w:rsidRPr="004A771D">
              <w:rPr>
                <w:rStyle w:val="Hyperlink"/>
                <w:noProof/>
              </w:rPr>
              <w:t>1.1</w:t>
            </w:r>
            <w:r>
              <w:rPr>
                <w:rFonts w:eastAsiaTheme="minorEastAsia"/>
                <w:noProof/>
                <w:kern w:val="2"/>
                <w14:ligatures w14:val="standardContextual"/>
              </w:rPr>
              <w:tab/>
            </w:r>
            <w:r w:rsidRPr="004A771D">
              <w:rPr>
                <w:rStyle w:val="Hyperlink"/>
                <w:noProof/>
              </w:rPr>
              <w:t>Abstract</w:t>
            </w:r>
            <w:r>
              <w:rPr>
                <w:noProof/>
                <w:webHidden/>
              </w:rPr>
              <w:tab/>
            </w:r>
            <w:r>
              <w:rPr>
                <w:noProof/>
                <w:webHidden/>
              </w:rPr>
              <w:fldChar w:fldCharType="begin"/>
            </w:r>
            <w:r>
              <w:rPr>
                <w:noProof/>
                <w:webHidden/>
              </w:rPr>
              <w:instrText xml:space="preserve"> PAGEREF _Toc221262023 \h </w:instrText>
            </w:r>
            <w:r>
              <w:rPr>
                <w:noProof/>
                <w:webHidden/>
              </w:rPr>
            </w:r>
            <w:r>
              <w:rPr>
                <w:noProof/>
                <w:webHidden/>
              </w:rPr>
              <w:fldChar w:fldCharType="separate"/>
            </w:r>
            <w:r>
              <w:rPr>
                <w:noProof/>
                <w:webHidden/>
              </w:rPr>
              <w:t>2</w:t>
            </w:r>
            <w:r>
              <w:rPr>
                <w:noProof/>
                <w:webHidden/>
              </w:rPr>
              <w:fldChar w:fldCharType="end"/>
            </w:r>
          </w:hyperlink>
        </w:p>
        <w:p w14:paraId="21AABA6C" w14:textId="491FB539" w:rsidR="00965823" w:rsidRDefault="00965823">
          <w:pPr>
            <w:pStyle w:val="TOC2"/>
            <w:tabs>
              <w:tab w:val="left" w:pos="960"/>
              <w:tab w:val="right" w:leader="dot" w:pos="9350"/>
            </w:tabs>
            <w:rPr>
              <w:rFonts w:eastAsiaTheme="minorEastAsia"/>
              <w:noProof/>
              <w:kern w:val="2"/>
              <w14:ligatures w14:val="standardContextual"/>
            </w:rPr>
          </w:pPr>
          <w:hyperlink w:anchor="_Toc221262024" w:history="1">
            <w:r w:rsidRPr="004A771D">
              <w:rPr>
                <w:rStyle w:val="Hyperlink"/>
                <w:noProof/>
              </w:rPr>
              <w:t>1.2</w:t>
            </w:r>
            <w:r>
              <w:rPr>
                <w:rFonts w:eastAsiaTheme="minorEastAsia"/>
                <w:noProof/>
                <w:kern w:val="2"/>
                <w14:ligatures w14:val="standardContextual"/>
              </w:rPr>
              <w:tab/>
            </w:r>
            <w:r w:rsidRPr="004A771D">
              <w:rPr>
                <w:rStyle w:val="Hyperlink"/>
                <w:noProof/>
              </w:rPr>
              <w:t>Introduction</w:t>
            </w:r>
            <w:r>
              <w:rPr>
                <w:noProof/>
                <w:webHidden/>
              </w:rPr>
              <w:tab/>
            </w:r>
            <w:r>
              <w:rPr>
                <w:noProof/>
                <w:webHidden/>
              </w:rPr>
              <w:fldChar w:fldCharType="begin"/>
            </w:r>
            <w:r>
              <w:rPr>
                <w:noProof/>
                <w:webHidden/>
              </w:rPr>
              <w:instrText xml:space="preserve"> PAGEREF _Toc221262024 \h </w:instrText>
            </w:r>
            <w:r>
              <w:rPr>
                <w:noProof/>
                <w:webHidden/>
              </w:rPr>
            </w:r>
            <w:r>
              <w:rPr>
                <w:noProof/>
                <w:webHidden/>
              </w:rPr>
              <w:fldChar w:fldCharType="separate"/>
            </w:r>
            <w:r>
              <w:rPr>
                <w:noProof/>
                <w:webHidden/>
              </w:rPr>
              <w:t>4</w:t>
            </w:r>
            <w:r>
              <w:rPr>
                <w:noProof/>
                <w:webHidden/>
              </w:rPr>
              <w:fldChar w:fldCharType="end"/>
            </w:r>
          </w:hyperlink>
        </w:p>
        <w:p w14:paraId="2DBE8738" w14:textId="7E2547EE" w:rsidR="00965823" w:rsidRDefault="00965823">
          <w:pPr>
            <w:pStyle w:val="TOC3"/>
            <w:tabs>
              <w:tab w:val="left" w:pos="1440"/>
              <w:tab w:val="right" w:leader="dot" w:pos="9350"/>
            </w:tabs>
            <w:rPr>
              <w:rFonts w:eastAsiaTheme="minorEastAsia"/>
              <w:noProof/>
              <w:kern w:val="2"/>
              <w14:ligatures w14:val="standardContextual"/>
            </w:rPr>
          </w:pPr>
          <w:hyperlink w:anchor="_Toc221262025" w:history="1">
            <w:r w:rsidRPr="004A771D">
              <w:rPr>
                <w:rStyle w:val="Hyperlink"/>
                <w:noProof/>
              </w:rPr>
              <w:t>1.2.1</w:t>
            </w:r>
            <w:r>
              <w:rPr>
                <w:rFonts w:eastAsiaTheme="minorEastAsia"/>
                <w:noProof/>
                <w:kern w:val="2"/>
                <w14:ligatures w14:val="standardContextual"/>
              </w:rPr>
              <w:tab/>
            </w:r>
            <w:r w:rsidRPr="004A771D">
              <w:rPr>
                <w:rStyle w:val="Hyperlink"/>
                <w:noProof/>
              </w:rPr>
              <w:t>Background</w:t>
            </w:r>
            <w:r>
              <w:rPr>
                <w:noProof/>
                <w:webHidden/>
              </w:rPr>
              <w:tab/>
            </w:r>
            <w:r>
              <w:rPr>
                <w:noProof/>
                <w:webHidden/>
              </w:rPr>
              <w:fldChar w:fldCharType="begin"/>
            </w:r>
            <w:r>
              <w:rPr>
                <w:noProof/>
                <w:webHidden/>
              </w:rPr>
              <w:instrText xml:space="preserve"> PAGEREF _Toc221262025 \h </w:instrText>
            </w:r>
            <w:r>
              <w:rPr>
                <w:noProof/>
                <w:webHidden/>
              </w:rPr>
            </w:r>
            <w:r>
              <w:rPr>
                <w:noProof/>
                <w:webHidden/>
              </w:rPr>
              <w:fldChar w:fldCharType="separate"/>
            </w:r>
            <w:r>
              <w:rPr>
                <w:noProof/>
                <w:webHidden/>
              </w:rPr>
              <w:t>4</w:t>
            </w:r>
            <w:r>
              <w:rPr>
                <w:noProof/>
                <w:webHidden/>
              </w:rPr>
              <w:fldChar w:fldCharType="end"/>
            </w:r>
          </w:hyperlink>
        </w:p>
        <w:p w14:paraId="01563BDA" w14:textId="3F07A932" w:rsidR="00965823" w:rsidRDefault="00965823">
          <w:pPr>
            <w:pStyle w:val="TOC3"/>
            <w:tabs>
              <w:tab w:val="left" w:pos="1440"/>
              <w:tab w:val="right" w:leader="dot" w:pos="9350"/>
            </w:tabs>
            <w:rPr>
              <w:rFonts w:eastAsiaTheme="minorEastAsia"/>
              <w:noProof/>
              <w:kern w:val="2"/>
              <w14:ligatures w14:val="standardContextual"/>
            </w:rPr>
          </w:pPr>
          <w:hyperlink w:anchor="_Toc221262026" w:history="1">
            <w:r w:rsidRPr="004A771D">
              <w:rPr>
                <w:rStyle w:val="Hyperlink"/>
                <w:noProof/>
              </w:rPr>
              <w:t>1.2.2</w:t>
            </w:r>
            <w:r>
              <w:rPr>
                <w:rFonts w:eastAsiaTheme="minorEastAsia"/>
                <w:noProof/>
                <w:kern w:val="2"/>
                <w14:ligatures w14:val="standardContextual"/>
              </w:rPr>
              <w:tab/>
            </w:r>
            <w:r w:rsidRPr="004A771D">
              <w:rPr>
                <w:rStyle w:val="Hyperlink"/>
                <w:noProof/>
              </w:rPr>
              <w:t>Purpose and Scope</w:t>
            </w:r>
            <w:r>
              <w:rPr>
                <w:noProof/>
                <w:webHidden/>
              </w:rPr>
              <w:tab/>
            </w:r>
            <w:r>
              <w:rPr>
                <w:noProof/>
                <w:webHidden/>
              </w:rPr>
              <w:fldChar w:fldCharType="begin"/>
            </w:r>
            <w:r>
              <w:rPr>
                <w:noProof/>
                <w:webHidden/>
              </w:rPr>
              <w:instrText xml:space="preserve"> PAGEREF _Toc221262026 \h </w:instrText>
            </w:r>
            <w:r>
              <w:rPr>
                <w:noProof/>
                <w:webHidden/>
              </w:rPr>
            </w:r>
            <w:r>
              <w:rPr>
                <w:noProof/>
                <w:webHidden/>
              </w:rPr>
              <w:fldChar w:fldCharType="separate"/>
            </w:r>
            <w:r>
              <w:rPr>
                <w:noProof/>
                <w:webHidden/>
              </w:rPr>
              <w:t>8</w:t>
            </w:r>
            <w:r>
              <w:rPr>
                <w:noProof/>
                <w:webHidden/>
              </w:rPr>
              <w:fldChar w:fldCharType="end"/>
            </w:r>
          </w:hyperlink>
        </w:p>
        <w:p w14:paraId="6442B8C4" w14:textId="340A0CDD" w:rsidR="00965823" w:rsidRDefault="00965823">
          <w:pPr>
            <w:pStyle w:val="TOC3"/>
            <w:tabs>
              <w:tab w:val="left" w:pos="1440"/>
              <w:tab w:val="right" w:leader="dot" w:pos="9350"/>
            </w:tabs>
            <w:rPr>
              <w:rFonts w:eastAsiaTheme="minorEastAsia"/>
              <w:noProof/>
              <w:kern w:val="2"/>
              <w14:ligatures w14:val="standardContextual"/>
            </w:rPr>
          </w:pPr>
          <w:hyperlink w:anchor="_Toc221262027" w:history="1">
            <w:r w:rsidRPr="004A771D">
              <w:rPr>
                <w:rStyle w:val="Hyperlink"/>
                <w:noProof/>
              </w:rPr>
              <w:t>1.2.3</w:t>
            </w:r>
            <w:r>
              <w:rPr>
                <w:rFonts w:eastAsiaTheme="minorEastAsia"/>
                <w:noProof/>
                <w:kern w:val="2"/>
                <w14:ligatures w14:val="standardContextual"/>
              </w:rPr>
              <w:tab/>
            </w:r>
            <w:r w:rsidRPr="004A771D">
              <w:rPr>
                <w:rStyle w:val="Hyperlink"/>
                <w:noProof/>
              </w:rPr>
              <w:t>Regulatory Context and Staged Compliance</w:t>
            </w:r>
            <w:r>
              <w:rPr>
                <w:noProof/>
                <w:webHidden/>
              </w:rPr>
              <w:tab/>
            </w:r>
            <w:r>
              <w:rPr>
                <w:noProof/>
                <w:webHidden/>
              </w:rPr>
              <w:fldChar w:fldCharType="begin"/>
            </w:r>
            <w:r>
              <w:rPr>
                <w:noProof/>
                <w:webHidden/>
              </w:rPr>
              <w:instrText xml:space="preserve"> PAGEREF _Toc221262027 \h </w:instrText>
            </w:r>
            <w:r>
              <w:rPr>
                <w:noProof/>
                <w:webHidden/>
              </w:rPr>
            </w:r>
            <w:r>
              <w:rPr>
                <w:noProof/>
                <w:webHidden/>
              </w:rPr>
              <w:fldChar w:fldCharType="separate"/>
            </w:r>
            <w:r>
              <w:rPr>
                <w:noProof/>
                <w:webHidden/>
              </w:rPr>
              <w:t>9</w:t>
            </w:r>
            <w:r>
              <w:rPr>
                <w:noProof/>
                <w:webHidden/>
              </w:rPr>
              <w:fldChar w:fldCharType="end"/>
            </w:r>
          </w:hyperlink>
        </w:p>
        <w:p w14:paraId="6EB7153D" w14:textId="03E79441" w:rsidR="00965823" w:rsidRDefault="00965823">
          <w:pPr>
            <w:pStyle w:val="TOC2"/>
            <w:tabs>
              <w:tab w:val="left" w:pos="960"/>
              <w:tab w:val="right" w:leader="dot" w:pos="9350"/>
            </w:tabs>
            <w:rPr>
              <w:rFonts w:eastAsiaTheme="minorEastAsia"/>
              <w:noProof/>
              <w:kern w:val="2"/>
              <w14:ligatures w14:val="standardContextual"/>
            </w:rPr>
          </w:pPr>
          <w:hyperlink w:anchor="_Toc221262028" w:history="1">
            <w:r w:rsidRPr="004A771D">
              <w:rPr>
                <w:rStyle w:val="Hyperlink"/>
                <w:noProof/>
              </w:rPr>
              <w:t>1.3</w:t>
            </w:r>
            <w:r>
              <w:rPr>
                <w:rFonts w:eastAsiaTheme="minorEastAsia"/>
                <w:noProof/>
                <w:kern w:val="2"/>
                <w14:ligatures w14:val="standardContextual"/>
              </w:rPr>
              <w:tab/>
            </w:r>
            <w:r w:rsidRPr="004A771D">
              <w:rPr>
                <w:rStyle w:val="Hyperlink"/>
                <w:noProof/>
              </w:rPr>
              <w:t>Literature Review</w:t>
            </w:r>
            <w:r>
              <w:rPr>
                <w:noProof/>
                <w:webHidden/>
              </w:rPr>
              <w:tab/>
            </w:r>
            <w:r>
              <w:rPr>
                <w:noProof/>
                <w:webHidden/>
              </w:rPr>
              <w:fldChar w:fldCharType="begin"/>
            </w:r>
            <w:r>
              <w:rPr>
                <w:noProof/>
                <w:webHidden/>
              </w:rPr>
              <w:instrText xml:space="preserve"> PAGEREF _Toc221262028 \h </w:instrText>
            </w:r>
            <w:r>
              <w:rPr>
                <w:noProof/>
                <w:webHidden/>
              </w:rPr>
            </w:r>
            <w:r>
              <w:rPr>
                <w:noProof/>
                <w:webHidden/>
              </w:rPr>
              <w:fldChar w:fldCharType="separate"/>
            </w:r>
            <w:r>
              <w:rPr>
                <w:noProof/>
                <w:webHidden/>
              </w:rPr>
              <w:t>10</w:t>
            </w:r>
            <w:r>
              <w:rPr>
                <w:noProof/>
                <w:webHidden/>
              </w:rPr>
              <w:fldChar w:fldCharType="end"/>
            </w:r>
          </w:hyperlink>
        </w:p>
        <w:p w14:paraId="00B6A8E5" w14:textId="3DE07BD6" w:rsidR="00965823" w:rsidRDefault="00965823">
          <w:pPr>
            <w:pStyle w:val="TOC3"/>
            <w:tabs>
              <w:tab w:val="left" w:pos="1440"/>
              <w:tab w:val="right" w:leader="dot" w:pos="9350"/>
            </w:tabs>
            <w:rPr>
              <w:rFonts w:eastAsiaTheme="minorEastAsia"/>
              <w:noProof/>
              <w:kern w:val="2"/>
              <w14:ligatures w14:val="standardContextual"/>
            </w:rPr>
          </w:pPr>
          <w:hyperlink w:anchor="_Toc221262029" w:history="1">
            <w:r w:rsidRPr="004A771D">
              <w:rPr>
                <w:rStyle w:val="Hyperlink"/>
                <w:noProof/>
              </w:rPr>
              <w:t>1.3.1</w:t>
            </w:r>
            <w:r>
              <w:rPr>
                <w:rFonts w:eastAsiaTheme="minorEastAsia"/>
                <w:noProof/>
                <w:kern w:val="2"/>
                <w14:ligatures w14:val="standardContextual"/>
              </w:rPr>
              <w:tab/>
            </w:r>
            <w:r w:rsidRPr="004A771D">
              <w:rPr>
                <w:rStyle w:val="Hyperlink"/>
                <w:noProof/>
              </w:rPr>
              <w:t>The Dunning-Kruger Effect in Technical Domains</w:t>
            </w:r>
            <w:r>
              <w:rPr>
                <w:noProof/>
                <w:webHidden/>
              </w:rPr>
              <w:tab/>
            </w:r>
            <w:r>
              <w:rPr>
                <w:noProof/>
                <w:webHidden/>
              </w:rPr>
              <w:fldChar w:fldCharType="begin"/>
            </w:r>
            <w:r>
              <w:rPr>
                <w:noProof/>
                <w:webHidden/>
              </w:rPr>
              <w:instrText xml:space="preserve"> PAGEREF _Toc221262029 \h </w:instrText>
            </w:r>
            <w:r>
              <w:rPr>
                <w:noProof/>
                <w:webHidden/>
              </w:rPr>
            </w:r>
            <w:r>
              <w:rPr>
                <w:noProof/>
                <w:webHidden/>
              </w:rPr>
              <w:fldChar w:fldCharType="separate"/>
            </w:r>
            <w:r>
              <w:rPr>
                <w:noProof/>
                <w:webHidden/>
              </w:rPr>
              <w:t>10</w:t>
            </w:r>
            <w:r>
              <w:rPr>
                <w:noProof/>
                <w:webHidden/>
              </w:rPr>
              <w:fldChar w:fldCharType="end"/>
            </w:r>
          </w:hyperlink>
        </w:p>
        <w:p w14:paraId="7A7A03AC" w14:textId="3B744BA5" w:rsidR="00965823" w:rsidRDefault="00965823">
          <w:pPr>
            <w:pStyle w:val="TOC3"/>
            <w:tabs>
              <w:tab w:val="left" w:pos="1440"/>
              <w:tab w:val="right" w:leader="dot" w:pos="9350"/>
            </w:tabs>
            <w:rPr>
              <w:rFonts w:eastAsiaTheme="minorEastAsia"/>
              <w:noProof/>
              <w:kern w:val="2"/>
              <w14:ligatures w14:val="standardContextual"/>
            </w:rPr>
          </w:pPr>
          <w:hyperlink w:anchor="_Toc221262030" w:history="1">
            <w:r w:rsidRPr="004A771D">
              <w:rPr>
                <w:rStyle w:val="Hyperlink"/>
                <w:noProof/>
              </w:rPr>
              <w:t>1.3.2</w:t>
            </w:r>
            <w:r>
              <w:rPr>
                <w:rFonts w:eastAsiaTheme="minorEastAsia"/>
                <w:noProof/>
                <w:kern w:val="2"/>
                <w14:ligatures w14:val="standardContextual"/>
              </w:rPr>
              <w:tab/>
            </w:r>
            <w:r w:rsidRPr="004A771D">
              <w:rPr>
                <w:rStyle w:val="Hyperlink"/>
                <w:noProof/>
              </w:rPr>
              <w:t>Self-Assessment in Compliance Frameworks</w:t>
            </w:r>
            <w:r>
              <w:rPr>
                <w:noProof/>
                <w:webHidden/>
              </w:rPr>
              <w:tab/>
            </w:r>
            <w:r>
              <w:rPr>
                <w:noProof/>
                <w:webHidden/>
              </w:rPr>
              <w:fldChar w:fldCharType="begin"/>
            </w:r>
            <w:r>
              <w:rPr>
                <w:noProof/>
                <w:webHidden/>
              </w:rPr>
              <w:instrText xml:space="preserve"> PAGEREF _Toc221262030 \h </w:instrText>
            </w:r>
            <w:r>
              <w:rPr>
                <w:noProof/>
                <w:webHidden/>
              </w:rPr>
            </w:r>
            <w:r>
              <w:rPr>
                <w:noProof/>
                <w:webHidden/>
              </w:rPr>
              <w:fldChar w:fldCharType="separate"/>
            </w:r>
            <w:r>
              <w:rPr>
                <w:noProof/>
                <w:webHidden/>
              </w:rPr>
              <w:t>10</w:t>
            </w:r>
            <w:r>
              <w:rPr>
                <w:noProof/>
                <w:webHidden/>
              </w:rPr>
              <w:fldChar w:fldCharType="end"/>
            </w:r>
          </w:hyperlink>
        </w:p>
        <w:p w14:paraId="35EBDD50" w14:textId="09B01B93" w:rsidR="00965823" w:rsidRDefault="00965823">
          <w:pPr>
            <w:pStyle w:val="TOC3"/>
            <w:tabs>
              <w:tab w:val="left" w:pos="1440"/>
              <w:tab w:val="right" w:leader="dot" w:pos="9350"/>
            </w:tabs>
            <w:rPr>
              <w:rFonts w:eastAsiaTheme="minorEastAsia"/>
              <w:noProof/>
              <w:kern w:val="2"/>
              <w14:ligatures w14:val="standardContextual"/>
            </w:rPr>
          </w:pPr>
          <w:hyperlink w:anchor="_Toc221262031" w:history="1">
            <w:r w:rsidRPr="004A771D">
              <w:rPr>
                <w:rStyle w:val="Hyperlink"/>
                <w:noProof/>
              </w:rPr>
              <w:t>1.3.3</w:t>
            </w:r>
            <w:r>
              <w:rPr>
                <w:rFonts w:eastAsiaTheme="minorEastAsia"/>
                <w:noProof/>
                <w:kern w:val="2"/>
                <w14:ligatures w14:val="standardContextual"/>
              </w:rPr>
              <w:tab/>
            </w:r>
            <w:r w:rsidRPr="004A771D">
              <w:rPr>
                <w:rStyle w:val="Hyperlink"/>
                <w:noProof/>
              </w:rPr>
              <w:t>Defense-in-Depth as Security Philosophy</w:t>
            </w:r>
            <w:r>
              <w:rPr>
                <w:noProof/>
                <w:webHidden/>
              </w:rPr>
              <w:tab/>
            </w:r>
            <w:r>
              <w:rPr>
                <w:noProof/>
                <w:webHidden/>
              </w:rPr>
              <w:fldChar w:fldCharType="begin"/>
            </w:r>
            <w:r>
              <w:rPr>
                <w:noProof/>
                <w:webHidden/>
              </w:rPr>
              <w:instrText xml:space="preserve"> PAGEREF _Toc221262031 \h </w:instrText>
            </w:r>
            <w:r>
              <w:rPr>
                <w:noProof/>
                <w:webHidden/>
              </w:rPr>
            </w:r>
            <w:r>
              <w:rPr>
                <w:noProof/>
                <w:webHidden/>
              </w:rPr>
              <w:fldChar w:fldCharType="separate"/>
            </w:r>
            <w:r>
              <w:rPr>
                <w:noProof/>
                <w:webHidden/>
              </w:rPr>
              <w:t>11</w:t>
            </w:r>
            <w:r>
              <w:rPr>
                <w:noProof/>
                <w:webHidden/>
              </w:rPr>
              <w:fldChar w:fldCharType="end"/>
            </w:r>
          </w:hyperlink>
        </w:p>
        <w:p w14:paraId="349626CC" w14:textId="62A20E26" w:rsidR="00965823" w:rsidRDefault="00965823">
          <w:pPr>
            <w:pStyle w:val="TOC3"/>
            <w:tabs>
              <w:tab w:val="left" w:pos="1440"/>
              <w:tab w:val="right" w:leader="dot" w:pos="9350"/>
            </w:tabs>
            <w:rPr>
              <w:rFonts w:eastAsiaTheme="minorEastAsia"/>
              <w:noProof/>
              <w:kern w:val="2"/>
              <w14:ligatures w14:val="standardContextual"/>
            </w:rPr>
          </w:pPr>
          <w:hyperlink w:anchor="_Toc221262032" w:history="1">
            <w:r w:rsidRPr="004A771D">
              <w:rPr>
                <w:rStyle w:val="Hyperlink"/>
                <w:noProof/>
              </w:rPr>
              <w:t>1.3.4</w:t>
            </w:r>
            <w:r>
              <w:rPr>
                <w:rFonts w:eastAsiaTheme="minorEastAsia"/>
                <w:noProof/>
                <w:kern w:val="2"/>
                <w14:ligatures w14:val="standardContextual"/>
              </w:rPr>
              <w:tab/>
            </w:r>
            <w:r w:rsidRPr="004A771D">
              <w:rPr>
                <w:rStyle w:val="Hyperlink"/>
                <w:noProof/>
              </w:rPr>
              <w:t>AI in Cybersecurity Operations</w:t>
            </w:r>
            <w:r>
              <w:rPr>
                <w:noProof/>
                <w:webHidden/>
              </w:rPr>
              <w:tab/>
            </w:r>
            <w:r>
              <w:rPr>
                <w:noProof/>
                <w:webHidden/>
              </w:rPr>
              <w:fldChar w:fldCharType="begin"/>
            </w:r>
            <w:r>
              <w:rPr>
                <w:noProof/>
                <w:webHidden/>
              </w:rPr>
              <w:instrText xml:space="preserve"> PAGEREF _Toc221262032 \h </w:instrText>
            </w:r>
            <w:r>
              <w:rPr>
                <w:noProof/>
                <w:webHidden/>
              </w:rPr>
            </w:r>
            <w:r>
              <w:rPr>
                <w:noProof/>
                <w:webHidden/>
              </w:rPr>
              <w:fldChar w:fldCharType="separate"/>
            </w:r>
            <w:r>
              <w:rPr>
                <w:noProof/>
                <w:webHidden/>
              </w:rPr>
              <w:t>11</w:t>
            </w:r>
            <w:r>
              <w:rPr>
                <w:noProof/>
                <w:webHidden/>
              </w:rPr>
              <w:fldChar w:fldCharType="end"/>
            </w:r>
          </w:hyperlink>
        </w:p>
        <w:p w14:paraId="7F5B26B0" w14:textId="3D895567" w:rsidR="00965823" w:rsidRDefault="00965823">
          <w:pPr>
            <w:pStyle w:val="TOC2"/>
            <w:tabs>
              <w:tab w:val="left" w:pos="960"/>
              <w:tab w:val="right" w:leader="dot" w:pos="9350"/>
            </w:tabs>
            <w:rPr>
              <w:rFonts w:eastAsiaTheme="minorEastAsia"/>
              <w:noProof/>
              <w:kern w:val="2"/>
              <w14:ligatures w14:val="standardContextual"/>
            </w:rPr>
          </w:pPr>
          <w:hyperlink w:anchor="_Toc221262033" w:history="1">
            <w:r w:rsidRPr="004A771D">
              <w:rPr>
                <w:rStyle w:val="Hyperlink"/>
                <w:noProof/>
              </w:rPr>
              <w:t>1.4</w:t>
            </w:r>
            <w:r>
              <w:rPr>
                <w:rFonts w:eastAsiaTheme="minorEastAsia"/>
                <w:noProof/>
                <w:kern w:val="2"/>
                <w14:ligatures w14:val="standardContextual"/>
              </w:rPr>
              <w:tab/>
            </w:r>
            <w:r w:rsidRPr="004A771D">
              <w:rPr>
                <w:rStyle w:val="Hyperlink"/>
                <w:noProof/>
              </w:rPr>
              <w:t>Analysis: Self-Assessment Bias in CyberHygiene Adoption</w:t>
            </w:r>
            <w:r>
              <w:rPr>
                <w:noProof/>
                <w:webHidden/>
              </w:rPr>
              <w:tab/>
            </w:r>
            <w:r>
              <w:rPr>
                <w:noProof/>
                <w:webHidden/>
              </w:rPr>
              <w:fldChar w:fldCharType="begin"/>
            </w:r>
            <w:r>
              <w:rPr>
                <w:noProof/>
                <w:webHidden/>
              </w:rPr>
              <w:instrText xml:space="preserve"> PAGEREF _Toc221262033 \h </w:instrText>
            </w:r>
            <w:r>
              <w:rPr>
                <w:noProof/>
                <w:webHidden/>
              </w:rPr>
            </w:r>
            <w:r>
              <w:rPr>
                <w:noProof/>
                <w:webHidden/>
              </w:rPr>
              <w:fldChar w:fldCharType="separate"/>
            </w:r>
            <w:r>
              <w:rPr>
                <w:noProof/>
                <w:webHidden/>
              </w:rPr>
              <w:t>12</w:t>
            </w:r>
            <w:r>
              <w:rPr>
                <w:noProof/>
                <w:webHidden/>
              </w:rPr>
              <w:fldChar w:fldCharType="end"/>
            </w:r>
          </w:hyperlink>
        </w:p>
        <w:p w14:paraId="66E8322F" w14:textId="439D5C1E" w:rsidR="00965823" w:rsidRDefault="00965823">
          <w:pPr>
            <w:pStyle w:val="TOC3"/>
            <w:tabs>
              <w:tab w:val="left" w:pos="1440"/>
              <w:tab w:val="right" w:leader="dot" w:pos="9350"/>
            </w:tabs>
            <w:rPr>
              <w:rFonts w:eastAsiaTheme="minorEastAsia"/>
              <w:noProof/>
              <w:kern w:val="2"/>
              <w14:ligatures w14:val="standardContextual"/>
            </w:rPr>
          </w:pPr>
          <w:hyperlink w:anchor="_Toc221262034" w:history="1">
            <w:r w:rsidRPr="004A771D">
              <w:rPr>
                <w:rStyle w:val="Hyperlink"/>
                <w:noProof/>
              </w:rPr>
              <w:t>1.4.1</w:t>
            </w:r>
            <w:r>
              <w:rPr>
                <w:rFonts w:eastAsiaTheme="minorEastAsia"/>
                <w:noProof/>
                <w:kern w:val="2"/>
                <w14:ligatures w14:val="standardContextual"/>
              </w:rPr>
              <w:tab/>
            </w:r>
            <w:r w:rsidRPr="004A771D">
              <w:rPr>
                <w:rStyle w:val="Hyperlink"/>
                <w:noProof/>
              </w:rPr>
              <w:t>The Competence-Confidence Inversion</w:t>
            </w:r>
            <w:r>
              <w:rPr>
                <w:noProof/>
                <w:webHidden/>
              </w:rPr>
              <w:tab/>
            </w:r>
            <w:r>
              <w:rPr>
                <w:noProof/>
                <w:webHidden/>
              </w:rPr>
              <w:fldChar w:fldCharType="begin"/>
            </w:r>
            <w:r>
              <w:rPr>
                <w:noProof/>
                <w:webHidden/>
              </w:rPr>
              <w:instrText xml:space="preserve"> PAGEREF _Toc221262034 \h </w:instrText>
            </w:r>
            <w:r>
              <w:rPr>
                <w:noProof/>
                <w:webHidden/>
              </w:rPr>
            </w:r>
            <w:r>
              <w:rPr>
                <w:noProof/>
                <w:webHidden/>
              </w:rPr>
              <w:fldChar w:fldCharType="separate"/>
            </w:r>
            <w:r>
              <w:rPr>
                <w:noProof/>
                <w:webHidden/>
              </w:rPr>
              <w:t>12</w:t>
            </w:r>
            <w:r>
              <w:rPr>
                <w:noProof/>
                <w:webHidden/>
              </w:rPr>
              <w:fldChar w:fldCharType="end"/>
            </w:r>
          </w:hyperlink>
        </w:p>
        <w:p w14:paraId="74DA25D7" w14:textId="6C9D45B5" w:rsidR="00965823" w:rsidRDefault="00965823">
          <w:pPr>
            <w:pStyle w:val="TOC3"/>
            <w:tabs>
              <w:tab w:val="left" w:pos="1440"/>
              <w:tab w:val="right" w:leader="dot" w:pos="9350"/>
            </w:tabs>
            <w:rPr>
              <w:rFonts w:eastAsiaTheme="minorEastAsia"/>
              <w:noProof/>
              <w:kern w:val="2"/>
              <w14:ligatures w14:val="standardContextual"/>
            </w:rPr>
          </w:pPr>
          <w:hyperlink w:anchor="_Toc221262035" w:history="1">
            <w:r w:rsidRPr="004A771D">
              <w:rPr>
                <w:rStyle w:val="Hyperlink"/>
                <w:noProof/>
              </w:rPr>
              <w:t>1.4.2</w:t>
            </w:r>
            <w:r>
              <w:rPr>
                <w:rFonts w:eastAsiaTheme="minorEastAsia"/>
                <w:noProof/>
                <w:kern w:val="2"/>
                <w14:ligatures w14:val="standardContextual"/>
              </w:rPr>
              <w:tab/>
            </w:r>
            <w:r w:rsidRPr="004A771D">
              <w:rPr>
                <w:rStyle w:val="Hyperlink"/>
                <w:noProof/>
              </w:rPr>
              <w:t>Quantifying the Risk</w:t>
            </w:r>
            <w:r>
              <w:rPr>
                <w:noProof/>
                <w:webHidden/>
              </w:rPr>
              <w:tab/>
            </w:r>
            <w:r>
              <w:rPr>
                <w:noProof/>
                <w:webHidden/>
              </w:rPr>
              <w:fldChar w:fldCharType="begin"/>
            </w:r>
            <w:r>
              <w:rPr>
                <w:noProof/>
                <w:webHidden/>
              </w:rPr>
              <w:instrText xml:space="preserve"> PAGEREF _Toc221262035 \h </w:instrText>
            </w:r>
            <w:r>
              <w:rPr>
                <w:noProof/>
                <w:webHidden/>
              </w:rPr>
            </w:r>
            <w:r>
              <w:rPr>
                <w:noProof/>
                <w:webHidden/>
              </w:rPr>
              <w:fldChar w:fldCharType="separate"/>
            </w:r>
            <w:r>
              <w:rPr>
                <w:noProof/>
                <w:webHidden/>
              </w:rPr>
              <w:t>13</w:t>
            </w:r>
            <w:r>
              <w:rPr>
                <w:noProof/>
                <w:webHidden/>
              </w:rPr>
              <w:fldChar w:fldCharType="end"/>
            </w:r>
          </w:hyperlink>
        </w:p>
        <w:p w14:paraId="6FEA911A" w14:textId="4907D891" w:rsidR="00965823" w:rsidRDefault="00965823">
          <w:pPr>
            <w:pStyle w:val="TOC3"/>
            <w:tabs>
              <w:tab w:val="left" w:pos="1440"/>
              <w:tab w:val="right" w:leader="dot" w:pos="9350"/>
            </w:tabs>
            <w:rPr>
              <w:rFonts w:eastAsiaTheme="minorEastAsia"/>
              <w:noProof/>
              <w:kern w:val="2"/>
              <w14:ligatures w14:val="standardContextual"/>
            </w:rPr>
          </w:pPr>
          <w:hyperlink w:anchor="_Toc221262036" w:history="1">
            <w:r w:rsidRPr="004A771D">
              <w:rPr>
                <w:rStyle w:val="Hyperlink"/>
                <w:noProof/>
              </w:rPr>
              <w:t>1.4.3</w:t>
            </w:r>
            <w:r>
              <w:rPr>
                <w:rFonts w:eastAsiaTheme="minorEastAsia"/>
                <w:noProof/>
                <w:kern w:val="2"/>
                <w14:ligatures w14:val="standardContextual"/>
              </w:rPr>
              <w:tab/>
            </w:r>
            <w:r w:rsidRPr="004A771D">
              <w:rPr>
                <w:rStyle w:val="Hyperlink"/>
                <w:noProof/>
              </w:rPr>
              <w:t>Manifestations in Practice</w:t>
            </w:r>
            <w:r>
              <w:rPr>
                <w:noProof/>
                <w:webHidden/>
              </w:rPr>
              <w:tab/>
            </w:r>
            <w:r>
              <w:rPr>
                <w:noProof/>
                <w:webHidden/>
              </w:rPr>
              <w:fldChar w:fldCharType="begin"/>
            </w:r>
            <w:r>
              <w:rPr>
                <w:noProof/>
                <w:webHidden/>
              </w:rPr>
              <w:instrText xml:space="preserve"> PAGEREF _Toc221262036 \h </w:instrText>
            </w:r>
            <w:r>
              <w:rPr>
                <w:noProof/>
                <w:webHidden/>
              </w:rPr>
            </w:r>
            <w:r>
              <w:rPr>
                <w:noProof/>
                <w:webHidden/>
              </w:rPr>
              <w:fldChar w:fldCharType="separate"/>
            </w:r>
            <w:r>
              <w:rPr>
                <w:noProof/>
                <w:webHidden/>
              </w:rPr>
              <w:t>13</w:t>
            </w:r>
            <w:r>
              <w:rPr>
                <w:noProof/>
                <w:webHidden/>
              </w:rPr>
              <w:fldChar w:fldCharType="end"/>
            </w:r>
          </w:hyperlink>
        </w:p>
        <w:p w14:paraId="14CD9725" w14:textId="5FF5F065" w:rsidR="00965823" w:rsidRDefault="00965823">
          <w:pPr>
            <w:pStyle w:val="TOC2"/>
            <w:tabs>
              <w:tab w:val="left" w:pos="960"/>
              <w:tab w:val="right" w:leader="dot" w:pos="9350"/>
            </w:tabs>
            <w:rPr>
              <w:rFonts w:eastAsiaTheme="minorEastAsia"/>
              <w:noProof/>
              <w:kern w:val="2"/>
              <w14:ligatures w14:val="standardContextual"/>
            </w:rPr>
          </w:pPr>
          <w:hyperlink w:anchor="_Toc221262037" w:history="1">
            <w:r w:rsidRPr="004A771D">
              <w:rPr>
                <w:rStyle w:val="Hyperlink"/>
                <w:noProof/>
              </w:rPr>
              <w:t>1.5</w:t>
            </w:r>
            <w:r>
              <w:rPr>
                <w:rFonts w:eastAsiaTheme="minorEastAsia"/>
                <w:noProof/>
                <w:kern w:val="2"/>
                <w14:ligatures w14:val="standardContextual"/>
              </w:rPr>
              <w:tab/>
            </w:r>
            <w:r w:rsidRPr="004A771D">
              <w:rPr>
                <w:rStyle w:val="Hyperlink"/>
                <w:noProof/>
              </w:rPr>
              <w:t>Analysis: The Layered Security Architecture</w:t>
            </w:r>
            <w:r>
              <w:rPr>
                <w:noProof/>
                <w:webHidden/>
              </w:rPr>
              <w:tab/>
            </w:r>
            <w:r>
              <w:rPr>
                <w:noProof/>
                <w:webHidden/>
              </w:rPr>
              <w:fldChar w:fldCharType="begin"/>
            </w:r>
            <w:r>
              <w:rPr>
                <w:noProof/>
                <w:webHidden/>
              </w:rPr>
              <w:instrText xml:space="preserve"> PAGEREF _Toc221262037 \h </w:instrText>
            </w:r>
            <w:r>
              <w:rPr>
                <w:noProof/>
                <w:webHidden/>
              </w:rPr>
            </w:r>
            <w:r>
              <w:rPr>
                <w:noProof/>
                <w:webHidden/>
              </w:rPr>
              <w:fldChar w:fldCharType="separate"/>
            </w:r>
            <w:r>
              <w:rPr>
                <w:noProof/>
                <w:webHidden/>
              </w:rPr>
              <w:t>14</w:t>
            </w:r>
            <w:r>
              <w:rPr>
                <w:noProof/>
                <w:webHidden/>
              </w:rPr>
              <w:fldChar w:fldCharType="end"/>
            </w:r>
          </w:hyperlink>
        </w:p>
        <w:p w14:paraId="2E2C344B" w14:textId="1747C035" w:rsidR="00965823" w:rsidRDefault="00965823">
          <w:pPr>
            <w:pStyle w:val="TOC3"/>
            <w:tabs>
              <w:tab w:val="left" w:pos="1440"/>
              <w:tab w:val="right" w:leader="dot" w:pos="9350"/>
            </w:tabs>
            <w:rPr>
              <w:rFonts w:eastAsiaTheme="minorEastAsia"/>
              <w:noProof/>
              <w:kern w:val="2"/>
              <w14:ligatures w14:val="standardContextual"/>
            </w:rPr>
          </w:pPr>
          <w:hyperlink w:anchor="_Toc221262038" w:history="1">
            <w:r w:rsidRPr="004A771D">
              <w:rPr>
                <w:rStyle w:val="Hyperlink"/>
                <w:noProof/>
              </w:rPr>
              <w:t>1.5.1</w:t>
            </w:r>
            <w:r>
              <w:rPr>
                <w:rFonts w:eastAsiaTheme="minorEastAsia"/>
                <w:noProof/>
                <w:kern w:val="2"/>
                <w14:ligatures w14:val="standardContextual"/>
              </w:rPr>
              <w:tab/>
            </w:r>
            <w:r w:rsidRPr="004A771D">
              <w:rPr>
                <w:rStyle w:val="Hyperlink"/>
                <w:noProof/>
              </w:rPr>
              <w:t>Beyond the Checkbox: Understanding Defense-in-Depth</w:t>
            </w:r>
            <w:r>
              <w:rPr>
                <w:noProof/>
                <w:webHidden/>
              </w:rPr>
              <w:tab/>
            </w:r>
            <w:r>
              <w:rPr>
                <w:noProof/>
                <w:webHidden/>
              </w:rPr>
              <w:fldChar w:fldCharType="begin"/>
            </w:r>
            <w:r>
              <w:rPr>
                <w:noProof/>
                <w:webHidden/>
              </w:rPr>
              <w:instrText xml:space="preserve"> PAGEREF _Toc221262038 \h </w:instrText>
            </w:r>
            <w:r>
              <w:rPr>
                <w:noProof/>
                <w:webHidden/>
              </w:rPr>
            </w:r>
            <w:r>
              <w:rPr>
                <w:noProof/>
                <w:webHidden/>
              </w:rPr>
              <w:fldChar w:fldCharType="separate"/>
            </w:r>
            <w:r>
              <w:rPr>
                <w:noProof/>
                <w:webHidden/>
              </w:rPr>
              <w:t>14</w:t>
            </w:r>
            <w:r>
              <w:rPr>
                <w:noProof/>
                <w:webHidden/>
              </w:rPr>
              <w:fldChar w:fldCharType="end"/>
            </w:r>
          </w:hyperlink>
        </w:p>
        <w:p w14:paraId="70DEF084" w14:textId="05BF4173" w:rsidR="00965823" w:rsidRDefault="00965823">
          <w:pPr>
            <w:pStyle w:val="TOC3"/>
            <w:tabs>
              <w:tab w:val="left" w:pos="1440"/>
              <w:tab w:val="right" w:leader="dot" w:pos="9350"/>
            </w:tabs>
            <w:rPr>
              <w:rFonts w:eastAsiaTheme="minorEastAsia"/>
              <w:noProof/>
              <w:kern w:val="2"/>
              <w14:ligatures w14:val="standardContextual"/>
            </w:rPr>
          </w:pPr>
          <w:hyperlink w:anchor="_Toc221262039" w:history="1">
            <w:r w:rsidRPr="004A771D">
              <w:rPr>
                <w:rStyle w:val="Hyperlink"/>
                <w:noProof/>
              </w:rPr>
              <w:t>1.5.2</w:t>
            </w:r>
            <w:r>
              <w:rPr>
                <w:rFonts w:eastAsiaTheme="minorEastAsia"/>
                <w:noProof/>
                <w:kern w:val="2"/>
                <w14:ligatures w14:val="standardContextual"/>
              </w:rPr>
              <w:tab/>
            </w:r>
            <w:r w:rsidRPr="004A771D">
              <w:rPr>
                <w:rStyle w:val="Hyperlink"/>
                <w:noProof/>
              </w:rPr>
              <w:t>The Integration Imperative</w:t>
            </w:r>
            <w:r>
              <w:rPr>
                <w:noProof/>
                <w:webHidden/>
              </w:rPr>
              <w:tab/>
            </w:r>
            <w:r>
              <w:rPr>
                <w:noProof/>
                <w:webHidden/>
              </w:rPr>
              <w:fldChar w:fldCharType="begin"/>
            </w:r>
            <w:r>
              <w:rPr>
                <w:noProof/>
                <w:webHidden/>
              </w:rPr>
              <w:instrText xml:space="preserve"> PAGEREF _Toc221262039 \h </w:instrText>
            </w:r>
            <w:r>
              <w:rPr>
                <w:noProof/>
                <w:webHidden/>
              </w:rPr>
            </w:r>
            <w:r>
              <w:rPr>
                <w:noProof/>
                <w:webHidden/>
              </w:rPr>
              <w:fldChar w:fldCharType="separate"/>
            </w:r>
            <w:r>
              <w:rPr>
                <w:noProof/>
                <w:webHidden/>
              </w:rPr>
              <w:t>16</w:t>
            </w:r>
            <w:r>
              <w:rPr>
                <w:noProof/>
                <w:webHidden/>
              </w:rPr>
              <w:fldChar w:fldCharType="end"/>
            </w:r>
          </w:hyperlink>
        </w:p>
        <w:p w14:paraId="33BDFEE6" w14:textId="1B696D5B" w:rsidR="00965823" w:rsidRDefault="00965823">
          <w:pPr>
            <w:pStyle w:val="TOC3"/>
            <w:tabs>
              <w:tab w:val="left" w:pos="1440"/>
              <w:tab w:val="right" w:leader="dot" w:pos="9350"/>
            </w:tabs>
            <w:rPr>
              <w:rFonts w:eastAsiaTheme="minorEastAsia"/>
              <w:noProof/>
              <w:kern w:val="2"/>
              <w14:ligatures w14:val="standardContextual"/>
            </w:rPr>
          </w:pPr>
          <w:hyperlink w:anchor="_Toc221262040" w:history="1">
            <w:r w:rsidRPr="004A771D">
              <w:rPr>
                <w:rStyle w:val="Hyperlink"/>
                <w:noProof/>
              </w:rPr>
              <w:t>1.5.3</w:t>
            </w:r>
            <w:r>
              <w:rPr>
                <w:rFonts w:eastAsiaTheme="minorEastAsia"/>
                <w:noProof/>
                <w:kern w:val="2"/>
                <w14:ligatures w14:val="standardContextual"/>
              </w:rPr>
              <w:tab/>
            </w:r>
            <w:r w:rsidRPr="004A771D">
              <w:rPr>
                <w:rStyle w:val="Hyperlink"/>
                <w:noProof/>
              </w:rPr>
              <w:t>The Checkbox Failure Mode</w:t>
            </w:r>
            <w:r>
              <w:rPr>
                <w:noProof/>
                <w:webHidden/>
              </w:rPr>
              <w:tab/>
            </w:r>
            <w:r>
              <w:rPr>
                <w:noProof/>
                <w:webHidden/>
              </w:rPr>
              <w:fldChar w:fldCharType="begin"/>
            </w:r>
            <w:r>
              <w:rPr>
                <w:noProof/>
                <w:webHidden/>
              </w:rPr>
              <w:instrText xml:space="preserve"> PAGEREF _Toc221262040 \h </w:instrText>
            </w:r>
            <w:r>
              <w:rPr>
                <w:noProof/>
                <w:webHidden/>
              </w:rPr>
            </w:r>
            <w:r>
              <w:rPr>
                <w:noProof/>
                <w:webHidden/>
              </w:rPr>
              <w:fldChar w:fldCharType="separate"/>
            </w:r>
            <w:r>
              <w:rPr>
                <w:noProof/>
                <w:webHidden/>
              </w:rPr>
              <w:t>16</w:t>
            </w:r>
            <w:r>
              <w:rPr>
                <w:noProof/>
                <w:webHidden/>
              </w:rPr>
              <w:fldChar w:fldCharType="end"/>
            </w:r>
          </w:hyperlink>
        </w:p>
        <w:p w14:paraId="1AE89CA4" w14:textId="0EC6BDA1" w:rsidR="00965823" w:rsidRDefault="00965823">
          <w:pPr>
            <w:pStyle w:val="TOC2"/>
            <w:tabs>
              <w:tab w:val="left" w:pos="960"/>
              <w:tab w:val="right" w:leader="dot" w:pos="9350"/>
            </w:tabs>
            <w:rPr>
              <w:rFonts w:eastAsiaTheme="minorEastAsia"/>
              <w:noProof/>
              <w:kern w:val="2"/>
              <w14:ligatures w14:val="standardContextual"/>
            </w:rPr>
          </w:pPr>
          <w:hyperlink w:anchor="_Toc221262041" w:history="1">
            <w:r w:rsidRPr="004A771D">
              <w:rPr>
                <w:rStyle w:val="Hyperlink"/>
                <w:noProof/>
              </w:rPr>
              <w:t>1.6</w:t>
            </w:r>
            <w:r>
              <w:rPr>
                <w:rFonts w:eastAsiaTheme="minorEastAsia"/>
                <w:noProof/>
                <w:kern w:val="2"/>
                <w14:ligatures w14:val="standardContextual"/>
              </w:rPr>
              <w:tab/>
            </w:r>
            <w:r w:rsidRPr="004A771D">
              <w:rPr>
                <w:rStyle w:val="Hyperlink"/>
                <w:noProof/>
              </w:rPr>
              <w:t>Local AI as a Compensating Control</w:t>
            </w:r>
            <w:r>
              <w:rPr>
                <w:noProof/>
                <w:webHidden/>
              </w:rPr>
              <w:tab/>
            </w:r>
            <w:r>
              <w:rPr>
                <w:noProof/>
                <w:webHidden/>
              </w:rPr>
              <w:fldChar w:fldCharType="begin"/>
            </w:r>
            <w:r>
              <w:rPr>
                <w:noProof/>
                <w:webHidden/>
              </w:rPr>
              <w:instrText xml:space="preserve"> PAGEREF _Toc221262041 \h </w:instrText>
            </w:r>
            <w:r>
              <w:rPr>
                <w:noProof/>
                <w:webHidden/>
              </w:rPr>
            </w:r>
            <w:r>
              <w:rPr>
                <w:noProof/>
                <w:webHidden/>
              </w:rPr>
              <w:fldChar w:fldCharType="separate"/>
            </w:r>
            <w:r>
              <w:rPr>
                <w:noProof/>
                <w:webHidden/>
              </w:rPr>
              <w:t>17</w:t>
            </w:r>
            <w:r>
              <w:rPr>
                <w:noProof/>
                <w:webHidden/>
              </w:rPr>
              <w:fldChar w:fldCharType="end"/>
            </w:r>
          </w:hyperlink>
        </w:p>
        <w:p w14:paraId="68CE064F" w14:textId="460D5AAD" w:rsidR="00965823" w:rsidRDefault="00965823">
          <w:pPr>
            <w:pStyle w:val="TOC3"/>
            <w:tabs>
              <w:tab w:val="left" w:pos="1440"/>
              <w:tab w:val="right" w:leader="dot" w:pos="9350"/>
            </w:tabs>
            <w:rPr>
              <w:rFonts w:eastAsiaTheme="minorEastAsia"/>
              <w:noProof/>
              <w:kern w:val="2"/>
              <w14:ligatures w14:val="standardContextual"/>
            </w:rPr>
          </w:pPr>
          <w:hyperlink w:anchor="_Toc221262042" w:history="1">
            <w:r w:rsidRPr="004A771D">
              <w:rPr>
                <w:rStyle w:val="Hyperlink"/>
                <w:noProof/>
              </w:rPr>
              <w:t>1.6.1</w:t>
            </w:r>
            <w:r>
              <w:rPr>
                <w:rFonts w:eastAsiaTheme="minorEastAsia"/>
                <w:noProof/>
                <w:kern w:val="2"/>
                <w14:ligatures w14:val="standardContextual"/>
              </w:rPr>
              <w:tab/>
            </w:r>
            <w:r w:rsidRPr="004A771D">
              <w:rPr>
                <w:rStyle w:val="Hyperlink"/>
                <w:noProof/>
              </w:rPr>
              <w:t>The Operational Security Gap</w:t>
            </w:r>
            <w:r>
              <w:rPr>
                <w:noProof/>
                <w:webHidden/>
              </w:rPr>
              <w:tab/>
            </w:r>
            <w:r>
              <w:rPr>
                <w:noProof/>
                <w:webHidden/>
              </w:rPr>
              <w:fldChar w:fldCharType="begin"/>
            </w:r>
            <w:r>
              <w:rPr>
                <w:noProof/>
                <w:webHidden/>
              </w:rPr>
              <w:instrText xml:space="preserve"> PAGEREF _Toc221262042 \h </w:instrText>
            </w:r>
            <w:r>
              <w:rPr>
                <w:noProof/>
                <w:webHidden/>
              </w:rPr>
            </w:r>
            <w:r>
              <w:rPr>
                <w:noProof/>
                <w:webHidden/>
              </w:rPr>
              <w:fldChar w:fldCharType="separate"/>
            </w:r>
            <w:r>
              <w:rPr>
                <w:noProof/>
                <w:webHidden/>
              </w:rPr>
              <w:t>17</w:t>
            </w:r>
            <w:r>
              <w:rPr>
                <w:noProof/>
                <w:webHidden/>
              </w:rPr>
              <w:fldChar w:fldCharType="end"/>
            </w:r>
          </w:hyperlink>
        </w:p>
        <w:p w14:paraId="42D4F085" w14:textId="3DDEEEF8" w:rsidR="00965823" w:rsidRDefault="00965823">
          <w:pPr>
            <w:pStyle w:val="TOC3"/>
            <w:tabs>
              <w:tab w:val="left" w:pos="1440"/>
              <w:tab w:val="right" w:leader="dot" w:pos="9350"/>
            </w:tabs>
            <w:rPr>
              <w:rFonts w:eastAsiaTheme="minorEastAsia"/>
              <w:noProof/>
              <w:kern w:val="2"/>
              <w14:ligatures w14:val="standardContextual"/>
            </w:rPr>
          </w:pPr>
          <w:hyperlink w:anchor="_Toc221262043" w:history="1">
            <w:r w:rsidRPr="004A771D">
              <w:rPr>
                <w:rStyle w:val="Hyperlink"/>
                <w:noProof/>
              </w:rPr>
              <w:t>1.6.2</w:t>
            </w:r>
            <w:r>
              <w:rPr>
                <w:rFonts w:eastAsiaTheme="minorEastAsia"/>
                <w:noProof/>
                <w:kern w:val="2"/>
                <w14:ligatures w14:val="standardContextual"/>
              </w:rPr>
              <w:tab/>
            </w:r>
            <w:r w:rsidRPr="004A771D">
              <w:rPr>
                <w:rStyle w:val="Hyperlink"/>
                <w:noProof/>
              </w:rPr>
              <w:t>Architecture of Local AI Integration</w:t>
            </w:r>
            <w:r>
              <w:rPr>
                <w:noProof/>
                <w:webHidden/>
              </w:rPr>
              <w:tab/>
            </w:r>
            <w:r>
              <w:rPr>
                <w:noProof/>
                <w:webHidden/>
              </w:rPr>
              <w:fldChar w:fldCharType="begin"/>
            </w:r>
            <w:r>
              <w:rPr>
                <w:noProof/>
                <w:webHidden/>
              </w:rPr>
              <w:instrText xml:space="preserve"> PAGEREF _Toc221262043 \h </w:instrText>
            </w:r>
            <w:r>
              <w:rPr>
                <w:noProof/>
                <w:webHidden/>
              </w:rPr>
            </w:r>
            <w:r>
              <w:rPr>
                <w:noProof/>
                <w:webHidden/>
              </w:rPr>
              <w:fldChar w:fldCharType="separate"/>
            </w:r>
            <w:r>
              <w:rPr>
                <w:noProof/>
                <w:webHidden/>
              </w:rPr>
              <w:t>17</w:t>
            </w:r>
            <w:r>
              <w:rPr>
                <w:noProof/>
                <w:webHidden/>
              </w:rPr>
              <w:fldChar w:fldCharType="end"/>
            </w:r>
          </w:hyperlink>
        </w:p>
        <w:p w14:paraId="7E1C06C3" w14:textId="23BDA0CF" w:rsidR="00965823" w:rsidRDefault="00965823">
          <w:pPr>
            <w:pStyle w:val="TOC3"/>
            <w:tabs>
              <w:tab w:val="left" w:pos="1440"/>
              <w:tab w:val="right" w:leader="dot" w:pos="9350"/>
            </w:tabs>
            <w:rPr>
              <w:rFonts w:eastAsiaTheme="minorEastAsia"/>
              <w:noProof/>
              <w:kern w:val="2"/>
              <w14:ligatures w14:val="standardContextual"/>
            </w:rPr>
          </w:pPr>
          <w:hyperlink w:anchor="_Toc221262044" w:history="1">
            <w:r w:rsidRPr="004A771D">
              <w:rPr>
                <w:rStyle w:val="Hyperlink"/>
                <w:noProof/>
              </w:rPr>
              <w:t>1.6.3</w:t>
            </w:r>
            <w:r>
              <w:rPr>
                <w:rFonts w:eastAsiaTheme="minorEastAsia"/>
                <w:noProof/>
                <w:kern w:val="2"/>
                <w14:ligatures w14:val="standardContextual"/>
              </w:rPr>
              <w:tab/>
            </w:r>
            <w:r w:rsidRPr="004A771D">
              <w:rPr>
                <w:rStyle w:val="Hyperlink"/>
                <w:noProof/>
              </w:rPr>
              <w:t>Defense-in-Depth Enhancement</w:t>
            </w:r>
            <w:r>
              <w:rPr>
                <w:noProof/>
                <w:webHidden/>
              </w:rPr>
              <w:tab/>
            </w:r>
            <w:r>
              <w:rPr>
                <w:noProof/>
                <w:webHidden/>
              </w:rPr>
              <w:fldChar w:fldCharType="begin"/>
            </w:r>
            <w:r>
              <w:rPr>
                <w:noProof/>
                <w:webHidden/>
              </w:rPr>
              <w:instrText xml:space="preserve"> PAGEREF _Toc221262044 \h </w:instrText>
            </w:r>
            <w:r>
              <w:rPr>
                <w:noProof/>
                <w:webHidden/>
              </w:rPr>
            </w:r>
            <w:r>
              <w:rPr>
                <w:noProof/>
                <w:webHidden/>
              </w:rPr>
              <w:fldChar w:fldCharType="separate"/>
            </w:r>
            <w:r>
              <w:rPr>
                <w:noProof/>
                <w:webHidden/>
              </w:rPr>
              <w:t>19</w:t>
            </w:r>
            <w:r>
              <w:rPr>
                <w:noProof/>
                <w:webHidden/>
              </w:rPr>
              <w:fldChar w:fldCharType="end"/>
            </w:r>
          </w:hyperlink>
        </w:p>
        <w:p w14:paraId="143C6EFD" w14:textId="6A82C6AB" w:rsidR="00965823" w:rsidRDefault="00965823">
          <w:pPr>
            <w:pStyle w:val="TOC3"/>
            <w:tabs>
              <w:tab w:val="left" w:pos="1440"/>
              <w:tab w:val="right" w:leader="dot" w:pos="9350"/>
            </w:tabs>
            <w:rPr>
              <w:rFonts w:eastAsiaTheme="minorEastAsia"/>
              <w:noProof/>
              <w:kern w:val="2"/>
              <w14:ligatures w14:val="standardContextual"/>
            </w:rPr>
          </w:pPr>
          <w:hyperlink w:anchor="_Toc221262045" w:history="1">
            <w:r w:rsidRPr="004A771D">
              <w:rPr>
                <w:rStyle w:val="Hyperlink"/>
                <w:noProof/>
              </w:rPr>
              <w:t>1.6.4</w:t>
            </w:r>
            <w:r>
              <w:rPr>
                <w:rFonts w:eastAsiaTheme="minorEastAsia"/>
                <w:noProof/>
                <w:kern w:val="2"/>
                <w14:ligatures w14:val="standardContextual"/>
              </w:rPr>
              <w:tab/>
            </w:r>
            <w:r w:rsidRPr="004A771D">
              <w:rPr>
                <w:rStyle w:val="Hyperlink"/>
                <w:noProof/>
              </w:rPr>
              <w:t>Critical Limitations and New Risks</w:t>
            </w:r>
            <w:r>
              <w:rPr>
                <w:noProof/>
                <w:webHidden/>
              </w:rPr>
              <w:tab/>
            </w:r>
            <w:r>
              <w:rPr>
                <w:noProof/>
                <w:webHidden/>
              </w:rPr>
              <w:fldChar w:fldCharType="begin"/>
            </w:r>
            <w:r>
              <w:rPr>
                <w:noProof/>
                <w:webHidden/>
              </w:rPr>
              <w:instrText xml:space="preserve"> PAGEREF _Toc221262045 \h </w:instrText>
            </w:r>
            <w:r>
              <w:rPr>
                <w:noProof/>
                <w:webHidden/>
              </w:rPr>
            </w:r>
            <w:r>
              <w:rPr>
                <w:noProof/>
                <w:webHidden/>
              </w:rPr>
              <w:fldChar w:fldCharType="separate"/>
            </w:r>
            <w:r>
              <w:rPr>
                <w:noProof/>
                <w:webHidden/>
              </w:rPr>
              <w:t>20</w:t>
            </w:r>
            <w:r>
              <w:rPr>
                <w:noProof/>
                <w:webHidden/>
              </w:rPr>
              <w:fldChar w:fldCharType="end"/>
            </w:r>
          </w:hyperlink>
        </w:p>
        <w:p w14:paraId="6D7A9508" w14:textId="16618A01" w:rsidR="00965823" w:rsidRDefault="00965823">
          <w:pPr>
            <w:pStyle w:val="TOC3"/>
            <w:tabs>
              <w:tab w:val="left" w:pos="1440"/>
              <w:tab w:val="right" w:leader="dot" w:pos="9350"/>
            </w:tabs>
            <w:rPr>
              <w:rFonts w:eastAsiaTheme="minorEastAsia"/>
              <w:noProof/>
              <w:kern w:val="2"/>
              <w14:ligatures w14:val="standardContextual"/>
            </w:rPr>
          </w:pPr>
          <w:hyperlink w:anchor="_Toc221262046" w:history="1">
            <w:r w:rsidRPr="004A771D">
              <w:rPr>
                <w:rStyle w:val="Hyperlink"/>
                <w:noProof/>
              </w:rPr>
              <w:t>1.6.5</w:t>
            </w:r>
            <w:r>
              <w:rPr>
                <w:rFonts w:eastAsiaTheme="minorEastAsia"/>
                <w:noProof/>
                <w:kern w:val="2"/>
                <w14:ligatures w14:val="standardContextual"/>
              </w:rPr>
              <w:tab/>
            </w:r>
            <w:r w:rsidRPr="004A771D">
              <w:rPr>
                <w:rStyle w:val="Hyperlink"/>
                <w:noProof/>
              </w:rPr>
              <w:t>Proper Integration Requirements</w:t>
            </w:r>
            <w:r>
              <w:rPr>
                <w:noProof/>
                <w:webHidden/>
              </w:rPr>
              <w:tab/>
            </w:r>
            <w:r>
              <w:rPr>
                <w:noProof/>
                <w:webHidden/>
              </w:rPr>
              <w:fldChar w:fldCharType="begin"/>
            </w:r>
            <w:r>
              <w:rPr>
                <w:noProof/>
                <w:webHidden/>
              </w:rPr>
              <w:instrText xml:space="preserve"> PAGEREF _Toc221262046 \h </w:instrText>
            </w:r>
            <w:r>
              <w:rPr>
                <w:noProof/>
                <w:webHidden/>
              </w:rPr>
            </w:r>
            <w:r>
              <w:rPr>
                <w:noProof/>
                <w:webHidden/>
              </w:rPr>
              <w:fldChar w:fldCharType="separate"/>
            </w:r>
            <w:r>
              <w:rPr>
                <w:noProof/>
                <w:webHidden/>
              </w:rPr>
              <w:t>21</w:t>
            </w:r>
            <w:r>
              <w:rPr>
                <w:noProof/>
                <w:webHidden/>
              </w:rPr>
              <w:fldChar w:fldCharType="end"/>
            </w:r>
          </w:hyperlink>
        </w:p>
        <w:p w14:paraId="12B44BCB" w14:textId="665C4C8C" w:rsidR="00965823" w:rsidRDefault="00965823">
          <w:pPr>
            <w:pStyle w:val="TOC3"/>
            <w:tabs>
              <w:tab w:val="left" w:pos="1440"/>
              <w:tab w:val="right" w:leader="dot" w:pos="9350"/>
            </w:tabs>
            <w:rPr>
              <w:rFonts w:eastAsiaTheme="minorEastAsia"/>
              <w:noProof/>
              <w:kern w:val="2"/>
              <w14:ligatures w14:val="standardContextual"/>
            </w:rPr>
          </w:pPr>
          <w:hyperlink w:anchor="_Toc221262047" w:history="1">
            <w:r w:rsidRPr="004A771D">
              <w:rPr>
                <w:rStyle w:val="Hyperlink"/>
                <w:noProof/>
              </w:rPr>
              <w:t>1.6.6</w:t>
            </w:r>
            <w:r>
              <w:rPr>
                <w:rFonts w:eastAsiaTheme="minorEastAsia"/>
                <w:noProof/>
                <w:kern w:val="2"/>
                <w14:ligatures w14:val="standardContextual"/>
              </w:rPr>
              <w:tab/>
            </w:r>
            <w:r w:rsidRPr="004A771D">
              <w:rPr>
                <w:rStyle w:val="Hyperlink"/>
                <w:noProof/>
              </w:rPr>
              <w:t>Case Study: Alert Triage Automation</w:t>
            </w:r>
            <w:r>
              <w:rPr>
                <w:noProof/>
                <w:webHidden/>
              </w:rPr>
              <w:tab/>
            </w:r>
            <w:r>
              <w:rPr>
                <w:noProof/>
                <w:webHidden/>
              </w:rPr>
              <w:fldChar w:fldCharType="begin"/>
            </w:r>
            <w:r>
              <w:rPr>
                <w:noProof/>
                <w:webHidden/>
              </w:rPr>
              <w:instrText xml:space="preserve"> PAGEREF _Toc221262047 \h </w:instrText>
            </w:r>
            <w:r>
              <w:rPr>
                <w:noProof/>
                <w:webHidden/>
              </w:rPr>
            </w:r>
            <w:r>
              <w:rPr>
                <w:noProof/>
                <w:webHidden/>
              </w:rPr>
              <w:fldChar w:fldCharType="separate"/>
            </w:r>
            <w:r>
              <w:rPr>
                <w:noProof/>
                <w:webHidden/>
              </w:rPr>
              <w:t>21</w:t>
            </w:r>
            <w:r>
              <w:rPr>
                <w:noProof/>
                <w:webHidden/>
              </w:rPr>
              <w:fldChar w:fldCharType="end"/>
            </w:r>
          </w:hyperlink>
        </w:p>
        <w:p w14:paraId="29CC7633" w14:textId="33ED4426" w:rsidR="00965823" w:rsidRDefault="00965823">
          <w:pPr>
            <w:pStyle w:val="TOC3"/>
            <w:tabs>
              <w:tab w:val="left" w:pos="1440"/>
              <w:tab w:val="right" w:leader="dot" w:pos="9350"/>
            </w:tabs>
            <w:rPr>
              <w:rFonts w:eastAsiaTheme="minorEastAsia"/>
              <w:noProof/>
              <w:kern w:val="2"/>
              <w14:ligatures w14:val="standardContextual"/>
            </w:rPr>
          </w:pPr>
          <w:hyperlink w:anchor="_Toc221262048" w:history="1">
            <w:r w:rsidRPr="004A771D">
              <w:rPr>
                <w:rStyle w:val="Hyperlink"/>
                <w:noProof/>
              </w:rPr>
              <w:t>1.6.7</w:t>
            </w:r>
            <w:r>
              <w:rPr>
                <w:rFonts w:eastAsiaTheme="minorEastAsia"/>
                <w:noProof/>
                <w:kern w:val="2"/>
                <w14:ligatures w14:val="standardContextual"/>
              </w:rPr>
              <w:tab/>
            </w:r>
            <w:r w:rsidRPr="004A771D">
              <w:rPr>
                <w:rStyle w:val="Hyperlink"/>
                <w:noProof/>
              </w:rPr>
              <w:t>The AI Competency Paradox</w:t>
            </w:r>
            <w:r>
              <w:rPr>
                <w:noProof/>
                <w:webHidden/>
              </w:rPr>
              <w:tab/>
            </w:r>
            <w:r>
              <w:rPr>
                <w:noProof/>
                <w:webHidden/>
              </w:rPr>
              <w:fldChar w:fldCharType="begin"/>
            </w:r>
            <w:r>
              <w:rPr>
                <w:noProof/>
                <w:webHidden/>
              </w:rPr>
              <w:instrText xml:space="preserve"> PAGEREF _Toc221262048 \h </w:instrText>
            </w:r>
            <w:r>
              <w:rPr>
                <w:noProof/>
                <w:webHidden/>
              </w:rPr>
            </w:r>
            <w:r>
              <w:rPr>
                <w:noProof/>
                <w:webHidden/>
              </w:rPr>
              <w:fldChar w:fldCharType="separate"/>
            </w:r>
            <w:r>
              <w:rPr>
                <w:noProof/>
                <w:webHidden/>
              </w:rPr>
              <w:t>22</w:t>
            </w:r>
            <w:r>
              <w:rPr>
                <w:noProof/>
                <w:webHidden/>
              </w:rPr>
              <w:fldChar w:fldCharType="end"/>
            </w:r>
          </w:hyperlink>
        </w:p>
        <w:p w14:paraId="23DF58FF" w14:textId="59A1610D" w:rsidR="00965823" w:rsidRDefault="00965823">
          <w:pPr>
            <w:pStyle w:val="TOC2"/>
            <w:tabs>
              <w:tab w:val="left" w:pos="960"/>
              <w:tab w:val="right" w:leader="dot" w:pos="9350"/>
            </w:tabs>
            <w:rPr>
              <w:rFonts w:eastAsiaTheme="minorEastAsia"/>
              <w:noProof/>
              <w:kern w:val="2"/>
              <w14:ligatures w14:val="standardContextual"/>
            </w:rPr>
          </w:pPr>
          <w:hyperlink w:anchor="_Toc221262049" w:history="1">
            <w:r w:rsidRPr="004A771D">
              <w:rPr>
                <w:rStyle w:val="Hyperlink"/>
                <w:noProof/>
              </w:rPr>
              <w:t>1.7</w:t>
            </w:r>
            <w:r>
              <w:rPr>
                <w:rFonts w:eastAsiaTheme="minorEastAsia"/>
                <w:noProof/>
                <w:kern w:val="2"/>
                <w14:ligatures w14:val="standardContextual"/>
              </w:rPr>
              <w:tab/>
            </w:r>
            <w:r w:rsidRPr="004A771D">
              <w:rPr>
                <w:rStyle w:val="Hyperlink"/>
                <w:noProof/>
              </w:rPr>
              <w:t>Implications and Recommendations</w:t>
            </w:r>
            <w:r>
              <w:rPr>
                <w:noProof/>
                <w:webHidden/>
              </w:rPr>
              <w:tab/>
            </w:r>
            <w:r>
              <w:rPr>
                <w:noProof/>
                <w:webHidden/>
              </w:rPr>
              <w:fldChar w:fldCharType="begin"/>
            </w:r>
            <w:r>
              <w:rPr>
                <w:noProof/>
                <w:webHidden/>
              </w:rPr>
              <w:instrText xml:space="preserve"> PAGEREF _Toc221262049 \h </w:instrText>
            </w:r>
            <w:r>
              <w:rPr>
                <w:noProof/>
                <w:webHidden/>
              </w:rPr>
            </w:r>
            <w:r>
              <w:rPr>
                <w:noProof/>
                <w:webHidden/>
              </w:rPr>
              <w:fldChar w:fldCharType="separate"/>
            </w:r>
            <w:r>
              <w:rPr>
                <w:noProof/>
                <w:webHidden/>
              </w:rPr>
              <w:t>24</w:t>
            </w:r>
            <w:r>
              <w:rPr>
                <w:noProof/>
                <w:webHidden/>
              </w:rPr>
              <w:fldChar w:fldCharType="end"/>
            </w:r>
          </w:hyperlink>
        </w:p>
        <w:p w14:paraId="4A65F9A4" w14:textId="047032BF" w:rsidR="00965823" w:rsidRDefault="00965823">
          <w:pPr>
            <w:pStyle w:val="TOC3"/>
            <w:tabs>
              <w:tab w:val="left" w:pos="1440"/>
              <w:tab w:val="right" w:leader="dot" w:pos="9350"/>
            </w:tabs>
            <w:rPr>
              <w:rFonts w:eastAsiaTheme="minorEastAsia"/>
              <w:noProof/>
              <w:kern w:val="2"/>
              <w14:ligatures w14:val="standardContextual"/>
            </w:rPr>
          </w:pPr>
          <w:hyperlink w:anchor="_Toc221262050" w:history="1">
            <w:r w:rsidRPr="004A771D">
              <w:rPr>
                <w:rStyle w:val="Hyperlink"/>
                <w:noProof/>
              </w:rPr>
              <w:t>1.7.1</w:t>
            </w:r>
            <w:r>
              <w:rPr>
                <w:rFonts w:eastAsiaTheme="minorEastAsia"/>
                <w:noProof/>
                <w:kern w:val="2"/>
                <w14:ligatures w14:val="standardContextual"/>
              </w:rPr>
              <w:tab/>
            </w:r>
            <w:r w:rsidRPr="004A771D">
              <w:rPr>
                <w:rStyle w:val="Hyperlink"/>
                <w:noProof/>
              </w:rPr>
              <w:t>For Project Documentation</w:t>
            </w:r>
            <w:r>
              <w:rPr>
                <w:noProof/>
                <w:webHidden/>
              </w:rPr>
              <w:tab/>
            </w:r>
            <w:r>
              <w:rPr>
                <w:noProof/>
                <w:webHidden/>
              </w:rPr>
              <w:fldChar w:fldCharType="begin"/>
            </w:r>
            <w:r>
              <w:rPr>
                <w:noProof/>
                <w:webHidden/>
              </w:rPr>
              <w:instrText xml:space="preserve"> PAGEREF _Toc221262050 \h </w:instrText>
            </w:r>
            <w:r>
              <w:rPr>
                <w:noProof/>
                <w:webHidden/>
              </w:rPr>
            </w:r>
            <w:r>
              <w:rPr>
                <w:noProof/>
                <w:webHidden/>
              </w:rPr>
              <w:fldChar w:fldCharType="separate"/>
            </w:r>
            <w:r>
              <w:rPr>
                <w:noProof/>
                <w:webHidden/>
              </w:rPr>
              <w:t>24</w:t>
            </w:r>
            <w:r>
              <w:rPr>
                <w:noProof/>
                <w:webHidden/>
              </w:rPr>
              <w:fldChar w:fldCharType="end"/>
            </w:r>
          </w:hyperlink>
        </w:p>
        <w:p w14:paraId="4526DB99" w14:textId="3CDC1F3F" w:rsidR="00965823" w:rsidRDefault="00965823">
          <w:pPr>
            <w:pStyle w:val="TOC3"/>
            <w:tabs>
              <w:tab w:val="left" w:pos="1440"/>
              <w:tab w:val="right" w:leader="dot" w:pos="9350"/>
            </w:tabs>
            <w:rPr>
              <w:rFonts w:eastAsiaTheme="minorEastAsia"/>
              <w:noProof/>
              <w:kern w:val="2"/>
              <w14:ligatures w14:val="standardContextual"/>
            </w:rPr>
          </w:pPr>
          <w:hyperlink w:anchor="_Toc221262051" w:history="1">
            <w:r w:rsidRPr="004A771D">
              <w:rPr>
                <w:rStyle w:val="Hyperlink"/>
                <w:noProof/>
              </w:rPr>
              <w:t>1.7.2</w:t>
            </w:r>
            <w:r>
              <w:rPr>
                <w:rFonts w:eastAsiaTheme="minorEastAsia"/>
                <w:noProof/>
                <w:kern w:val="2"/>
                <w14:ligatures w14:val="standardContextual"/>
              </w:rPr>
              <w:tab/>
            </w:r>
            <w:r w:rsidRPr="004A771D">
              <w:rPr>
                <w:rStyle w:val="Hyperlink"/>
                <w:noProof/>
              </w:rPr>
              <w:t>For Potential Adopters (Especially VSBs)</w:t>
            </w:r>
            <w:r>
              <w:rPr>
                <w:noProof/>
                <w:webHidden/>
              </w:rPr>
              <w:tab/>
            </w:r>
            <w:r>
              <w:rPr>
                <w:noProof/>
                <w:webHidden/>
              </w:rPr>
              <w:fldChar w:fldCharType="begin"/>
            </w:r>
            <w:r>
              <w:rPr>
                <w:noProof/>
                <w:webHidden/>
              </w:rPr>
              <w:instrText xml:space="preserve"> PAGEREF _Toc221262051 \h </w:instrText>
            </w:r>
            <w:r>
              <w:rPr>
                <w:noProof/>
                <w:webHidden/>
              </w:rPr>
            </w:r>
            <w:r>
              <w:rPr>
                <w:noProof/>
                <w:webHidden/>
              </w:rPr>
              <w:fldChar w:fldCharType="separate"/>
            </w:r>
            <w:r>
              <w:rPr>
                <w:noProof/>
                <w:webHidden/>
              </w:rPr>
              <w:t>25</w:t>
            </w:r>
            <w:r>
              <w:rPr>
                <w:noProof/>
                <w:webHidden/>
              </w:rPr>
              <w:fldChar w:fldCharType="end"/>
            </w:r>
          </w:hyperlink>
        </w:p>
        <w:p w14:paraId="7EC3604F" w14:textId="2EC3E0EF" w:rsidR="00965823" w:rsidRDefault="00965823">
          <w:pPr>
            <w:pStyle w:val="TOC3"/>
            <w:tabs>
              <w:tab w:val="left" w:pos="1440"/>
              <w:tab w:val="right" w:leader="dot" w:pos="9350"/>
            </w:tabs>
            <w:rPr>
              <w:rFonts w:eastAsiaTheme="minorEastAsia"/>
              <w:noProof/>
              <w:kern w:val="2"/>
              <w14:ligatures w14:val="standardContextual"/>
            </w:rPr>
          </w:pPr>
          <w:hyperlink w:anchor="_Toc221262052" w:history="1">
            <w:r w:rsidRPr="004A771D">
              <w:rPr>
                <w:rStyle w:val="Hyperlink"/>
                <w:noProof/>
              </w:rPr>
              <w:t>1.7.3</w:t>
            </w:r>
            <w:r>
              <w:rPr>
                <w:rFonts w:eastAsiaTheme="minorEastAsia"/>
                <w:noProof/>
                <w:kern w:val="2"/>
                <w14:ligatures w14:val="standardContextual"/>
              </w:rPr>
              <w:tab/>
            </w:r>
            <w:r w:rsidRPr="004A771D">
              <w:rPr>
                <w:rStyle w:val="Hyperlink"/>
                <w:noProof/>
              </w:rPr>
              <w:t>For the Federal Contracting Ecosystem</w:t>
            </w:r>
            <w:r>
              <w:rPr>
                <w:noProof/>
                <w:webHidden/>
              </w:rPr>
              <w:tab/>
            </w:r>
            <w:r>
              <w:rPr>
                <w:noProof/>
                <w:webHidden/>
              </w:rPr>
              <w:fldChar w:fldCharType="begin"/>
            </w:r>
            <w:r>
              <w:rPr>
                <w:noProof/>
                <w:webHidden/>
              </w:rPr>
              <w:instrText xml:space="preserve"> PAGEREF _Toc221262052 \h </w:instrText>
            </w:r>
            <w:r>
              <w:rPr>
                <w:noProof/>
                <w:webHidden/>
              </w:rPr>
            </w:r>
            <w:r>
              <w:rPr>
                <w:noProof/>
                <w:webHidden/>
              </w:rPr>
              <w:fldChar w:fldCharType="separate"/>
            </w:r>
            <w:r>
              <w:rPr>
                <w:noProof/>
                <w:webHidden/>
              </w:rPr>
              <w:t>26</w:t>
            </w:r>
            <w:r>
              <w:rPr>
                <w:noProof/>
                <w:webHidden/>
              </w:rPr>
              <w:fldChar w:fldCharType="end"/>
            </w:r>
          </w:hyperlink>
        </w:p>
        <w:p w14:paraId="2852ADD6" w14:textId="24F0DED6" w:rsidR="00965823" w:rsidRDefault="00965823">
          <w:pPr>
            <w:pStyle w:val="TOC2"/>
            <w:tabs>
              <w:tab w:val="left" w:pos="960"/>
              <w:tab w:val="right" w:leader="dot" w:pos="9350"/>
            </w:tabs>
            <w:rPr>
              <w:rFonts w:eastAsiaTheme="minorEastAsia"/>
              <w:noProof/>
              <w:kern w:val="2"/>
              <w14:ligatures w14:val="standardContextual"/>
            </w:rPr>
          </w:pPr>
          <w:hyperlink w:anchor="_Toc221262053" w:history="1">
            <w:r w:rsidRPr="004A771D">
              <w:rPr>
                <w:rStyle w:val="Hyperlink"/>
                <w:noProof/>
              </w:rPr>
              <w:t>1.8</w:t>
            </w:r>
            <w:r>
              <w:rPr>
                <w:rFonts w:eastAsiaTheme="minorEastAsia"/>
                <w:noProof/>
                <w:kern w:val="2"/>
                <w14:ligatures w14:val="standardContextual"/>
              </w:rPr>
              <w:tab/>
            </w:r>
            <w:r w:rsidRPr="004A771D">
              <w:rPr>
                <w:rStyle w:val="Hyperlink"/>
                <w:noProof/>
              </w:rPr>
              <w:t>Conclusion</w:t>
            </w:r>
            <w:r>
              <w:rPr>
                <w:noProof/>
                <w:webHidden/>
              </w:rPr>
              <w:tab/>
            </w:r>
            <w:r>
              <w:rPr>
                <w:noProof/>
                <w:webHidden/>
              </w:rPr>
              <w:fldChar w:fldCharType="begin"/>
            </w:r>
            <w:r>
              <w:rPr>
                <w:noProof/>
                <w:webHidden/>
              </w:rPr>
              <w:instrText xml:space="preserve"> PAGEREF _Toc221262053 \h </w:instrText>
            </w:r>
            <w:r>
              <w:rPr>
                <w:noProof/>
                <w:webHidden/>
              </w:rPr>
            </w:r>
            <w:r>
              <w:rPr>
                <w:noProof/>
                <w:webHidden/>
              </w:rPr>
              <w:fldChar w:fldCharType="separate"/>
            </w:r>
            <w:r>
              <w:rPr>
                <w:noProof/>
                <w:webHidden/>
              </w:rPr>
              <w:t>28</w:t>
            </w:r>
            <w:r>
              <w:rPr>
                <w:noProof/>
                <w:webHidden/>
              </w:rPr>
              <w:fldChar w:fldCharType="end"/>
            </w:r>
          </w:hyperlink>
        </w:p>
        <w:p w14:paraId="06E3BD3E" w14:textId="16BD9377" w:rsidR="00965823" w:rsidRDefault="00965823">
          <w:pPr>
            <w:pStyle w:val="TOC2"/>
            <w:tabs>
              <w:tab w:val="left" w:pos="960"/>
              <w:tab w:val="right" w:leader="dot" w:pos="9350"/>
            </w:tabs>
            <w:rPr>
              <w:rFonts w:eastAsiaTheme="minorEastAsia"/>
              <w:noProof/>
              <w:kern w:val="2"/>
              <w14:ligatures w14:val="standardContextual"/>
            </w:rPr>
          </w:pPr>
          <w:hyperlink w:anchor="_Toc221262054" w:history="1">
            <w:r w:rsidRPr="004A771D">
              <w:rPr>
                <w:rStyle w:val="Hyperlink"/>
                <w:noProof/>
              </w:rPr>
              <w:t>1.9</w:t>
            </w:r>
            <w:r>
              <w:rPr>
                <w:rFonts w:eastAsiaTheme="minorEastAsia"/>
                <w:noProof/>
                <w:kern w:val="2"/>
                <w14:ligatures w14:val="standardContextual"/>
              </w:rPr>
              <w:tab/>
            </w:r>
            <w:r w:rsidRPr="004A771D">
              <w:rPr>
                <w:rStyle w:val="Hyperlink"/>
                <w:noProof/>
              </w:rPr>
              <w:t>References</w:t>
            </w:r>
            <w:r>
              <w:rPr>
                <w:noProof/>
                <w:webHidden/>
              </w:rPr>
              <w:tab/>
            </w:r>
            <w:r>
              <w:rPr>
                <w:noProof/>
                <w:webHidden/>
              </w:rPr>
              <w:fldChar w:fldCharType="begin"/>
            </w:r>
            <w:r>
              <w:rPr>
                <w:noProof/>
                <w:webHidden/>
              </w:rPr>
              <w:instrText xml:space="preserve"> PAGEREF _Toc221262054 \h </w:instrText>
            </w:r>
            <w:r>
              <w:rPr>
                <w:noProof/>
                <w:webHidden/>
              </w:rPr>
            </w:r>
            <w:r>
              <w:rPr>
                <w:noProof/>
                <w:webHidden/>
              </w:rPr>
              <w:fldChar w:fldCharType="separate"/>
            </w:r>
            <w:r>
              <w:rPr>
                <w:noProof/>
                <w:webHidden/>
              </w:rPr>
              <w:t>30</w:t>
            </w:r>
            <w:r>
              <w:rPr>
                <w:noProof/>
                <w:webHidden/>
              </w:rPr>
              <w:fldChar w:fldCharType="end"/>
            </w:r>
          </w:hyperlink>
        </w:p>
        <w:p w14:paraId="69DFA679" w14:textId="7ED3D620" w:rsidR="00965823" w:rsidRDefault="00965823">
          <w:pPr>
            <w:pStyle w:val="TOC2"/>
            <w:tabs>
              <w:tab w:val="left" w:pos="960"/>
              <w:tab w:val="right" w:leader="dot" w:pos="9350"/>
            </w:tabs>
            <w:rPr>
              <w:rFonts w:eastAsiaTheme="minorEastAsia"/>
              <w:noProof/>
              <w:kern w:val="2"/>
              <w14:ligatures w14:val="standardContextual"/>
            </w:rPr>
          </w:pPr>
          <w:hyperlink w:anchor="_Toc221262055" w:history="1">
            <w:r w:rsidRPr="004A771D">
              <w:rPr>
                <w:rStyle w:val="Hyperlink"/>
                <w:noProof/>
              </w:rPr>
              <w:t>1.11</w:t>
            </w:r>
            <w:r>
              <w:rPr>
                <w:rFonts w:eastAsiaTheme="minorEastAsia"/>
                <w:noProof/>
                <w:kern w:val="2"/>
                <w14:ligatures w14:val="standardContextual"/>
              </w:rPr>
              <w:tab/>
            </w:r>
            <w:r w:rsidRPr="004A771D">
              <w:rPr>
                <w:rStyle w:val="Hyperlink"/>
                <w:noProof/>
              </w:rPr>
              <w:t>About the Author</w:t>
            </w:r>
            <w:r>
              <w:rPr>
                <w:noProof/>
                <w:webHidden/>
              </w:rPr>
              <w:tab/>
            </w:r>
            <w:r>
              <w:rPr>
                <w:noProof/>
                <w:webHidden/>
              </w:rPr>
              <w:fldChar w:fldCharType="begin"/>
            </w:r>
            <w:r>
              <w:rPr>
                <w:noProof/>
                <w:webHidden/>
              </w:rPr>
              <w:instrText xml:space="preserve"> PAGEREF _Toc221262055 \h </w:instrText>
            </w:r>
            <w:r>
              <w:rPr>
                <w:noProof/>
                <w:webHidden/>
              </w:rPr>
            </w:r>
            <w:r>
              <w:rPr>
                <w:noProof/>
                <w:webHidden/>
              </w:rPr>
              <w:fldChar w:fldCharType="separate"/>
            </w:r>
            <w:r>
              <w:rPr>
                <w:noProof/>
                <w:webHidden/>
              </w:rPr>
              <w:t>31</w:t>
            </w:r>
            <w:r>
              <w:rPr>
                <w:noProof/>
                <w:webHidden/>
              </w:rPr>
              <w:fldChar w:fldCharType="end"/>
            </w:r>
          </w:hyperlink>
        </w:p>
        <w:p w14:paraId="44025D94" w14:textId="356491BB" w:rsidR="00965823" w:rsidRDefault="00965823">
          <w:pPr>
            <w:pStyle w:val="TOC2"/>
            <w:tabs>
              <w:tab w:val="left" w:pos="960"/>
              <w:tab w:val="right" w:leader="dot" w:pos="9350"/>
            </w:tabs>
            <w:rPr>
              <w:rFonts w:eastAsiaTheme="minorEastAsia"/>
              <w:noProof/>
              <w:kern w:val="2"/>
              <w14:ligatures w14:val="standardContextual"/>
            </w:rPr>
          </w:pPr>
          <w:hyperlink w:anchor="_Toc221262056" w:history="1">
            <w:r w:rsidRPr="004A771D">
              <w:rPr>
                <w:rStyle w:val="Hyperlink"/>
                <w:noProof/>
              </w:rPr>
              <w:t>1.12</w:t>
            </w:r>
            <w:r>
              <w:rPr>
                <w:rFonts w:eastAsiaTheme="minorEastAsia"/>
                <w:noProof/>
                <w:kern w:val="2"/>
                <w14:ligatures w14:val="standardContextual"/>
              </w:rPr>
              <w:tab/>
            </w:r>
            <w:r w:rsidRPr="004A771D">
              <w:rPr>
                <w:rStyle w:val="Hyperlink"/>
                <w:noProof/>
              </w:rPr>
              <w:t>Acknowledgments</w:t>
            </w:r>
            <w:r>
              <w:rPr>
                <w:noProof/>
                <w:webHidden/>
              </w:rPr>
              <w:tab/>
            </w:r>
            <w:r>
              <w:rPr>
                <w:noProof/>
                <w:webHidden/>
              </w:rPr>
              <w:fldChar w:fldCharType="begin"/>
            </w:r>
            <w:r>
              <w:rPr>
                <w:noProof/>
                <w:webHidden/>
              </w:rPr>
              <w:instrText xml:space="preserve"> PAGEREF _Toc221262056 \h </w:instrText>
            </w:r>
            <w:r>
              <w:rPr>
                <w:noProof/>
                <w:webHidden/>
              </w:rPr>
            </w:r>
            <w:r>
              <w:rPr>
                <w:noProof/>
                <w:webHidden/>
              </w:rPr>
              <w:fldChar w:fldCharType="separate"/>
            </w:r>
            <w:r>
              <w:rPr>
                <w:noProof/>
                <w:webHidden/>
              </w:rPr>
              <w:t>32</w:t>
            </w:r>
            <w:r>
              <w:rPr>
                <w:noProof/>
                <w:webHidden/>
              </w:rPr>
              <w:fldChar w:fldCharType="end"/>
            </w:r>
          </w:hyperlink>
        </w:p>
        <w:p w14:paraId="29CCC6A4" w14:textId="61715882" w:rsidR="00965823" w:rsidRDefault="00965823">
          <w:pPr>
            <w:pStyle w:val="TOC2"/>
            <w:tabs>
              <w:tab w:val="left" w:pos="960"/>
              <w:tab w:val="right" w:leader="dot" w:pos="9350"/>
            </w:tabs>
            <w:rPr>
              <w:rFonts w:eastAsiaTheme="minorEastAsia"/>
              <w:noProof/>
              <w:kern w:val="2"/>
              <w14:ligatures w14:val="standardContextual"/>
            </w:rPr>
          </w:pPr>
          <w:hyperlink w:anchor="_Toc221262057" w:history="1">
            <w:r w:rsidRPr="004A771D">
              <w:rPr>
                <w:rStyle w:val="Hyperlink"/>
                <w:noProof/>
              </w:rPr>
              <w:t>1.13</w:t>
            </w:r>
            <w:r>
              <w:rPr>
                <w:rFonts w:eastAsiaTheme="minorEastAsia"/>
                <w:noProof/>
                <w:kern w:val="2"/>
                <w14:ligatures w14:val="standardContextual"/>
              </w:rPr>
              <w:tab/>
            </w:r>
            <w:r w:rsidRPr="004A771D">
              <w:rPr>
                <w:rStyle w:val="Hyperlink"/>
                <w:noProof/>
              </w:rPr>
              <w:t>Document Information</w:t>
            </w:r>
            <w:r>
              <w:rPr>
                <w:noProof/>
                <w:webHidden/>
              </w:rPr>
              <w:tab/>
            </w:r>
            <w:r>
              <w:rPr>
                <w:noProof/>
                <w:webHidden/>
              </w:rPr>
              <w:fldChar w:fldCharType="begin"/>
            </w:r>
            <w:r>
              <w:rPr>
                <w:noProof/>
                <w:webHidden/>
              </w:rPr>
              <w:instrText xml:space="preserve"> PAGEREF _Toc221262057 \h </w:instrText>
            </w:r>
            <w:r>
              <w:rPr>
                <w:noProof/>
                <w:webHidden/>
              </w:rPr>
            </w:r>
            <w:r>
              <w:rPr>
                <w:noProof/>
                <w:webHidden/>
              </w:rPr>
              <w:fldChar w:fldCharType="separate"/>
            </w:r>
            <w:r>
              <w:rPr>
                <w:noProof/>
                <w:webHidden/>
              </w:rPr>
              <w:t>32</w:t>
            </w:r>
            <w:r>
              <w:rPr>
                <w:noProof/>
                <w:webHidden/>
              </w:rPr>
              <w:fldChar w:fldCharType="end"/>
            </w:r>
          </w:hyperlink>
        </w:p>
        <w:p w14:paraId="4D129CB0" w14:textId="2FED4D2F" w:rsidR="00DA5167" w:rsidRDefault="00000000">
          <w:r>
            <w:fldChar w:fldCharType="end"/>
          </w:r>
        </w:p>
      </w:sdtContent>
    </w:sdt>
    <w:p w14:paraId="5E11F8CF" w14:textId="77777777" w:rsidR="00DA5167" w:rsidRDefault="00000000">
      <w:pPr>
        <w:pStyle w:val="Heading1"/>
      </w:pPr>
      <w:bookmarkStart w:id="0" w:name="_Toc221262022"/>
      <w:bookmarkStart w:id="1" w:name="X4659587732c503b7155eab49d76308f0e3471a2"/>
      <w:r>
        <w:rPr>
          <w:rStyle w:val="SectionNumber"/>
        </w:rPr>
        <w:t>1</w:t>
      </w:r>
      <w:r>
        <w:tab/>
        <w:t>Beyond the Checkbox: Critical Analysis of Self-Assessment Bias and Defense-in-Depth Understanding in Open-Source NIST 800-171 Implementations</w:t>
      </w:r>
      <w:bookmarkEnd w:id="0"/>
    </w:p>
    <w:p w14:paraId="7282F41D" w14:textId="77777777" w:rsidR="00DA5167" w:rsidRDefault="00000000">
      <w:pPr>
        <w:pStyle w:val="FirstParagraph"/>
      </w:pPr>
      <w:r>
        <w:rPr>
          <w:b/>
          <w:bCs/>
        </w:rPr>
        <w:t>A White Paper for Nexus Conference 2026</w:t>
      </w:r>
    </w:p>
    <w:p w14:paraId="24DBF15A" w14:textId="77777777" w:rsidR="00DA5167" w:rsidRDefault="00000000">
      <w:pPr>
        <w:pStyle w:val="BodyText"/>
      </w:pPr>
      <w:r>
        <w:rPr>
          <w:b/>
          <w:bCs/>
        </w:rPr>
        <w:t>Author:</w:t>
      </w:r>
      <w:r>
        <w:t xml:space="preserve"> Donald E. Shannon </w:t>
      </w:r>
      <w:r>
        <w:rPr>
          <w:b/>
          <w:bCs/>
        </w:rPr>
        <w:t>Affiliation:</w:t>
      </w:r>
      <w:r>
        <w:t xml:space="preserve"> The CyberHygiene Project </w:t>
      </w:r>
      <w:r>
        <w:rPr>
          <w:b/>
          <w:bCs/>
        </w:rPr>
        <w:t>Date:</w:t>
      </w:r>
      <w:r>
        <w:t xml:space="preserve"> January 2026 </w:t>
      </w:r>
      <w:r>
        <w:rPr>
          <w:b/>
          <w:bCs/>
        </w:rPr>
        <w:t>Version:</w:t>
      </w:r>
      <w:r>
        <w:t xml:space="preserve"> 1.1 (Expanded Edition)</w:t>
      </w:r>
    </w:p>
    <w:p w14:paraId="24C6C411" w14:textId="77777777" w:rsidR="00DA5167" w:rsidRDefault="00000000">
      <w:pPr>
        <w:pStyle w:val="Heading2"/>
      </w:pPr>
      <w:bookmarkStart w:id="2" w:name="_Toc221262023"/>
      <w:bookmarkStart w:id="3" w:name="abstract"/>
      <w:r>
        <w:rPr>
          <w:rStyle w:val="SectionNumber"/>
        </w:rPr>
        <w:t>1.1</w:t>
      </w:r>
      <w:r>
        <w:tab/>
        <w:t>Abstract</w:t>
      </w:r>
      <w:bookmarkEnd w:id="2"/>
    </w:p>
    <w:p w14:paraId="785C86C1" w14:textId="77777777" w:rsidR="00DA5167" w:rsidRDefault="00000000">
      <w:pPr>
        <w:pStyle w:val="FirstParagraph"/>
      </w:pPr>
      <w:r>
        <w:t>The CyberHygiene Project is a research and development effort demonstrating how open-source tools, commodity hardware, and AI can enable very small businesses (VSBs, typically ≤15 employees</w:t>
      </w:r>
      <w:r>
        <w:rPr>
          <w:rStyle w:val="FootnoteReference"/>
        </w:rPr>
        <w:footnoteReference w:id="1"/>
      </w:r>
      <w:r>
        <w:t>) to achieve cybersecurity compliance in the federal government contracting ecosystem. The project addresses requirements for protecting both Federal Contract Information (FCI) and Controlled Unclassified Information (CUI) per NIST SP 800-171</w:t>
      </w:r>
      <w:r>
        <w:rPr>
          <w:rStyle w:val="FootnoteReference"/>
        </w:rPr>
        <w:footnoteReference w:id="2"/>
      </w:r>
      <w:r>
        <w:t>, with staged implementations supporting both basic safeguarding (15 controls per FAR 52.204-21</w:t>
      </w:r>
      <w:r>
        <w:rPr>
          <w:rStyle w:val="FootnoteReference"/>
        </w:rPr>
        <w:footnoteReference w:id="3"/>
      </w:r>
      <w:r>
        <w:t>) and enhanced protection (110 controls per DFARS 252.204-7012</w:t>
      </w:r>
      <w:r>
        <w:rPr>
          <w:rStyle w:val="FootnoteReference"/>
        </w:rPr>
        <w:footnoteReference w:id="4"/>
      </w:r>
      <w:r>
        <w:t xml:space="preserve"> and </w:t>
      </w:r>
      <w:r>
        <w:lastRenderedPageBreak/>
        <w:t>emerging civilian agency requirements). The critical distinction is information sensitivity—FCI versus CUI—not the contracting agency. While defense contractors pursuing CMMC</w:t>
      </w:r>
      <w:r>
        <w:rPr>
          <w:rStyle w:val="FootnoteReference"/>
        </w:rPr>
        <w:footnoteReference w:id="5"/>
      </w:r>
      <w:r>
        <w:t xml:space="preserve"> certification represent one prominent use case, the broader applicability extends to any federal contractor managing sensitive information as CUI protection requirements expand across civilian agencies through pending regulatory actions (FAR Case 2021-019).</w:t>
      </w:r>
    </w:p>
    <w:p w14:paraId="10AA9E5D" w14:textId="77777777" w:rsidR="00DA5167" w:rsidRDefault="00000000">
      <w:pPr>
        <w:pStyle w:val="BodyText"/>
      </w:pPr>
      <w:r>
        <w:t>However, this accessibility introduces significant risks that warrant detailed examination. This paper critically analyzes three interrelated concerns: (1) the propensity for adopters to overestimate their compliance posture through self-assessment bias, compounded by the Dunning-Kruger effect</w:t>
      </w:r>
      <w:r>
        <w:rPr>
          <w:rStyle w:val="FootnoteReference"/>
        </w:rPr>
        <w:footnoteReference w:id="6"/>
      </w:r>
      <w:r>
        <w:t xml:space="preserve"> in cybersecurity competency evaluation; (2) the tendency to view compliance as a series of discrete checkboxes rather than understanding the integrated, layered security architecture that provides actual protection against threats; and (3) the role of Local AI in addressing operational gaps through automated log analysis, dashboard generation, and intelligent alert triage. Through examination of the CyberHygiene reference implementation’s software bill of materials and security architecture, we argue that successful adoption requires not merely technical deployment but comprehensive understanding of defense-in-depth principles—augmented by AI-assisted operational capabilities. We propose that this approach provides an effective counter to the risk adopters face of achieving nominal compliance while remaining substantively vulnerable—a condition we term “checkbox compliant but operationally exposed.”</w:t>
      </w:r>
    </w:p>
    <w:p w14:paraId="7C8A2030" w14:textId="77777777" w:rsidR="00DA5167" w:rsidRDefault="00000000">
      <w:pPr>
        <w:pStyle w:val="BodyText"/>
      </w:pPr>
      <w:r>
        <w:rPr>
          <w:b/>
          <w:bCs/>
        </w:rPr>
        <w:t>Keywords:</w:t>
      </w:r>
      <w:r>
        <w:t xml:space="preserve"> NIST 800-171, FAR 52.204-21, DFARS, federal contracting, very small business, self-assessment, Dunning-Kruger effect, defense-in-depth, open-source security, compliance bias, cybersecurity competency, Local AI, security automation</w:t>
      </w:r>
    </w:p>
    <w:p w14:paraId="5A01B970" w14:textId="77777777" w:rsidR="00DA5167" w:rsidRDefault="00000000">
      <w:pPr>
        <w:pStyle w:val="Heading2"/>
      </w:pPr>
      <w:bookmarkStart w:id="4" w:name="_Toc221262024"/>
      <w:bookmarkStart w:id="5" w:name="introduction"/>
      <w:bookmarkEnd w:id="3"/>
      <w:r>
        <w:rPr>
          <w:rStyle w:val="SectionNumber"/>
        </w:rPr>
        <w:t>1.2</w:t>
      </w:r>
      <w:r>
        <w:tab/>
        <w:t>Introduction</w:t>
      </w:r>
      <w:bookmarkEnd w:id="4"/>
    </w:p>
    <w:p w14:paraId="0F33DC07" w14:textId="77777777" w:rsidR="00DA5167" w:rsidRDefault="00000000">
      <w:pPr>
        <w:pStyle w:val="Heading3"/>
      </w:pPr>
      <w:bookmarkStart w:id="6" w:name="_Toc221262025"/>
      <w:bookmarkStart w:id="7" w:name="background"/>
      <w:r>
        <w:rPr>
          <w:rStyle w:val="SectionNumber"/>
        </w:rPr>
        <w:t>1.2.1</w:t>
      </w:r>
      <w:r>
        <w:tab/>
        <w:t>Background</w:t>
      </w:r>
      <w:bookmarkEnd w:id="6"/>
    </w:p>
    <w:p w14:paraId="538C9FF4" w14:textId="77777777" w:rsidR="00DA5167" w:rsidRDefault="00000000">
      <w:pPr>
        <w:pStyle w:val="FirstParagraph"/>
      </w:pPr>
      <w:r>
        <w:t>Federal government contractors face increasing cybersecurity requirements driven by the sensitivity of information they handle. The fundamental distinction is between Federal Contract Information (FCI) and Controlled Unclassified Information (CUI):</w:t>
      </w:r>
    </w:p>
    <w:p w14:paraId="54E1424F" w14:textId="77777777" w:rsidR="00DA5167" w:rsidRDefault="00000000">
      <w:pPr>
        <w:pStyle w:val="BodyText"/>
      </w:pPr>
      <w:r>
        <w:rPr>
          <w:b/>
          <w:bCs/>
        </w:rPr>
        <w:t>Federal Contract Information (FCI):</w:t>
      </w:r>
      <w:r>
        <w:t xml:space="preserve"> Information not intended for public release that is provided by or generated for the government under a contract. FCI protection requires 15 basic security controls from NIST SP 800-171 as mandated by FAR 52.204-21, applicable across all federal agencies.</w:t>
      </w:r>
    </w:p>
    <w:p w14:paraId="60B9B567" w14:textId="77777777" w:rsidR="00DA5167" w:rsidRDefault="00000000">
      <w:pPr>
        <w:pStyle w:val="BodyText"/>
      </w:pPr>
      <w:r>
        <w:rPr>
          <w:b/>
          <w:bCs/>
        </w:rPr>
        <w:lastRenderedPageBreak/>
        <w:t>Controlled Unclassified Information (CUI):</w:t>
      </w:r>
      <w:r>
        <w:t xml:space="preserve"> A more sensitive category of information requiring enhanced protection as defined by Executive Order 13556 and 32 CFR Part 2002</w:t>
      </w:r>
      <w:r>
        <w:rPr>
          <w:rStyle w:val="FootnoteReference"/>
        </w:rPr>
        <w:footnoteReference w:id="7"/>
      </w:r>
      <w:r>
        <w:t>. CUI requires ‘adequate security’ by implementing all 110 security controls from NIST SP 800-171 Rev. 2. Currently, DFARS 252.204-7012 explicitly requires the 110-control implementation for defense contractors handling CUI, with the Cybersecurity Maturity Model Certification (CMMC) program introducing third-party assessment requirements for DoD contracts.</w:t>
      </w:r>
    </w:p>
    <w:p w14:paraId="4F710F0D" w14:textId="77777777" w:rsidR="00DA5167" w:rsidRDefault="00000000">
      <w:pPr>
        <w:pStyle w:val="BodyText"/>
      </w:pPr>
      <w:r>
        <w:t xml:space="preserve">The existing FAR Clause (52.204-21) is less explicit stating “…. </w:t>
      </w:r>
      <w:r>
        <w:rPr>
          <w:i/>
          <w:iCs/>
        </w:rPr>
        <w:t>Other requirements.</w:t>
      </w:r>
      <w:r>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 FAR Case 2021-019</w:t>
      </w:r>
      <w:r>
        <w:rPr>
          <w:rStyle w:val="FootnoteReference"/>
        </w:rPr>
        <w:footnoteReference w:id="8"/>
      </w:r>
      <w:r>
        <w:t xml:space="preserve"> proposes a clarification by extending the 110-control requirement to non-DoD contractors handling CUI, recognizing that information sensitivity—not the contracting agency—should determine protection requirements.</w:t>
      </w:r>
    </w:p>
    <w:p w14:paraId="3F5B4F5F" w14:textId="77777777" w:rsidR="00DA5167" w:rsidRDefault="00000000">
      <w:pPr>
        <w:pStyle w:val="BodyText"/>
      </w:pPr>
      <w:r>
        <w:t xml:space="preserve">For very small businesses (VSBs)—typically organizations with 15 or fewer employees—compliance costs create substantial barriers regardless of which agency awards the contract. Initial NIST 800-171 implementation typically ranges from $35,000-$50,000 for organizations with minimal existing security infrastructure, covering gap analysis, remediation, technology acquisition, documentation, and initial configuration </w:t>
      </w:r>
      <w:r>
        <w:rPr>
          <w:rStyle w:val="FootnoteReference"/>
        </w:rPr>
        <w:footnoteReference w:id="9"/>
      </w:r>
      <w:r>
        <w:t xml:space="preserve">. However, ongoing operational costs add further burden: managed security service providers (MSSPs) offering NIST 800-171 compliance support typically charge in the range of $2,000-$6,000 per month for small businesses with 10-20 employees, translating to approximately $24,000-$72,000 annually </w:t>
      </w:r>
      <w:r>
        <w:rPr>
          <w:rStyle w:val="FootnoteReference"/>
        </w:rPr>
        <w:footnoteReference w:id="10"/>
      </w:r>
      <w:r>
        <w:rPr>
          <w:rStyle w:val="FootnoteReference"/>
        </w:rPr>
        <w:footnoteReference w:id="11"/>
      </w:r>
      <w:r>
        <w:t>. For organizations requiring comprehensive managed IT and security services, costs can reach $100-$200 per user per month ($18,000-$36,000 annually for 15 employees), though basic security-only services may be available at lower rates. These recurring costs represent a disproportionate burden for VSBs with annual revenues often below $2 million. Yet VSBs represent a significant portion of the federal contracting base, particularly in specialized technical services, research and development, and niche manufacturing.</w:t>
      </w:r>
    </w:p>
    <w:p w14:paraId="2D00CDB3" w14:textId="77777777" w:rsidR="00DA5167" w:rsidRDefault="00000000">
      <w:pPr>
        <w:pStyle w:val="BodyText"/>
      </w:pPr>
      <w:r>
        <w:lastRenderedPageBreak/>
        <w:t>The CyberHygiene Project emerged as a research and development initiative with a specific goal: to develop a near-turnkey system that VSBs can deploy with minimal expertise requirements. Unlike documentation projects that provide instructions for self-implementation, the CyberHygiene approach aims to pre-accomplish the complex configuration work, AI integration, and esoteric compliance issues common across the VSB community. The project employs a “Minimum Viable Product” (MVP) strategy—not attempting to create a one-size-fits-all solution for all organizations, but rather establishing a solid baseline that jumpstarts compliance and reduces reliance on expensive external resources.</w:t>
      </w:r>
    </w:p>
    <w:p w14:paraId="12E00BDF" w14:textId="77777777" w:rsidR="00DA5167" w:rsidRDefault="00000000">
      <w:pPr>
        <w:pStyle w:val="BodyText"/>
      </w:pPr>
      <w:r>
        <w:rPr>
          <w:b/>
          <w:bCs/>
        </w:rPr>
        <w:t>Open-Source, Community-Driven Model:</w:t>
      </w:r>
      <w:r>
        <w:t xml:space="preserve"> The CyberHygiene Project operates as an open-source, non-commercial initiative. All project resources, documentation, configuration scripts, and code are publicly available through the project’s GitHub repository at https://github.com/dshannon46-jpg, embodying the principles of transparency and community collaboration. The project website at https://cyberinabox.net serves as the central hub for documentation, implementation guides, and community engagement. This open-source approach ensures that the security implementations can be independently reviewed, validated, and improved by the broader cybersecurity community—a critical factor for establishing trust in security tools.</w:t>
      </w:r>
    </w:p>
    <w:p w14:paraId="38341432" w14:textId="77777777" w:rsidR="00DA5167" w:rsidRDefault="00000000">
      <w:pPr>
        <w:pStyle w:val="BodyText"/>
      </w:pPr>
      <w:r>
        <w:t>Importantly, this is a privately funded effort with no commercial intent or expectation of financial gain. The project seeks collaboration from qualified cybersecurity experts, compliance professionals, and experienced practitioners willing to volunteer their time and expertise toward refining the solution. Contributions are welcomed in areas including security architecture review, compliance validation, documentation improvement, AI model refinement, and user experience enhancement. Interested collaborators can engage through the project website.</w:t>
      </w:r>
    </w:p>
    <w:p w14:paraId="40F7A61E" w14:textId="77777777" w:rsidR="00DA5167" w:rsidRDefault="00000000">
      <w:pPr>
        <w:pStyle w:val="BodyText"/>
      </w:pPr>
      <w:r>
        <w:rPr>
          <w:b/>
          <w:bCs/>
        </w:rPr>
        <w:t>Open-Source, Non-Commercial Foundation:</w:t>
      </w:r>
      <w:r>
        <w:t xml:space="preserve"> The CyberHygiene Project is fundamentally a non-commercial effort, privately funded by the author with no expectation or intent of commercial gain. The project embraces open-source principles to maximize accessibility and encourage community collaboration:</w:t>
      </w:r>
    </w:p>
    <w:p w14:paraId="77ACB293" w14:textId="77777777" w:rsidR="00DA5167" w:rsidRDefault="00000000">
      <w:pPr>
        <w:pStyle w:val="Compact"/>
        <w:numPr>
          <w:ilvl w:val="0"/>
          <w:numId w:val="43"/>
        </w:numPr>
      </w:pPr>
      <w:r>
        <w:rPr>
          <w:b/>
          <w:bCs/>
        </w:rPr>
        <w:t>Project Website:</w:t>
      </w:r>
      <w:r>
        <w:t xml:space="preserve"> https://cyberinabox.net provides comprehensive documentation, implementation guides, and resources for the VSB community</w:t>
      </w:r>
    </w:p>
    <w:p w14:paraId="374B9DE6" w14:textId="77777777" w:rsidR="00DA5167" w:rsidRDefault="00000000">
      <w:pPr>
        <w:pStyle w:val="Compact"/>
        <w:numPr>
          <w:ilvl w:val="0"/>
          <w:numId w:val="43"/>
        </w:numPr>
      </w:pPr>
      <w:r>
        <w:rPr>
          <w:b/>
          <w:bCs/>
        </w:rPr>
        <w:t>GitHub Repository:</w:t>
      </w:r>
      <w:r>
        <w:t xml:space="preserve"> https://github.com/dshannon46-jpg hosts all project code, configuration files, deployment scripts, and technical documentation under open-source licensing</w:t>
      </w:r>
    </w:p>
    <w:p w14:paraId="6AF55AFE" w14:textId="77777777" w:rsidR="00DA5167" w:rsidRDefault="00000000">
      <w:pPr>
        <w:pStyle w:val="Compact"/>
        <w:numPr>
          <w:ilvl w:val="0"/>
          <w:numId w:val="43"/>
        </w:numPr>
      </w:pPr>
      <w:r>
        <w:rPr>
          <w:b/>
          <w:bCs/>
        </w:rPr>
        <w:t>Community Collaboration:</w:t>
      </w:r>
      <w:r>
        <w:t xml:space="preserve"> The project actively seeks collaboration from qualified cybersecurity experts, compliance professionals, and experienced practitioners willing to volunteer their time toward refining the product. Contributions may include code review, documentation improvement, testing in diverse environments, policy template development, or expert validation of technical approaches</w:t>
      </w:r>
    </w:p>
    <w:p w14:paraId="61B0A554" w14:textId="77777777" w:rsidR="00DA5167" w:rsidRDefault="00000000">
      <w:pPr>
        <w:pStyle w:val="Compact"/>
        <w:numPr>
          <w:ilvl w:val="0"/>
          <w:numId w:val="43"/>
        </w:numPr>
      </w:pPr>
      <w:r>
        <w:rPr>
          <w:b/>
          <w:bCs/>
        </w:rPr>
        <w:t>Volunteer Opportunities:</w:t>
      </w:r>
      <w:r>
        <w:t xml:space="preserve"> Those interested in contributing can contact the project through the website. Particularly valuable would be expertise in CMMC assessment, NIST 800-171 implementation, managed security operations, or AI/ML applications in cybersecurity</w:t>
      </w:r>
    </w:p>
    <w:p w14:paraId="50C3664D" w14:textId="77777777" w:rsidR="00DA5167" w:rsidRDefault="00000000">
      <w:pPr>
        <w:pStyle w:val="FirstParagraph"/>
      </w:pPr>
      <w:r>
        <w:lastRenderedPageBreak/>
        <w:t>This open-source, collaborative model ensures that improvements benefit the entire VSB community rather than becoming proprietary intellectual property, aligning with the project’s mission of making federal compliance achievable for organizations that cannot afford commercial solutions.</w:t>
      </w:r>
    </w:p>
    <w:p w14:paraId="73386931" w14:textId="77777777" w:rsidR="00DA5167" w:rsidRDefault="00000000">
      <w:pPr>
        <w:pStyle w:val="BodyText"/>
      </w:pPr>
      <w:r>
        <w:rPr>
          <w:b/>
          <w:bCs/>
        </w:rPr>
        <w:t>Documentation and Process Maturity:</w:t>
      </w:r>
      <w:r>
        <w:t xml:space="preserve"> A critical but often underestimated aspect of NIST 800-171 compliance is the requirement for comprehensive policy and procedure documentation—and more importantly, implementing these as actual business practices. The CyberHygiene Project addresses this through:</w:t>
      </w:r>
    </w:p>
    <w:p w14:paraId="5628791B" w14:textId="77777777" w:rsidR="00DA5167" w:rsidRDefault="00000000">
      <w:pPr>
        <w:numPr>
          <w:ilvl w:val="0"/>
          <w:numId w:val="44"/>
        </w:numPr>
      </w:pPr>
      <w:r>
        <w:rPr>
          <w:b/>
          <w:bCs/>
        </w:rPr>
        <w:t>Policy and Procedure Template Library:</w:t>
      </w:r>
      <w:r>
        <w:t xml:space="preserve"> Pre-developed templates tailored specifically for the VSB community, covering all required documentation areas (System Security Plan, Plan of Action &amp; Milestones, security policies, operational procedures, incident response checklists, etc.)</w:t>
      </w:r>
    </w:p>
    <w:p w14:paraId="69BAE7D5" w14:textId="77777777" w:rsidR="00DA5167" w:rsidRDefault="00000000">
      <w:pPr>
        <w:numPr>
          <w:ilvl w:val="0"/>
          <w:numId w:val="44"/>
        </w:numPr>
      </w:pPr>
      <w:r>
        <w:rPr>
          <w:b/>
          <w:bCs/>
        </w:rPr>
        <w:t>AI-Assisted Documentation Generation:</w:t>
      </w:r>
      <w:r>
        <w:t xml:space="preserve"> Informational worksheets that capture VSB-specific details (business structure, network architecture, employee roles, data flows) which serve dual purposes: (1) finalizing software configuration parameters, and (2) generating customized business-specific documentation through AI prompting templates. VSBs complete worksheets; the AI generates draft SSPs, POA&amp;Ms, and policy documents for business owner review, modification, and approval.</w:t>
      </w:r>
    </w:p>
    <w:p w14:paraId="425CCD37" w14:textId="77777777" w:rsidR="00DA5167" w:rsidRDefault="00000000">
      <w:pPr>
        <w:numPr>
          <w:ilvl w:val="0"/>
          <w:numId w:val="44"/>
        </w:numPr>
      </w:pPr>
      <w:r>
        <w:rPr>
          <w:b/>
          <w:bCs/>
        </w:rPr>
        <w:t>Business Process Improvement Catalyst:</w:t>
      </w:r>
      <w:r>
        <w:t xml:space="preserve"> While these documentation requirements exist primarily for cybersecurity compliance, the discipline of documenting procedures, defining roles and responsibilities, and establishing accountability mechanisms benefits the organization’s overall maturity. VSBs often discover that the structured approach required for security compliance—defining who does what, when, and how—provides a framework for improving other business processes (quality management, customer service workflows, financial controls). The cybersecurity compliance effort becomes a catalyst for broader operational excellence.</w:t>
      </w:r>
    </w:p>
    <w:p w14:paraId="7D3993F7" w14:textId="77777777" w:rsidR="00DA5167" w:rsidRDefault="00000000">
      <w:pPr>
        <w:pStyle w:val="FirstParagraph"/>
      </w:pPr>
      <w:r>
        <w:t>This documentation automation approach significantly reduces implementation costs by eliminating the need for consultants to draft customized policy documents ($5,000-$20,000 in typical consulting fees), while simultaneously accelerating the compliance timeline and ensuring the documentation actually reflects the VSB’s specific operational reality rather than generic templates.</w:t>
      </w:r>
    </w:p>
    <w:p w14:paraId="24EE5488" w14:textId="77777777" w:rsidR="00DA5167" w:rsidRDefault="00000000">
      <w:pPr>
        <w:pStyle w:val="BodyText"/>
      </w:pPr>
      <w:r>
        <w:rPr>
          <w:b/>
          <w:bCs/>
        </w:rPr>
        <w:t>Current vs. Future Development Stages:</w:t>
      </w:r>
      <w:r>
        <w:t xml:space="preserve"> The project is evolving through multiple phases:</w:t>
      </w:r>
    </w:p>
    <w:p w14:paraId="662DAB2A" w14:textId="77777777" w:rsidR="00DA5167" w:rsidRDefault="00000000">
      <w:pPr>
        <w:numPr>
          <w:ilvl w:val="0"/>
          <w:numId w:val="45"/>
        </w:numPr>
      </w:pPr>
      <w:r>
        <w:rPr>
          <w:b/>
          <w:bCs/>
        </w:rPr>
        <w:t>Current Stage (R&amp;D Demonstration):</w:t>
      </w:r>
      <w:r>
        <w:t xml:space="preserve"> Proof of technical feasibility using open-source tools (FreeIPA for identity management, Wazuh for security monitoring, OpenSCAP for compliance scanning) and Local AI integration. Documentation of architectural decisions, configuration challenges, and lessons learned. Development of staged implementation approach for FCI (15 controls) versus CUI (110 controls) protection. Initial development of policy templates and AI prompting frameworks.</w:t>
      </w:r>
    </w:p>
    <w:p w14:paraId="010C4839" w14:textId="77777777" w:rsidR="00DA5167" w:rsidRDefault="00000000">
      <w:pPr>
        <w:numPr>
          <w:ilvl w:val="0"/>
          <w:numId w:val="45"/>
        </w:numPr>
      </w:pPr>
      <w:r>
        <w:rPr>
          <w:b/>
          <w:bCs/>
        </w:rPr>
        <w:lastRenderedPageBreak/>
        <w:t>Future Stages (Turnkey Development):</w:t>
      </w:r>
      <w:r>
        <w:t xml:space="preserve"> Integration of trained cybersecurity experts into the project team to ensure genuine compliance rather than checkbox satisfaction. Development of pre-configured systems, automated deployment scripts, and AI-assisted operational procedures tailored to common VSB scenarios. Refinement of documentation template library and AI automation workflows based on real-world VSB feedback. Establishment of distribution channels and strategic partnerships (yet to be determined) to deliver turnkey solutions to the VSB community. Pre-configuration of the esoteric compliance elements that commonly challenge VSBs.</w:t>
      </w:r>
    </w:p>
    <w:p w14:paraId="4F3B5DA4" w14:textId="77777777" w:rsidR="00DA5167" w:rsidRDefault="00000000">
      <w:pPr>
        <w:pStyle w:val="FirstParagraph"/>
      </w:pPr>
      <w:r>
        <w:t>The reference implementation achieved 110/110 technical controls</w:t>
      </w:r>
      <w:r>
        <w:rPr>
          <w:rStyle w:val="FootnoteReference"/>
        </w:rPr>
        <w:footnoteReference w:id="12"/>
      </w:r>
      <w:r>
        <w:t xml:space="preserve"> validated via OpenSCAP scanning against the CUI profile, demonstrating technical feasibility with hardware costs under $5,000 and zero software licensing fees. However, the project’s goals extend beyond proving feasibility—the intent is to package this capability in a form that VSBs can actually adopt without requiring deep cybersecurity expertise or expensive consulting services.</w:t>
      </w:r>
    </w:p>
    <w:p w14:paraId="3384397E" w14:textId="77777777" w:rsidR="00DA5167" w:rsidRDefault="00000000">
      <w:pPr>
        <w:pStyle w:val="BodyText"/>
      </w:pPr>
      <w:r>
        <w:t>This turnkey approach directly addresses the Dunning-Kruger competency paradox: rather than expecting VSBs to develop expertise in complex security configuration, AI operations, and compliance documentation, the project aims to deliver systems where much of that expertise is embedded in the pre-configuration, AI-assisted automation, and guided documentation workflows. However, this raises important questions about whether turnkey delivery truly eliminates the expertise requirement or merely shifts it to different phases of the adoption lifecycle—questions this paper examines critically.</w:t>
      </w:r>
    </w:p>
    <w:p w14:paraId="729E5EB4" w14:textId="77777777" w:rsidR="00DA5167" w:rsidRDefault="00000000">
      <w:pPr>
        <w:pStyle w:val="Heading3"/>
      </w:pPr>
      <w:bookmarkStart w:id="8" w:name="_Toc221262026"/>
      <w:bookmarkStart w:id="9" w:name="purpose-and-scope"/>
      <w:bookmarkEnd w:id="7"/>
      <w:r>
        <w:rPr>
          <w:rStyle w:val="SectionNumber"/>
        </w:rPr>
        <w:t>1.2.2</w:t>
      </w:r>
      <w:r>
        <w:tab/>
        <w:t>Purpose and Scope</w:t>
      </w:r>
      <w:bookmarkEnd w:id="8"/>
    </w:p>
    <w:p w14:paraId="40A4079E" w14:textId="77777777" w:rsidR="00DA5167" w:rsidRDefault="00000000">
      <w:pPr>
        <w:pStyle w:val="FirstParagraph"/>
      </w:pPr>
      <w:r>
        <w:t>This paper examines the CyberHygiene Project as a research and development effort targeting very small businesses (VSBs) in the federal contracting ecosystem. While CMMC and defense contracting provide a prominent use case, the project’s applicability extends to any federal contractor subject to NIST SP 800-171 requirements based on the sensitivity of information handled—whether FCI (15 controls) or CUI (110 controls)—regardless of contracting agency.</w:t>
      </w:r>
    </w:p>
    <w:p w14:paraId="6FC50559" w14:textId="77777777" w:rsidR="00DA5167" w:rsidRDefault="00000000">
      <w:pPr>
        <w:pStyle w:val="BodyText"/>
      </w:pPr>
      <w:r>
        <w:t>The staged implementation approach—15 controls for FCI versus 110 controls for CUI—recognizes that VSBs face varying requirements based on information sensitivity, not merely which agency awards the contract. With FAR Case 2021-019 proposing to extend CUI protection requirements across civilian agencies, the distinction between FCI and CUI becomes increasingly critical for all federal contractors, not just those in the defense industrial base.</w:t>
      </w:r>
    </w:p>
    <w:p w14:paraId="746B1613" w14:textId="77777777" w:rsidR="00DA5167" w:rsidRDefault="00000000">
      <w:pPr>
        <w:pStyle w:val="BodyText"/>
      </w:pPr>
      <w:r>
        <w:lastRenderedPageBreak/>
        <w:t>However, this flexibility introduces three critical concerns that may undermine the beneficial intent of open-source compliance frameworks:</w:t>
      </w:r>
    </w:p>
    <w:p w14:paraId="4B3AC293" w14:textId="77777777" w:rsidR="00DA5167" w:rsidRDefault="00000000">
      <w:pPr>
        <w:numPr>
          <w:ilvl w:val="0"/>
          <w:numId w:val="46"/>
        </w:numPr>
      </w:pPr>
      <w:r>
        <w:rPr>
          <w:b/>
          <w:bCs/>
        </w:rPr>
        <w:t>Self-Assessment Bias and the Dunning-Kruger Effect:</w:t>
      </w:r>
      <w:r>
        <w:t xml:space="preserve"> The cognitive tendency for individuals with limited cybersecurity expertise to overestimate their competence and, consequently, their compliance posture—particularly problematic in VSBs where a single individual may wear multiple hats.</w:t>
      </w:r>
    </w:p>
    <w:p w14:paraId="28475BFE" w14:textId="77777777" w:rsidR="00DA5167" w:rsidRDefault="00000000">
      <w:pPr>
        <w:numPr>
          <w:ilvl w:val="0"/>
          <w:numId w:val="46"/>
        </w:numPr>
      </w:pPr>
      <w:r>
        <w:rPr>
          <w:b/>
          <w:bCs/>
        </w:rPr>
        <w:t>Checkbox Compliance vs. Defense-in-Depth Understanding:</w:t>
      </w:r>
      <w:r>
        <w:t xml:space="preserve"> The failure to comprehend how individual software components integrate to create layered security, leading to implementations that pass automated scans while lacking substantive protection. This risk is heightened when VSBs pursue the 15-control baseline without understanding its limitations.</w:t>
      </w:r>
    </w:p>
    <w:p w14:paraId="54A0E9E7" w14:textId="77777777" w:rsidR="00DA5167" w:rsidRDefault="00000000">
      <w:pPr>
        <w:numPr>
          <w:ilvl w:val="0"/>
          <w:numId w:val="46"/>
        </w:numPr>
      </w:pPr>
      <w:r>
        <w:rPr>
          <w:b/>
          <w:bCs/>
        </w:rPr>
        <w:t>AI-Augmented Operational Security:</w:t>
      </w:r>
      <w:r>
        <w:t xml:space="preserve"> The potential for Local AI implementations to bridge the expertise gap through automated log analysis, intelligent alert triage, and actionable dashboard generation—while simultaneously introducing new risks if not properly understood and managed.</w:t>
      </w:r>
    </w:p>
    <w:p w14:paraId="3C3A1976" w14:textId="77777777" w:rsidR="00DA5167" w:rsidRDefault="00000000">
      <w:pPr>
        <w:pStyle w:val="FirstParagraph"/>
      </w:pPr>
      <w:r>
        <w:t>We advocate in favor of open-source compliance approaches and encourage VSB participation in federal contracting. We also advocate for honest acknowledgment of implementation limitations and the expertise required for successful adoption—whether human or AI-augmented. The goal is to help VSBs achieve genuine security, not merely compliance documentation.</w:t>
      </w:r>
    </w:p>
    <w:p w14:paraId="1BEF95D7" w14:textId="77777777" w:rsidR="00DA5167" w:rsidRDefault="00000000">
      <w:pPr>
        <w:pStyle w:val="Heading3"/>
      </w:pPr>
      <w:bookmarkStart w:id="10" w:name="_Toc221262027"/>
      <w:bookmarkStart w:id="11" w:name="regulatory-context-and-staged-compliance"/>
      <w:bookmarkEnd w:id="9"/>
      <w:r>
        <w:rPr>
          <w:rStyle w:val="SectionNumber"/>
        </w:rPr>
        <w:t>1.2.3</w:t>
      </w:r>
      <w:r>
        <w:tab/>
        <w:t>Regulatory Context and Staged Compliance</w:t>
      </w:r>
      <w:bookmarkEnd w:id="10"/>
    </w:p>
    <w:p w14:paraId="51542801" w14:textId="77777777" w:rsidR="00DA5167" w:rsidRDefault="00000000">
      <w:pPr>
        <w:pStyle w:val="FirstParagraph"/>
      </w:pPr>
      <w:r>
        <w:t>Understanding the CyberHygiene Project requires context regarding the federal contracting compliance landscape:</w:t>
      </w:r>
    </w:p>
    <w:p w14:paraId="248F9278" w14:textId="77777777" w:rsidR="00DA5167" w:rsidRDefault="00000000">
      <w:pPr>
        <w:pStyle w:val="BodyText"/>
      </w:pPr>
      <w:r>
        <w:rPr>
          <w:b/>
          <w:bCs/>
        </w:rPr>
        <w:t>FAR 52.204-21 (Basic Safeguarding of Covered Contractor Information Systems):</w:t>
      </w:r>
      <w:r>
        <w:t xml:space="preserve"> Applies to all federal contracts involving “covered contractor information systems”—essentially any contractor IT system that processes, stores, or transmits Federal Contract Information (FCI). FCI is defined as information not intended for public release that is provided by or generated for the government under a contract. Requires implementation of 15 basic security controls derived from NIST SP 800-171. This represents the baseline for protecting FCI regardless of contracting agency.</w:t>
      </w:r>
    </w:p>
    <w:p w14:paraId="32F2D2D9" w14:textId="77777777" w:rsidR="00DA5167" w:rsidRDefault="00000000">
      <w:pPr>
        <w:pStyle w:val="BodyText"/>
      </w:pPr>
      <w:r>
        <w:rPr>
          <w:b/>
          <w:bCs/>
        </w:rPr>
        <w:t>DFARS 252.204-7012 (Safeguarding Covered Defense Information and Cyber Incident Reporting):</w:t>
      </w:r>
      <w:r>
        <w:t xml:space="preserve"> Applies to defense contractors handling Controlled Unclassified Information (CUI). CUI is a more sensitive category of information requiring additional protection as defined by Executive Order 13556</w:t>
      </w:r>
      <w:r>
        <w:rPr>
          <w:rStyle w:val="FootnoteReference"/>
        </w:rPr>
        <w:footnoteReference w:id="13"/>
      </w:r>
      <w:r>
        <w:t xml:space="preserve"> and 32 CFR Part 2002. Requires implementation of all 110 security controls from NIST SP 800-171 Rev. 2. Contractors must also report cyber incidents to DoD within 72 hours and allow DoD to conduct damage assessments.</w:t>
      </w:r>
    </w:p>
    <w:p w14:paraId="288F8CB9" w14:textId="77777777" w:rsidR="00DA5167" w:rsidRDefault="00000000">
      <w:pPr>
        <w:pStyle w:val="BodyText"/>
      </w:pPr>
      <w:r>
        <w:rPr>
          <w:b/>
          <w:bCs/>
        </w:rPr>
        <w:lastRenderedPageBreak/>
        <w:t>The Critical Distinction - Information Sensitivity, Not Agency:</w:t>
      </w:r>
      <w:r>
        <w:t xml:space="preserve"> The key determinant is </w:t>
      </w:r>
      <w:r>
        <w:rPr>
          <w:b/>
          <w:bCs/>
        </w:rPr>
        <w:t>what type of information</w:t>
      </w:r>
      <w:r>
        <w:t xml:space="preserve"> the contractor handles, not which agency awards the contract: - </w:t>
      </w:r>
      <w:r>
        <w:rPr>
          <w:b/>
          <w:bCs/>
        </w:rPr>
        <w:t>FCI (Federal Contract Information):</w:t>
      </w:r>
      <w:r>
        <w:t xml:space="preserve"> 15 controls under FAR 52.204-21 - </w:t>
      </w:r>
      <w:r>
        <w:rPr>
          <w:b/>
          <w:bCs/>
        </w:rPr>
        <w:t>CUI (Controlled Unclassified Information):</w:t>
      </w:r>
      <w:r>
        <w:t xml:space="preserve"> 110 controls under DFARS 252.204-7012 (DoD) or equivalent agency requirements</w:t>
      </w:r>
    </w:p>
    <w:p w14:paraId="26167066" w14:textId="77777777" w:rsidR="00DA5167" w:rsidRDefault="00000000">
      <w:pPr>
        <w:pStyle w:val="BodyText"/>
      </w:pPr>
      <w:r>
        <w:t>A common misconception is that FAR contracts always require only 15 controls while DFARS contracts require 110 controls. This is incorrect. The determining factor is whether the contract involves CUI, regardless of the contracting agency.</w:t>
      </w:r>
    </w:p>
    <w:p w14:paraId="45E2AEB4" w14:textId="77777777" w:rsidR="00DA5167" w:rsidRDefault="00000000">
      <w:pPr>
        <w:pStyle w:val="BodyText"/>
      </w:pPr>
      <w:r>
        <w:rPr>
          <w:b/>
          <w:bCs/>
        </w:rPr>
        <w:t>Evolving Regulatory Landscape:</w:t>
      </w:r>
      <w:r>
        <w:t xml:space="preserve"> FAR Case 2021-019, currently pending in the Federal Register, proposes to extend the 110-control requirement to non-DoD contractors handling CUI. This would harmonize CUI protection requirements across all federal agencies, recognizing that sensitive information requires robust protection regardless of which agency owns it. VSBs must monitor this regulatory development, as it may significantly expand the population of contractors subject to the full 110-control implementation.</w:t>
      </w:r>
    </w:p>
    <w:p w14:paraId="24550B54" w14:textId="77777777" w:rsidR="00DA5167" w:rsidRDefault="00000000">
      <w:pPr>
        <w:pStyle w:val="BodyText"/>
      </w:pPr>
      <w:r>
        <w:rPr>
          <w:b/>
          <w:bCs/>
        </w:rPr>
        <w:t>CMMC (Cybersecurity Maturity Model Certification):</w:t>
      </w:r>
      <w:r>
        <w:t xml:space="preserve"> A certification program—not a technical standard—that validates compliance with NIST SP 800-171 through third-party assessment. CMMC Level 2 requires the 110 controls plus assessment by a CMMC Third-Party Assessment Organization (C3PAO). Currently applies only to DoD contracts, but the underlying NIST SP 800-171 standard is agency-agnostic.</w:t>
      </w:r>
    </w:p>
    <w:p w14:paraId="6DA06A7B" w14:textId="77777777" w:rsidR="00DA5167" w:rsidRDefault="00000000">
      <w:pPr>
        <w:pStyle w:val="BodyText"/>
      </w:pPr>
      <w:r>
        <w:rPr>
          <w:b/>
          <w:bCs/>
        </w:rPr>
        <w:t>Staged Implementation Rationale:</w:t>
      </w:r>
      <w:r>
        <w:t xml:space="preserve"> The CyberHygiene Project recognizes that VSBs may: - Handle only FCI on some contracts (15 controls) while handling CUI on others (110 controls) - Progress from FCI-only contracts to CUI contracts as business matures - Need to implement foundational security infrastructure incrementally as data sensitivity increases - Tailor control implementation to actual information sensitivity rather than over-engineering or under-protecting</w:t>
      </w:r>
    </w:p>
    <w:p w14:paraId="3E21F023" w14:textId="77777777" w:rsidR="00DA5167" w:rsidRDefault="00000000">
      <w:pPr>
        <w:pStyle w:val="BodyText"/>
      </w:pPr>
      <w:r>
        <w:t>However, this staged approach creates a critical pitfall: VSBs may implement the 15-control baseline for FCI protection and mistakenly believe they are prepared for CUI contracts requiring 110 controls.</w:t>
      </w:r>
    </w:p>
    <w:p w14:paraId="37064781" w14:textId="77777777" w:rsidR="00DA5167" w:rsidRDefault="00000000">
      <w:pPr>
        <w:pStyle w:val="Heading2"/>
      </w:pPr>
      <w:bookmarkStart w:id="12" w:name="_Toc221262028"/>
      <w:bookmarkStart w:id="13" w:name="literature-review"/>
      <w:bookmarkEnd w:id="5"/>
      <w:bookmarkEnd w:id="11"/>
      <w:r>
        <w:rPr>
          <w:rStyle w:val="SectionNumber"/>
        </w:rPr>
        <w:t>1.3</w:t>
      </w:r>
      <w:r>
        <w:tab/>
        <w:t>Literature Review</w:t>
      </w:r>
      <w:bookmarkEnd w:id="12"/>
    </w:p>
    <w:p w14:paraId="06F20312" w14:textId="77777777" w:rsidR="00DA5167" w:rsidRDefault="00000000">
      <w:pPr>
        <w:pStyle w:val="Heading3"/>
      </w:pPr>
      <w:bookmarkStart w:id="14" w:name="_Toc221262029"/>
      <w:bookmarkStart w:id="15" w:name="X0ba38cfc09328abf1c8f93c493ad0e1eafe3b67"/>
      <w:r>
        <w:rPr>
          <w:rStyle w:val="SectionNumber"/>
        </w:rPr>
        <w:t>1.3.1</w:t>
      </w:r>
      <w:r>
        <w:tab/>
        <w:t>The Dunning-Kruger Effect in Technical Domains</w:t>
      </w:r>
      <w:bookmarkEnd w:id="14"/>
    </w:p>
    <w:p w14:paraId="0D6C8FE6" w14:textId="77777777" w:rsidR="00DA5167" w:rsidRDefault="00000000">
      <w:pPr>
        <w:pStyle w:val="FirstParagraph"/>
      </w:pPr>
      <w:r>
        <w:t>Kruger and Dunning (1999)</w:t>
      </w:r>
      <w:r>
        <w:rPr>
          <w:rStyle w:val="FootnoteReference"/>
        </w:rPr>
        <w:footnoteReference w:id="14"/>
      </w:r>
      <w:r>
        <w:t xml:space="preserve"> demonstrated that individuals with limited competence in a domain tend to overestimate their abilities, while experts tend to underestimate theirs. This metacognitive bias has been extensively studied in technical fields, with particular relevance to cybersecurity.</w:t>
      </w:r>
    </w:p>
    <w:p w14:paraId="18D9338A" w14:textId="77777777" w:rsidR="00DA5167" w:rsidRDefault="00000000">
      <w:pPr>
        <w:pStyle w:val="BodyText"/>
      </w:pPr>
      <w:r>
        <w:lastRenderedPageBreak/>
        <w:t>Hadlington (2017)</w:t>
      </w:r>
      <w:r>
        <w:rPr>
          <w:rStyle w:val="FootnoteReference"/>
        </w:rPr>
        <w:footnoteReference w:id="15"/>
      </w:r>
      <w:r>
        <w:t xml:space="preserve"> found that individuals with lower cybersecurity awareness paradoxically expressed higher confidence in their ability to identify threats. This inverse relationship between competence and confidence creates particular risks in compliance contexts, where adopters must accurately assess their own implementation quality.</w:t>
      </w:r>
    </w:p>
    <w:p w14:paraId="5F9AE576" w14:textId="77777777" w:rsidR="00DA5167" w:rsidRDefault="00000000">
      <w:pPr>
        <w:pStyle w:val="Heading3"/>
      </w:pPr>
      <w:bookmarkStart w:id="16" w:name="_Toc221262030"/>
      <w:bookmarkStart w:id="17" w:name="self-assessment-in-compliance-frameworks"/>
      <w:bookmarkEnd w:id="15"/>
      <w:r>
        <w:rPr>
          <w:rStyle w:val="SectionNumber"/>
        </w:rPr>
        <w:t>1.3.2</w:t>
      </w:r>
      <w:r>
        <w:tab/>
        <w:t>Self-Assessment in Compliance Frameworks</w:t>
      </w:r>
      <w:bookmarkEnd w:id="16"/>
    </w:p>
    <w:p w14:paraId="5461BFC6" w14:textId="77777777" w:rsidR="00DA5167" w:rsidRDefault="00000000">
      <w:pPr>
        <w:pStyle w:val="FirstParagraph"/>
      </w:pPr>
      <w:r>
        <w:t>Prior to CMMC’s third-party assessment requirements, NIST 800-171 compliance relied entirely on self-assessment. Research by the CMMC Accreditation Body (2022) indicated that self-assessed compliance scores frequently exceeded actual security postures as measured by third-party evaluation, sometimes by margins exceeding 40%.</w:t>
      </w:r>
      <w:r>
        <w:rPr>
          <w:rStyle w:val="FootnoteReference"/>
        </w:rPr>
        <w:footnoteReference w:id="16"/>
      </w:r>
    </w:p>
    <w:p w14:paraId="4506FBF3" w14:textId="77777777" w:rsidR="00DA5167" w:rsidRDefault="00000000">
      <w:pPr>
        <w:pStyle w:val="BodyText"/>
      </w:pPr>
      <w:r>
        <w:t>Verizon’s Data Breach Investigations Report (2024)</w:t>
      </w:r>
      <w:r>
        <w:rPr>
          <w:rStyle w:val="FootnoteReference"/>
        </w:rPr>
        <w:footnoteReference w:id="17"/>
      </w:r>
      <w:r>
        <w:rPr>
          <w:rStyle w:val="FootnoteReference"/>
        </w:rPr>
        <w:footnoteReference w:id="18"/>
      </w:r>
      <w:r>
        <w:t xml:space="preserve"> Investigations Report (2024) noted that organizations reporting compliance with security frameworks experienced breaches at rates only marginally lower than non-compliant organizations, suggesting that compliance attestation does not reliably predict security outcomes.</w:t>
      </w:r>
    </w:p>
    <w:p w14:paraId="37FC7E22" w14:textId="77777777" w:rsidR="00DA5167" w:rsidRDefault="00000000">
      <w:pPr>
        <w:pStyle w:val="Heading3"/>
      </w:pPr>
      <w:bookmarkStart w:id="18" w:name="_Toc221262031"/>
      <w:bookmarkStart w:id="19" w:name="defense-in-depth-as-security-philosophy"/>
      <w:bookmarkEnd w:id="17"/>
      <w:r>
        <w:rPr>
          <w:rStyle w:val="SectionNumber"/>
        </w:rPr>
        <w:t>1.3.3</w:t>
      </w:r>
      <w:r>
        <w:tab/>
        <w:t>Defense-in-Depth as Security Philosophy</w:t>
      </w:r>
      <w:bookmarkEnd w:id="18"/>
    </w:p>
    <w:p w14:paraId="6C7FA48F" w14:textId="77777777" w:rsidR="00DA5167" w:rsidRDefault="00000000">
      <w:pPr>
        <w:pStyle w:val="FirstParagraph"/>
      </w:pPr>
      <w:r>
        <w:t>The principle of defense-in-depth, derived from military strategy and formalized in cybersecurity by the National Security Agency (NSA, 2012)</w:t>
      </w:r>
      <w:r>
        <w:rPr>
          <w:rStyle w:val="FootnoteReference"/>
        </w:rPr>
        <w:footnoteReference w:id="19"/>
      </w:r>
      <w:r>
        <w:t>, posits that security requires multiple, overlapping protective layers such that compromise of any single layer does not result in complete system compromise.</w:t>
      </w:r>
    </w:p>
    <w:p w14:paraId="77D8E35A" w14:textId="77777777" w:rsidR="00DA5167" w:rsidRDefault="00000000">
      <w:pPr>
        <w:pStyle w:val="BodyText"/>
      </w:pPr>
      <w:r>
        <w:lastRenderedPageBreak/>
        <w:t>Schneier (2000)</w:t>
      </w:r>
      <w:r>
        <w:rPr>
          <w:rStyle w:val="FootnoteReference"/>
        </w:rPr>
        <w:footnoteReference w:id="20"/>
      </w:r>
      <w:r>
        <w:t xml:space="preserve"> argued that security is a process, not a product—a distinction frequently lost in compliance-focused implementations where achieving a passing score becomes the objective rather than establishing genuine protective capabilities.</w:t>
      </w:r>
    </w:p>
    <w:p w14:paraId="5696F8FE" w14:textId="77777777" w:rsidR="00DA5167" w:rsidRDefault="00000000">
      <w:pPr>
        <w:pStyle w:val="Heading3"/>
      </w:pPr>
      <w:bookmarkStart w:id="20" w:name="_Toc221262032"/>
      <w:bookmarkStart w:id="21" w:name="ai-in-cybersecurity-operations"/>
      <w:bookmarkEnd w:id="19"/>
      <w:r>
        <w:rPr>
          <w:rStyle w:val="SectionNumber"/>
        </w:rPr>
        <w:t>1.3.4</w:t>
      </w:r>
      <w:r>
        <w:tab/>
        <w:t>AI in Cybersecurity Operations</w:t>
      </w:r>
      <w:bookmarkEnd w:id="20"/>
    </w:p>
    <w:p w14:paraId="78DB0781" w14:textId="77777777" w:rsidR="00DA5167" w:rsidRDefault="00000000">
      <w:pPr>
        <w:pStyle w:val="FirstParagraph"/>
      </w:pPr>
      <w:r>
        <w:t xml:space="preserve">Recent research has explored the application of artificial intelligence to security operations challenges. Studies demonstrate that AI-powered log analysis can identify patterns and anomalies that human analysts might miss, particularly in high-volume environments </w:t>
      </w:r>
      <w:r>
        <w:rPr>
          <w:rStyle w:val="FootnoteReference"/>
        </w:rPr>
        <w:footnoteReference w:id="21"/>
      </w:r>
      <w:r>
        <w:t>.</w:t>
      </w:r>
    </w:p>
    <w:p w14:paraId="05BBDAE6" w14:textId="77777777" w:rsidR="00DA5167" w:rsidRDefault="00000000">
      <w:pPr>
        <w:pStyle w:val="BodyText"/>
      </w:pPr>
      <w:r>
        <w:t>However, the cybersecurity community has also documented risks associated with over-reliance on AI systems, including adversarial attacks against machine learning models, bias in training data, and the potential for automated systems to create new vulnerabilities when improperly configured (Dasgupta et al., 2022</w:t>
      </w:r>
      <w:r>
        <w:rPr>
          <w:rStyle w:val="FootnoteReference"/>
        </w:rPr>
        <w:footnoteReference w:id="22"/>
      </w:r>
      <w:r>
        <w:t>).</w:t>
      </w:r>
    </w:p>
    <w:p w14:paraId="12C966C6" w14:textId="77777777" w:rsidR="00DA5167" w:rsidRDefault="00000000">
      <w:pPr>
        <w:pStyle w:val="Heading2"/>
      </w:pPr>
      <w:bookmarkStart w:id="22" w:name="_Toc221262033"/>
      <w:bookmarkStart w:id="23" w:name="X747eac73b932613449a6636cd44e4c7738cfd55"/>
      <w:bookmarkEnd w:id="13"/>
      <w:bookmarkEnd w:id="21"/>
      <w:r>
        <w:rPr>
          <w:rStyle w:val="SectionNumber"/>
        </w:rPr>
        <w:t>1.4</w:t>
      </w:r>
      <w:r>
        <w:tab/>
        <w:t>Analysis: Self-Assessment Bias in CyberHygiene Adoption</w:t>
      </w:r>
      <w:bookmarkEnd w:id="22"/>
    </w:p>
    <w:p w14:paraId="53787CC4" w14:textId="77777777" w:rsidR="00DA5167" w:rsidRDefault="00000000">
      <w:pPr>
        <w:pStyle w:val="Heading3"/>
      </w:pPr>
      <w:bookmarkStart w:id="24" w:name="_Toc221262034"/>
      <w:bookmarkStart w:id="25" w:name="the-competence-confidence-inversion"/>
      <w:r>
        <w:rPr>
          <w:rStyle w:val="SectionNumber"/>
        </w:rPr>
        <w:t>1.4.1</w:t>
      </w:r>
      <w:r>
        <w:tab/>
        <w:t>The Competence-Confidence Inversion</w:t>
      </w:r>
      <w:bookmarkEnd w:id="24"/>
    </w:p>
    <w:p w14:paraId="505745F1" w14:textId="77777777" w:rsidR="00DA5167" w:rsidRDefault="00000000">
      <w:pPr>
        <w:pStyle w:val="FirstParagraph"/>
      </w:pPr>
      <w:r>
        <w:t>Consider a hypothetical very small business, “Acme Technical Services,” seeking to compete for federal contracts. Acme has 8 employees: a founder/CEO, two engineers, an administrative assistant, and four technical specialists. The founder handles IT responsibilities in addition to business development and contracts management, having general systems administration experience but limited cybersecurity specialization.</w:t>
      </w:r>
    </w:p>
    <w:p w14:paraId="3F23071E" w14:textId="77777777" w:rsidR="00DA5167" w:rsidRDefault="00000000">
      <w:pPr>
        <w:pStyle w:val="BodyText"/>
      </w:pPr>
      <w:r>
        <w:t>Upon discovering the CyberHygiene Project while researching FAR 52.204-21 compliance, the founder observes:</w:t>
      </w:r>
    </w:p>
    <w:p w14:paraId="3DD4D833" w14:textId="77777777" w:rsidR="00DA5167" w:rsidRDefault="00000000">
      <w:pPr>
        <w:pStyle w:val="Compact"/>
        <w:numPr>
          <w:ilvl w:val="0"/>
          <w:numId w:val="47"/>
        </w:numPr>
      </w:pPr>
      <w:r>
        <w:t>Detailed documentation and deployment scripts</w:t>
      </w:r>
    </w:p>
    <w:p w14:paraId="2976EF40" w14:textId="77777777" w:rsidR="00DA5167" w:rsidRDefault="00000000">
      <w:pPr>
        <w:pStyle w:val="Compact"/>
        <w:numPr>
          <w:ilvl w:val="0"/>
          <w:numId w:val="47"/>
        </w:numPr>
      </w:pPr>
      <w:r>
        <w:t>OpenSCAP scans showing both 15/15 (FCI) and 110/110 (CUI) controls validated</w:t>
      </w:r>
    </w:p>
    <w:p w14:paraId="52C5321B" w14:textId="77777777" w:rsidR="00DA5167" w:rsidRDefault="00000000">
      <w:pPr>
        <w:pStyle w:val="Compact"/>
        <w:numPr>
          <w:ilvl w:val="0"/>
          <w:numId w:val="47"/>
        </w:numPr>
      </w:pPr>
      <w:r>
        <w:t>Hardware costs under $5,000</w:t>
      </w:r>
    </w:p>
    <w:p w14:paraId="72201710" w14:textId="77777777" w:rsidR="00DA5167" w:rsidRDefault="00000000">
      <w:pPr>
        <w:pStyle w:val="Compact"/>
        <w:numPr>
          <w:ilvl w:val="0"/>
          <w:numId w:val="47"/>
        </w:numPr>
      </w:pPr>
      <w:r>
        <w:t>Open-source software with zero licensing fees</w:t>
      </w:r>
    </w:p>
    <w:p w14:paraId="5421B82C" w14:textId="77777777" w:rsidR="00DA5167" w:rsidRDefault="00000000">
      <w:pPr>
        <w:pStyle w:val="Compact"/>
        <w:numPr>
          <w:ilvl w:val="0"/>
          <w:numId w:val="47"/>
        </w:numPr>
      </w:pPr>
      <w:r>
        <w:t>Staged implementation allowing incremental adoption</w:t>
      </w:r>
    </w:p>
    <w:p w14:paraId="2CA35776" w14:textId="77777777" w:rsidR="00DA5167" w:rsidRDefault="00000000">
      <w:pPr>
        <w:pStyle w:val="FirstParagraph"/>
      </w:pPr>
      <w:r>
        <w:t xml:space="preserve">The founder may reasonably conclude that compliance is achievable through diligent documentation following, potentially starting with the 15-control baseline for current FAR contracts while building toward the 110-control implementation for future DFARS </w:t>
      </w:r>
      <w:r>
        <w:lastRenderedPageBreak/>
        <w:t>opportunities. This conclusion, while partially correct regarding technical deployment, masks several critical gaps that are particularly acute in the VSB context:</w:t>
      </w:r>
    </w:p>
    <w:p w14:paraId="115F1DCA" w14:textId="77777777" w:rsidR="00DA5167" w:rsidRDefault="00000000">
      <w:pPr>
        <w:pStyle w:val="BodyText"/>
      </w:pPr>
      <w:r>
        <w:rPr>
          <w:b/>
          <w:bCs/>
        </w:rPr>
        <w:t>Gap 1: Configuration vs. Operation</w:t>
      </w:r>
      <w:r>
        <w:t xml:space="preserve"> Deploying Wazuh SIEM does not equal operating a security monitoring program. The CyberHygiene implementation includes 1,729 software packages</w:t>
      </w:r>
      <w:r>
        <w:rPr>
          <w:rStyle w:val="FootnoteReference"/>
        </w:rPr>
        <w:footnoteReference w:id="23"/>
      </w:r>
      <w:r>
        <w:t xml:space="preserve"> on the primary server alone. Each component requires: - Understanding of its security function - Knowledge of proper configuration - Ability to interpret alerts and logs - Competence in incident response</w:t>
      </w:r>
    </w:p>
    <w:p w14:paraId="090692A5" w14:textId="77777777" w:rsidR="00DA5167" w:rsidRDefault="00000000">
      <w:pPr>
        <w:pStyle w:val="BodyText"/>
      </w:pPr>
      <w:r>
        <w:rPr>
          <w:b/>
          <w:bCs/>
        </w:rPr>
        <w:t>Gap 2: Static Compliance vs. Dynamic Security</w:t>
      </w:r>
      <w:r>
        <w:t xml:space="preserve"> OpenSCAP validates configuration state at scan time. Security threats evolve continuously. Without understanding the “why” behind each control, administrators cannot: - Adapt configurations to emerging threats - Recognize when controls become ineffective - Implement compensating controls when primary controls fail</w:t>
      </w:r>
    </w:p>
    <w:p w14:paraId="5C3489A0" w14:textId="77777777" w:rsidR="00DA5167" w:rsidRDefault="00000000">
      <w:pPr>
        <w:pStyle w:val="BodyText"/>
      </w:pPr>
      <w:r>
        <w:rPr>
          <w:b/>
          <w:bCs/>
        </w:rPr>
        <w:t>Gap 3: Technical Controls vs. Administrative Controls</w:t>
      </w:r>
      <w:r>
        <w:t xml:space="preserve"> NIST 800-171 encompasses organizational policies, personnel security, and operational procedures that no automated tool can validate. The CyberHygiene Project explicitly notes this limitation, but adopters may conflate technical scan results with comprehensive compliance.</w:t>
      </w:r>
    </w:p>
    <w:p w14:paraId="6690961D" w14:textId="77777777" w:rsidR="00DA5167" w:rsidRDefault="00000000">
      <w:pPr>
        <w:pStyle w:val="BodyText"/>
      </w:pPr>
      <w:r>
        <w:rPr>
          <w:b/>
          <w:bCs/>
        </w:rPr>
        <w:t>Gap 4: VSB Resource Constraints</w:t>
      </w:r>
      <w:r>
        <w:t xml:space="preserve"> Very small businesses face unique challenges beyond technical implementation: - No dedicated IT staff (founder wears multiple hats, availability for security tasks is intermittent) - High turnover in small teams (institutional knowledge walks out the door when one person leaves) - Limited budget for ongoing maintenance (can afford initial deployment but not continuous improvement) - No separation of duties (same person implements controls, monitors alerts, and performs audits) - Difficulty maintaining 24/7 monitoring (business operates 8am-5pm, but threats do not)</w:t>
      </w:r>
    </w:p>
    <w:p w14:paraId="53DBD251" w14:textId="77777777" w:rsidR="00DA5167" w:rsidRDefault="00000000">
      <w:pPr>
        <w:pStyle w:val="Heading3"/>
      </w:pPr>
      <w:bookmarkStart w:id="26" w:name="_Toc221262035"/>
      <w:bookmarkStart w:id="27" w:name="quantifying-the-risk"/>
      <w:bookmarkEnd w:id="25"/>
      <w:r>
        <w:rPr>
          <w:rStyle w:val="SectionNumber"/>
        </w:rPr>
        <w:t>1.4.2</w:t>
      </w:r>
      <w:r>
        <w:tab/>
        <w:t>Quantifying the Risk</w:t>
      </w:r>
      <w:bookmarkEnd w:id="26"/>
    </w:p>
    <w:p w14:paraId="332049F7" w14:textId="77777777" w:rsidR="00DA5167" w:rsidRDefault="00000000">
      <w:pPr>
        <w:pStyle w:val="FirstParagraph"/>
      </w:pPr>
      <w:r>
        <w:t>The Dunning-Kruger effect suggests a predictable pattern:</w:t>
      </w:r>
    </w:p>
    <w:tbl>
      <w:tblPr>
        <w:tblStyle w:val="Table"/>
        <w:tblW w:w="4873" w:type="pct"/>
        <w:tblLook w:val="0020" w:firstRow="1" w:lastRow="0" w:firstColumn="0" w:lastColumn="0" w:noHBand="0" w:noVBand="0"/>
      </w:tblPr>
      <w:tblGrid>
        <w:gridCol w:w="3759"/>
        <w:gridCol w:w="4215"/>
        <w:gridCol w:w="1359"/>
      </w:tblGrid>
      <w:tr w:rsidR="00DA5167" w14:paraId="337C025E" w14:textId="77777777" w:rsidTr="00DA5167">
        <w:trPr>
          <w:cnfStyle w:val="100000000000" w:firstRow="1" w:lastRow="0" w:firstColumn="0" w:lastColumn="0" w:oddVBand="0" w:evenVBand="0" w:oddHBand="0" w:evenHBand="0" w:firstRowFirstColumn="0" w:firstRowLastColumn="0" w:lastRowFirstColumn="0" w:lastRowLastColumn="0"/>
          <w:tblHeader/>
        </w:trPr>
        <w:tc>
          <w:tcPr>
            <w:tcW w:w="0" w:type="auto"/>
          </w:tcPr>
          <w:p w14:paraId="78C248B7" w14:textId="77777777" w:rsidR="00DA5167" w:rsidRDefault="00000000">
            <w:pPr>
              <w:pStyle w:val="Compact"/>
            </w:pPr>
            <w:r>
              <w:t>Actual Competence Level</w:t>
            </w:r>
          </w:p>
        </w:tc>
        <w:tc>
          <w:tcPr>
            <w:tcW w:w="0" w:type="auto"/>
          </w:tcPr>
          <w:p w14:paraId="506C9954" w14:textId="77777777" w:rsidR="00DA5167" w:rsidRDefault="00000000">
            <w:pPr>
              <w:pStyle w:val="Compact"/>
            </w:pPr>
            <w:r>
              <w:t>Self-Assessed Competence</w:t>
            </w:r>
          </w:p>
        </w:tc>
        <w:tc>
          <w:tcPr>
            <w:tcW w:w="0" w:type="auto"/>
          </w:tcPr>
          <w:p w14:paraId="7143074D" w14:textId="77777777" w:rsidR="00DA5167" w:rsidRDefault="00000000">
            <w:pPr>
              <w:pStyle w:val="Compact"/>
            </w:pPr>
            <w:r>
              <w:t>Risk Level</w:t>
            </w:r>
          </w:p>
        </w:tc>
      </w:tr>
      <w:tr w:rsidR="00DA5167" w14:paraId="099389E6" w14:textId="77777777">
        <w:tc>
          <w:tcPr>
            <w:tcW w:w="0" w:type="auto"/>
          </w:tcPr>
          <w:p w14:paraId="3773B17B" w14:textId="77777777" w:rsidR="00DA5167" w:rsidRDefault="00000000">
            <w:pPr>
              <w:pStyle w:val="Compact"/>
            </w:pPr>
            <w:r>
              <w:t>Novice (0-20th percentile)</w:t>
            </w:r>
          </w:p>
        </w:tc>
        <w:tc>
          <w:tcPr>
            <w:tcW w:w="0" w:type="auto"/>
          </w:tcPr>
          <w:p w14:paraId="6C6C93A6" w14:textId="77777777" w:rsidR="00DA5167" w:rsidRDefault="00000000">
            <w:pPr>
              <w:pStyle w:val="Compact"/>
            </w:pPr>
            <w:r>
              <w:t>High (70-90th percentile)</w:t>
            </w:r>
          </w:p>
        </w:tc>
        <w:tc>
          <w:tcPr>
            <w:tcW w:w="0" w:type="auto"/>
          </w:tcPr>
          <w:p w14:paraId="1C692A96" w14:textId="77777777" w:rsidR="00DA5167" w:rsidRDefault="00000000">
            <w:pPr>
              <w:pStyle w:val="Compact"/>
            </w:pPr>
            <w:r>
              <w:rPr>
                <w:b/>
                <w:bCs/>
              </w:rPr>
              <w:t>Critical</w:t>
            </w:r>
          </w:p>
        </w:tc>
      </w:tr>
      <w:tr w:rsidR="00DA5167" w14:paraId="742575B5" w14:textId="77777777">
        <w:tc>
          <w:tcPr>
            <w:tcW w:w="0" w:type="auto"/>
          </w:tcPr>
          <w:p w14:paraId="7C1DE204" w14:textId="77777777" w:rsidR="00DA5167" w:rsidRDefault="00000000">
            <w:pPr>
              <w:pStyle w:val="Compact"/>
            </w:pPr>
            <w:r>
              <w:t>Beginner (20-40th percentile)</w:t>
            </w:r>
          </w:p>
        </w:tc>
        <w:tc>
          <w:tcPr>
            <w:tcW w:w="0" w:type="auto"/>
          </w:tcPr>
          <w:p w14:paraId="2174ACC4" w14:textId="77777777" w:rsidR="00DA5167" w:rsidRDefault="00000000">
            <w:pPr>
              <w:pStyle w:val="Compact"/>
            </w:pPr>
            <w:r>
              <w:t>Moderate-High (50-70th percentile)</w:t>
            </w:r>
          </w:p>
        </w:tc>
        <w:tc>
          <w:tcPr>
            <w:tcW w:w="0" w:type="auto"/>
          </w:tcPr>
          <w:p w14:paraId="141491AE" w14:textId="77777777" w:rsidR="00DA5167" w:rsidRDefault="00000000">
            <w:pPr>
              <w:pStyle w:val="Compact"/>
            </w:pPr>
            <w:r>
              <w:rPr>
                <w:b/>
                <w:bCs/>
              </w:rPr>
              <w:t>High</w:t>
            </w:r>
          </w:p>
        </w:tc>
      </w:tr>
      <w:tr w:rsidR="00DA5167" w14:paraId="73B0B23C" w14:textId="77777777">
        <w:tc>
          <w:tcPr>
            <w:tcW w:w="0" w:type="auto"/>
          </w:tcPr>
          <w:p w14:paraId="5C21951E" w14:textId="77777777" w:rsidR="00DA5167" w:rsidRDefault="00000000">
            <w:pPr>
              <w:pStyle w:val="Compact"/>
            </w:pPr>
            <w:r>
              <w:t>Competent (40-60th percentile)</w:t>
            </w:r>
          </w:p>
        </w:tc>
        <w:tc>
          <w:tcPr>
            <w:tcW w:w="0" w:type="auto"/>
          </w:tcPr>
          <w:p w14:paraId="0F627D30" w14:textId="77777777" w:rsidR="00DA5167" w:rsidRDefault="00000000">
            <w:pPr>
              <w:pStyle w:val="Compact"/>
            </w:pPr>
            <w:r>
              <w:t>Moderate (40-60th percentile)</w:t>
            </w:r>
          </w:p>
        </w:tc>
        <w:tc>
          <w:tcPr>
            <w:tcW w:w="0" w:type="auto"/>
          </w:tcPr>
          <w:p w14:paraId="50695362" w14:textId="77777777" w:rsidR="00DA5167" w:rsidRDefault="00000000">
            <w:pPr>
              <w:pStyle w:val="Compact"/>
            </w:pPr>
            <w:r>
              <w:t>Moderate</w:t>
            </w:r>
          </w:p>
        </w:tc>
      </w:tr>
      <w:tr w:rsidR="00DA5167" w14:paraId="284602CF" w14:textId="77777777">
        <w:tc>
          <w:tcPr>
            <w:tcW w:w="0" w:type="auto"/>
          </w:tcPr>
          <w:p w14:paraId="5CB2AD9E" w14:textId="77777777" w:rsidR="00DA5167" w:rsidRDefault="00000000">
            <w:pPr>
              <w:pStyle w:val="Compact"/>
            </w:pPr>
            <w:r>
              <w:t>Proficient (60-80th percentile)</w:t>
            </w:r>
          </w:p>
        </w:tc>
        <w:tc>
          <w:tcPr>
            <w:tcW w:w="0" w:type="auto"/>
          </w:tcPr>
          <w:p w14:paraId="4DBB6FF9" w14:textId="77777777" w:rsidR="00DA5167" w:rsidRDefault="00000000">
            <w:pPr>
              <w:pStyle w:val="Compact"/>
            </w:pPr>
            <w:r>
              <w:t>Moderate-Low (30-50th percentile)</w:t>
            </w:r>
          </w:p>
        </w:tc>
        <w:tc>
          <w:tcPr>
            <w:tcW w:w="0" w:type="auto"/>
          </w:tcPr>
          <w:p w14:paraId="2AC37AAD" w14:textId="77777777" w:rsidR="00DA5167" w:rsidRDefault="00000000">
            <w:pPr>
              <w:pStyle w:val="Compact"/>
            </w:pPr>
            <w:r>
              <w:t>Low</w:t>
            </w:r>
          </w:p>
        </w:tc>
      </w:tr>
      <w:tr w:rsidR="00DA5167" w14:paraId="14079EA4" w14:textId="77777777">
        <w:tc>
          <w:tcPr>
            <w:tcW w:w="0" w:type="auto"/>
          </w:tcPr>
          <w:p w14:paraId="20E68F60" w14:textId="77777777" w:rsidR="00DA5167" w:rsidRDefault="00000000">
            <w:pPr>
              <w:pStyle w:val="Compact"/>
            </w:pPr>
            <w:r>
              <w:t>Expert (80-100th percentile)</w:t>
            </w:r>
          </w:p>
        </w:tc>
        <w:tc>
          <w:tcPr>
            <w:tcW w:w="0" w:type="auto"/>
          </w:tcPr>
          <w:p w14:paraId="481716FD" w14:textId="77777777" w:rsidR="00DA5167" w:rsidRDefault="00000000">
            <w:pPr>
              <w:pStyle w:val="Compact"/>
            </w:pPr>
            <w:r>
              <w:t>Moderate (40-60th percentile)</w:t>
            </w:r>
          </w:p>
        </w:tc>
        <w:tc>
          <w:tcPr>
            <w:tcW w:w="0" w:type="auto"/>
          </w:tcPr>
          <w:p w14:paraId="38D9BBD5" w14:textId="77777777" w:rsidR="00DA5167" w:rsidRDefault="00000000">
            <w:pPr>
              <w:pStyle w:val="Compact"/>
            </w:pPr>
            <w:r>
              <w:t>Low</w:t>
            </w:r>
          </w:p>
        </w:tc>
      </w:tr>
    </w:tbl>
    <w:p w14:paraId="035DBF44" w14:textId="77777777" w:rsidR="00DA5167" w:rsidRDefault="00000000">
      <w:pPr>
        <w:pStyle w:val="BodyText"/>
      </w:pPr>
      <w:r>
        <w:lastRenderedPageBreak/>
        <w:t>Adopters most likely to attempt self-implementation—those seeking to avoid professional cybersecurity services due to cost—are statistically most likely to overestimate their capabilities.</w:t>
      </w:r>
    </w:p>
    <w:p w14:paraId="3E7F4455" w14:textId="77777777" w:rsidR="00DA5167" w:rsidRDefault="00000000">
      <w:pPr>
        <w:pStyle w:val="Heading3"/>
      </w:pPr>
      <w:bookmarkStart w:id="28" w:name="_Toc221262036"/>
      <w:bookmarkStart w:id="29" w:name="manifestations-in-practice"/>
      <w:bookmarkEnd w:id="27"/>
      <w:r>
        <w:rPr>
          <w:rStyle w:val="SectionNumber"/>
        </w:rPr>
        <w:t>1.4.3</w:t>
      </w:r>
      <w:r>
        <w:tab/>
        <w:t>Manifestations in Practice</w:t>
      </w:r>
      <w:bookmarkEnd w:id="28"/>
    </w:p>
    <w:p w14:paraId="336D464C" w14:textId="77777777" w:rsidR="00DA5167" w:rsidRDefault="00000000">
      <w:pPr>
        <w:pStyle w:val="FirstParagraph"/>
      </w:pPr>
      <w:r>
        <w:t>Self-assessment bias may manifest as:</w:t>
      </w:r>
    </w:p>
    <w:p w14:paraId="022EAE26" w14:textId="77777777" w:rsidR="00DA5167" w:rsidRDefault="00000000">
      <w:pPr>
        <w:numPr>
          <w:ilvl w:val="0"/>
          <w:numId w:val="48"/>
        </w:numPr>
      </w:pPr>
      <w:r>
        <w:rPr>
          <w:b/>
          <w:bCs/>
        </w:rPr>
        <w:t>Premature Compliance Declaration:</w:t>
      </w:r>
      <w:r>
        <w:t xml:space="preserve"> Achieving passing OpenSCAP scores and declaring compliance without establishing operational security programs.</w:t>
      </w:r>
    </w:p>
    <w:p w14:paraId="53DBA7CB" w14:textId="77777777" w:rsidR="00DA5167" w:rsidRDefault="00000000">
      <w:pPr>
        <w:numPr>
          <w:ilvl w:val="0"/>
          <w:numId w:val="48"/>
        </w:numPr>
      </w:pPr>
      <w:r>
        <w:rPr>
          <w:b/>
          <w:bCs/>
        </w:rPr>
        <w:t>Documentation Theater:</w:t>
      </w:r>
      <w:r>
        <w:t xml:space="preserve"> Creating policy documents that satisfy auditor checklists without implementing the procedures they describe. Conversely, the CyberHygiene Project’s AI-assisted documentation generation—where worksheets capture actual operational reality and AI generates corresponding policy documents—reduces this risk by ensuring documentation reflects what the organization actually does rather than aspirational statements disconnected from practice.</w:t>
      </w:r>
    </w:p>
    <w:p w14:paraId="2CC0F53C" w14:textId="77777777" w:rsidR="00DA5167" w:rsidRDefault="00000000">
      <w:pPr>
        <w:numPr>
          <w:ilvl w:val="0"/>
          <w:numId w:val="48"/>
        </w:numPr>
      </w:pPr>
      <w:r>
        <w:rPr>
          <w:b/>
          <w:bCs/>
        </w:rPr>
        <w:t>Alert Fatigue Blindness:</w:t>
      </w:r>
      <w:r>
        <w:t xml:space="preserve"> Deploying monitoring tools (Wazuh, Suricata, YARA) without understanding that uninvestigated alerts provide no security value.</w:t>
      </w:r>
    </w:p>
    <w:p w14:paraId="018CCB27" w14:textId="77777777" w:rsidR="00DA5167" w:rsidRDefault="00000000">
      <w:pPr>
        <w:numPr>
          <w:ilvl w:val="0"/>
          <w:numId w:val="48"/>
        </w:numPr>
      </w:pPr>
      <w:r>
        <w:rPr>
          <w:b/>
          <w:bCs/>
        </w:rPr>
        <w:t>Credential Management Shortcuts:</w:t>
      </w:r>
      <w:r>
        <w:t xml:space="preserve"> Implementing FreeIPA identity management while maintaining parallel local administrator accounts “for convenience.”</w:t>
      </w:r>
    </w:p>
    <w:p w14:paraId="115A4E2B" w14:textId="77777777" w:rsidR="00DA5167" w:rsidRDefault="00000000">
      <w:pPr>
        <w:numPr>
          <w:ilvl w:val="0"/>
          <w:numId w:val="48"/>
        </w:numPr>
      </w:pPr>
      <w:r>
        <w:rPr>
          <w:b/>
          <w:bCs/>
        </w:rPr>
        <w:t>Encryption Compliance Without Security:</w:t>
      </w:r>
      <w:r>
        <w:t xml:space="preserve"> Enabling LUKS disk encryption but storing decryption keys in accessible locations, achieving technical compliance while negating actual protection.</w:t>
      </w:r>
    </w:p>
    <w:p w14:paraId="50758789" w14:textId="77777777" w:rsidR="00DA5167" w:rsidRDefault="00000000">
      <w:pPr>
        <w:numPr>
          <w:ilvl w:val="0"/>
          <w:numId w:val="48"/>
        </w:numPr>
      </w:pPr>
      <w:r>
        <w:rPr>
          <w:b/>
          <w:bCs/>
        </w:rPr>
        <w:t>Staged Implementation Misunderstanding:</w:t>
      </w:r>
      <w:r>
        <w:t xml:space="preserve"> Implementing the 15-control baseline for FCI protection, then bidding on contracts involving CUI without recognizing the need for substantial additional implementation (95 more controls). The VSB mistakenly believes “we’re already NIST 800-171 compliant” when only basic safeguarding has been achieved. This error stems from conflating the contract type (FAR vs. DFARS) with the information type (FCI vs. CUI), when information sensitivity is the actual determining factor.</w:t>
      </w:r>
    </w:p>
    <w:p w14:paraId="47DD75CA" w14:textId="77777777" w:rsidR="00DA5167" w:rsidRDefault="00000000">
      <w:pPr>
        <w:pStyle w:val="Heading2"/>
      </w:pPr>
      <w:bookmarkStart w:id="30" w:name="_Toc221262037"/>
      <w:bookmarkStart w:id="31" w:name="X43053f995c566fccf95afddcc299a1f5b2b95a8"/>
      <w:bookmarkEnd w:id="23"/>
      <w:bookmarkEnd w:id="29"/>
      <w:r>
        <w:rPr>
          <w:rStyle w:val="SectionNumber"/>
        </w:rPr>
        <w:t>1.5</w:t>
      </w:r>
      <w:r>
        <w:tab/>
        <w:t>Analysis: The Layered Security Architecture</w:t>
      </w:r>
      <w:bookmarkEnd w:id="30"/>
    </w:p>
    <w:p w14:paraId="15FC8E8B" w14:textId="77777777" w:rsidR="00DA5167" w:rsidRDefault="00000000">
      <w:pPr>
        <w:pStyle w:val="Heading3"/>
      </w:pPr>
      <w:bookmarkStart w:id="32" w:name="_Toc221262038"/>
      <w:bookmarkStart w:id="33" w:name="X8490dd54f0c7934d19ba7d41d5399c3cbfec96a"/>
      <w:r>
        <w:rPr>
          <w:rStyle w:val="SectionNumber"/>
        </w:rPr>
        <w:t>1.5.1</w:t>
      </w:r>
      <w:r>
        <w:tab/>
        <w:t>Beyond the Checkbox: Understanding Defense-in-Depth</w:t>
      </w:r>
      <w:bookmarkEnd w:id="32"/>
    </w:p>
    <w:p w14:paraId="14F51AE7" w14:textId="77777777" w:rsidR="00DA5167" w:rsidRDefault="00000000">
      <w:pPr>
        <w:pStyle w:val="FirstParagraph"/>
      </w:pPr>
      <w:r>
        <w:t>The CyberHygiene documentation archives – including the Software Bill of Materials reveals a sophisticated, layered security architecture. However, to an adopter viewing compliance as a checkbox exercise, these components may appear as discrete, independent tools rather than an integrated defensive system.</w:t>
      </w:r>
    </w:p>
    <w:p w14:paraId="1A15D06F" w14:textId="77777777" w:rsidR="00DA5167" w:rsidRDefault="00000000">
      <w:pPr>
        <w:pStyle w:val="BodyText"/>
      </w:pPr>
      <w:r>
        <w:t>Consider the following architectural layers:</w:t>
      </w:r>
    </w:p>
    <w:p w14:paraId="51E9F4DC" w14:textId="77777777" w:rsidR="00DA5167" w:rsidRDefault="00000000">
      <w:pPr>
        <w:pStyle w:val="Heading4"/>
      </w:pPr>
      <w:bookmarkStart w:id="34" w:name="Xa5d68d3c2c290505f6d598713697c8448b63a0b"/>
      <w:r>
        <w:rPr>
          <w:rStyle w:val="SectionNumber"/>
        </w:rPr>
        <w:lastRenderedPageBreak/>
        <w:t>1.5.1.1</w:t>
      </w:r>
      <w:r>
        <w:tab/>
        <w:t>Layer 1: Cryptographic Foundation (FIPS 140-2</w:t>
      </w:r>
      <w:r>
        <w:rPr>
          <w:rStyle w:val="FootnoteReference"/>
        </w:rPr>
        <w:footnoteReference w:id="24"/>
      </w:r>
      <w:r>
        <w:t>)</w:t>
      </w:r>
    </w:p>
    <w:tbl>
      <w:tblPr>
        <w:tblStyle w:val="Table"/>
        <w:tblW w:w="4868" w:type="pct"/>
        <w:tblLook w:val="0020" w:firstRow="1" w:lastRow="0" w:firstColumn="0" w:lastColumn="0" w:noHBand="0" w:noVBand="0"/>
      </w:tblPr>
      <w:tblGrid>
        <w:gridCol w:w="2087"/>
        <w:gridCol w:w="3660"/>
        <w:gridCol w:w="3576"/>
      </w:tblGrid>
      <w:tr w:rsidR="00DA5167" w14:paraId="28277F3B" w14:textId="77777777" w:rsidTr="00DA5167">
        <w:trPr>
          <w:cnfStyle w:val="100000000000" w:firstRow="1" w:lastRow="0" w:firstColumn="0" w:lastColumn="0" w:oddVBand="0" w:evenVBand="0" w:oddHBand="0" w:evenHBand="0" w:firstRowFirstColumn="0" w:firstRowLastColumn="0" w:lastRowFirstColumn="0" w:lastRowLastColumn="0"/>
          <w:tblHeader/>
        </w:trPr>
        <w:tc>
          <w:tcPr>
            <w:tcW w:w="0" w:type="auto"/>
          </w:tcPr>
          <w:p w14:paraId="17638127" w14:textId="77777777" w:rsidR="00DA5167" w:rsidRDefault="00000000">
            <w:pPr>
              <w:pStyle w:val="Compact"/>
            </w:pPr>
            <w:r>
              <w:t>Component</w:t>
            </w:r>
          </w:p>
        </w:tc>
        <w:tc>
          <w:tcPr>
            <w:tcW w:w="0" w:type="auto"/>
          </w:tcPr>
          <w:p w14:paraId="5F5E77DA" w14:textId="77777777" w:rsidR="00DA5167" w:rsidRDefault="00000000">
            <w:pPr>
              <w:pStyle w:val="Compact"/>
            </w:pPr>
            <w:r>
              <w:t>Function</w:t>
            </w:r>
          </w:p>
        </w:tc>
        <w:tc>
          <w:tcPr>
            <w:tcW w:w="0" w:type="auto"/>
          </w:tcPr>
          <w:p w14:paraId="4628D95C" w14:textId="77777777" w:rsidR="00DA5167" w:rsidRDefault="00000000">
            <w:pPr>
              <w:pStyle w:val="Compact"/>
            </w:pPr>
            <w:r>
              <w:t>Interdependencies</w:t>
            </w:r>
          </w:p>
        </w:tc>
      </w:tr>
      <w:tr w:rsidR="00DA5167" w14:paraId="243EAFB7" w14:textId="77777777">
        <w:tc>
          <w:tcPr>
            <w:tcW w:w="0" w:type="auto"/>
          </w:tcPr>
          <w:p w14:paraId="0E48C7FD" w14:textId="77777777" w:rsidR="00DA5167" w:rsidRDefault="00000000">
            <w:pPr>
              <w:pStyle w:val="Compact"/>
            </w:pPr>
            <w:r>
              <w:t>OpenSSL 3.5.1</w:t>
            </w:r>
          </w:p>
        </w:tc>
        <w:tc>
          <w:tcPr>
            <w:tcW w:w="0" w:type="auto"/>
          </w:tcPr>
          <w:p w14:paraId="192CE850" w14:textId="77777777" w:rsidR="00DA5167" w:rsidRDefault="00000000">
            <w:pPr>
              <w:pStyle w:val="Compact"/>
            </w:pPr>
            <w:r>
              <w:t>TLS/SSL encryption</w:t>
            </w:r>
          </w:p>
        </w:tc>
        <w:tc>
          <w:tcPr>
            <w:tcW w:w="0" w:type="auto"/>
          </w:tcPr>
          <w:p w14:paraId="6AD90FC4" w14:textId="77777777" w:rsidR="00DA5167" w:rsidRDefault="00000000">
            <w:pPr>
              <w:pStyle w:val="Compact"/>
            </w:pPr>
            <w:r>
              <w:t>All network communications</w:t>
            </w:r>
          </w:p>
        </w:tc>
      </w:tr>
      <w:tr w:rsidR="00DA5167" w14:paraId="426069C2" w14:textId="77777777">
        <w:tc>
          <w:tcPr>
            <w:tcW w:w="0" w:type="auto"/>
          </w:tcPr>
          <w:p w14:paraId="13E7CD55" w14:textId="77777777" w:rsidR="00DA5167" w:rsidRDefault="00000000">
            <w:pPr>
              <w:pStyle w:val="Compact"/>
            </w:pPr>
            <w:r>
              <w:t>GnuTLS</w:t>
            </w:r>
          </w:p>
        </w:tc>
        <w:tc>
          <w:tcPr>
            <w:tcW w:w="0" w:type="auto"/>
          </w:tcPr>
          <w:p w14:paraId="3EBD0527" w14:textId="77777777" w:rsidR="00DA5167" w:rsidRDefault="00000000">
            <w:pPr>
              <w:pStyle w:val="Compact"/>
            </w:pPr>
            <w:r>
              <w:t>Alternative TLS implementation</w:t>
            </w:r>
          </w:p>
        </w:tc>
        <w:tc>
          <w:tcPr>
            <w:tcW w:w="0" w:type="auto"/>
          </w:tcPr>
          <w:p w14:paraId="747B89BF" w14:textId="77777777" w:rsidR="00DA5167" w:rsidRDefault="00000000">
            <w:pPr>
              <w:pStyle w:val="Compact"/>
            </w:pPr>
            <w:r>
              <w:t>Application-specific encryption</w:t>
            </w:r>
          </w:p>
        </w:tc>
      </w:tr>
      <w:tr w:rsidR="00DA5167" w14:paraId="69393B6F" w14:textId="77777777">
        <w:tc>
          <w:tcPr>
            <w:tcW w:w="0" w:type="auto"/>
          </w:tcPr>
          <w:p w14:paraId="07C61D9C" w14:textId="77777777" w:rsidR="00DA5167" w:rsidRDefault="00000000">
            <w:pPr>
              <w:pStyle w:val="Compact"/>
            </w:pPr>
            <w:r>
              <w:t>LUKS/cryptsetup</w:t>
            </w:r>
          </w:p>
        </w:tc>
        <w:tc>
          <w:tcPr>
            <w:tcW w:w="0" w:type="auto"/>
          </w:tcPr>
          <w:p w14:paraId="566A8CE3" w14:textId="77777777" w:rsidR="00DA5167" w:rsidRDefault="00000000">
            <w:pPr>
              <w:pStyle w:val="Compact"/>
            </w:pPr>
            <w:r>
              <w:t>Disk encryption</w:t>
            </w:r>
          </w:p>
        </w:tc>
        <w:tc>
          <w:tcPr>
            <w:tcW w:w="0" w:type="auto"/>
          </w:tcPr>
          <w:p w14:paraId="50ABC88A" w14:textId="77777777" w:rsidR="00DA5167" w:rsidRDefault="00000000">
            <w:pPr>
              <w:pStyle w:val="Compact"/>
            </w:pPr>
            <w:r>
              <w:t>Data-at-rest protection</w:t>
            </w:r>
          </w:p>
        </w:tc>
      </w:tr>
      <w:tr w:rsidR="00DA5167" w14:paraId="54125F70" w14:textId="77777777">
        <w:tc>
          <w:tcPr>
            <w:tcW w:w="0" w:type="auto"/>
          </w:tcPr>
          <w:p w14:paraId="53AA0157" w14:textId="77777777" w:rsidR="00DA5167" w:rsidRDefault="00000000">
            <w:pPr>
              <w:pStyle w:val="Compact"/>
            </w:pPr>
            <w:r>
              <w:t>Kerberos (krb5)</w:t>
            </w:r>
          </w:p>
        </w:tc>
        <w:tc>
          <w:tcPr>
            <w:tcW w:w="0" w:type="auto"/>
          </w:tcPr>
          <w:p w14:paraId="3C0255A6" w14:textId="77777777" w:rsidR="00DA5167" w:rsidRDefault="00000000">
            <w:pPr>
              <w:pStyle w:val="Compact"/>
            </w:pPr>
            <w:r>
              <w:t>Authentication encryption</w:t>
            </w:r>
          </w:p>
        </w:tc>
        <w:tc>
          <w:tcPr>
            <w:tcW w:w="0" w:type="auto"/>
          </w:tcPr>
          <w:p w14:paraId="409CA27D" w14:textId="77777777" w:rsidR="00DA5167" w:rsidRDefault="00000000">
            <w:pPr>
              <w:pStyle w:val="Compact"/>
            </w:pPr>
            <w:r>
              <w:t>Identity management</w:t>
            </w:r>
          </w:p>
        </w:tc>
      </w:tr>
    </w:tbl>
    <w:p w14:paraId="5FE43735" w14:textId="77777777" w:rsidR="00DA5167" w:rsidRDefault="00000000">
      <w:pPr>
        <w:pStyle w:val="BodyText"/>
      </w:pPr>
      <w:r>
        <w:rPr>
          <w:b/>
          <w:bCs/>
        </w:rPr>
        <w:t>What adopters may miss:</w:t>
      </w:r>
      <w:r>
        <w:t xml:space="preserve"> FIPS mode</w:t>
      </w:r>
      <w:r>
        <w:rPr>
          <w:rStyle w:val="FootnoteReference"/>
        </w:rPr>
        <w:footnoteReference w:id="25"/>
      </w:r>
      <w:r>
        <w:t xml:space="preserve"> is not merely a checkbox—it constrains all cryptographic operations to validated algorithms. Disabling FIPS mode for “compatibility” undermines the entire cryptographic layer.</w:t>
      </w:r>
    </w:p>
    <w:p w14:paraId="5126DF31" w14:textId="77777777" w:rsidR="00DA5167" w:rsidRDefault="00000000">
      <w:pPr>
        <w:pStyle w:val="Heading4"/>
      </w:pPr>
      <w:bookmarkStart w:id="35" w:name="layer-2-identity-and-access-management"/>
      <w:bookmarkEnd w:id="34"/>
      <w:r>
        <w:rPr>
          <w:rStyle w:val="SectionNumber"/>
        </w:rPr>
        <w:t>1.5.1.2</w:t>
      </w:r>
      <w:r>
        <w:tab/>
        <w:t>Layer 2: Identity and Access Management</w:t>
      </w:r>
    </w:p>
    <w:tbl>
      <w:tblPr>
        <w:tblStyle w:val="Table"/>
        <w:tblW w:w="4867" w:type="pct"/>
        <w:tblLook w:val="0020" w:firstRow="1" w:lastRow="0" w:firstColumn="0" w:lastColumn="0" w:noHBand="0" w:noVBand="0"/>
      </w:tblPr>
      <w:tblGrid>
        <w:gridCol w:w="1918"/>
        <w:gridCol w:w="3453"/>
        <w:gridCol w:w="3950"/>
      </w:tblGrid>
      <w:tr w:rsidR="00DA5167" w14:paraId="362984E8" w14:textId="77777777" w:rsidTr="00DA5167">
        <w:trPr>
          <w:cnfStyle w:val="100000000000" w:firstRow="1" w:lastRow="0" w:firstColumn="0" w:lastColumn="0" w:oddVBand="0" w:evenVBand="0" w:oddHBand="0" w:evenHBand="0" w:firstRowFirstColumn="0" w:firstRowLastColumn="0" w:lastRowFirstColumn="0" w:lastRowLastColumn="0"/>
          <w:tblHeader/>
        </w:trPr>
        <w:tc>
          <w:tcPr>
            <w:tcW w:w="0" w:type="auto"/>
          </w:tcPr>
          <w:p w14:paraId="5B4D4D11" w14:textId="77777777" w:rsidR="00DA5167" w:rsidRDefault="00000000">
            <w:pPr>
              <w:pStyle w:val="Compact"/>
            </w:pPr>
            <w:r>
              <w:t>Component</w:t>
            </w:r>
          </w:p>
        </w:tc>
        <w:tc>
          <w:tcPr>
            <w:tcW w:w="0" w:type="auto"/>
          </w:tcPr>
          <w:p w14:paraId="3F925F17" w14:textId="77777777" w:rsidR="00DA5167" w:rsidRDefault="00000000">
            <w:pPr>
              <w:pStyle w:val="Compact"/>
            </w:pPr>
            <w:r>
              <w:t>Function</w:t>
            </w:r>
          </w:p>
        </w:tc>
        <w:tc>
          <w:tcPr>
            <w:tcW w:w="0" w:type="auto"/>
          </w:tcPr>
          <w:p w14:paraId="6D56CDFE" w14:textId="77777777" w:rsidR="00DA5167" w:rsidRDefault="00000000">
            <w:pPr>
              <w:pStyle w:val="Compact"/>
            </w:pPr>
            <w:r>
              <w:t>Interdependencies</w:t>
            </w:r>
          </w:p>
        </w:tc>
      </w:tr>
      <w:tr w:rsidR="00DA5167" w14:paraId="567A4FCA" w14:textId="77777777">
        <w:tc>
          <w:tcPr>
            <w:tcW w:w="0" w:type="auto"/>
          </w:tcPr>
          <w:p w14:paraId="71DC86E1" w14:textId="77777777" w:rsidR="00DA5167" w:rsidRDefault="00000000">
            <w:pPr>
              <w:pStyle w:val="Compact"/>
            </w:pPr>
            <w:r>
              <w:t>FreeIPA</w:t>
            </w:r>
          </w:p>
        </w:tc>
        <w:tc>
          <w:tcPr>
            <w:tcW w:w="0" w:type="auto"/>
          </w:tcPr>
          <w:p w14:paraId="342F5455" w14:textId="77777777" w:rsidR="00DA5167" w:rsidRDefault="00000000">
            <w:pPr>
              <w:pStyle w:val="Compact"/>
            </w:pPr>
            <w:r>
              <w:t>Centralized identity</w:t>
            </w:r>
          </w:p>
        </w:tc>
        <w:tc>
          <w:tcPr>
            <w:tcW w:w="0" w:type="auto"/>
          </w:tcPr>
          <w:p w14:paraId="16C31E9E" w14:textId="77777777" w:rsidR="00DA5167" w:rsidRDefault="00000000">
            <w:pPr>
              <w:pStyle w:val="Compact"/>
            </w:pPr>
            <w:r>
              <w:t>All authentication</w:t>
            </w:r>
          </w:p>
        </w:tc>
      </w:tr>
      <w:tr w:rsidR="00DA5167" w14:paraId="4D70687C" w14:textId="77777777">
        <w:tc>
          <w:tcPr>
            <w:tcW w:w="0" w:type="auto"/>
          </w:tcPr>
          <w:p w14:paraId="2D53E1A9" w14:textId="77777777" w:rsidR="00DA5167" w:rsidRDefault="00000000">
            <w:pPr>
              <w:pStyle w:val="Compact"/>
            </w:pPr>
            <w:r>
              <w:t>389-ds-base</w:t>
            </w:r>
          </w:p>
        </w:tc>
        <w:tc>
          <w:tcPr>
            <w:tcW w:w="0" w:type="auto"/>
          </w:tcPr>
          <w:p w14:paraId="0604CBBE" w14:textId="77777777" w:rsidR="00DA5167" w:rsidRDefault="00000000">
            <w:pPr>
              <w:pStyle w:val="Compact"/>
            </w:pPr>
            <w:r>
              <w:t>LDAP directory</w:t>
            </w:r>
          </w:p>
        </w:tc>
        <w:tc>
          <w:tcPr>
            <w:tcW w:w="0" w:type="auto"/>
          </w:tcPr>
          <w:p w14:paraId="0108E61C" w14:textId="77777777" w:rsidR="00DA5167" w:rsidRDefault="00000000">
            <w:pPr>
              <w:pStyle w:val="Compact"/>
            </w:pPr>
            <w:r>
              <w:t>User/group storage</w:t>
            </w:r>
          </w:p>
        </w:tc>
      </w:tr>
      <w:tr w:rsidR="00DA5167" w14:paraId="7BE55262" w14:textId="77777777">
        <w:tc>
          <w:tcPr>
            <w:tcW w:w="0" w:type="auto"/>
          </w:tcPr>
          <w:p w14:paraId="6C652C3F" w14:textId="77777777" w:rsidR="00DA5167" w:rsidRDefault="00000000">
            <w:pPr>
              <w:pStyle w:val="Compact"/>
            </w:pPr>
            <w:r>
              <w:t>SSSD</w:t>
            </w:r>
          </w:p>
        </w:tc>
        <w:tc>
          <w:tcPr>
            <w:tcW w:w="0" w:type="auto"/>
          </w:tcPr>
          <w:p w14:paraId="005F51F8" w14:textId="77777777" w:rsidR="00DA5167" w:rsidRDefault="00000000">
            <w:pPr>
              <w:pStyle w:val="Compact"/>
            </w:pPr>
            <w:r>
              <w:t>Authentication daemon</w:t>
            </w:r>
          </w:p>
        </w:tc>
        <w:tc>
          <w:tcPr>
            <w:tcW w:w="0" w:type="auto"/>
          </w:tcPr>
          <w:p w14:paraId="63D84BEB" w14:textId="77777777" w:rsidR="00DA5167" w:rsidRDefault="00000000">
            <w:pPr>
              <w:pStyle w:val="Compact"/>
            </w:pPr>
            <w:r>
              <w:t>Workstation authentication</w:t>
            </w:r>
          </w:p>
        </w:tc>
      </w:tr>
      <w:tr w:rsidR="00DA5167" w14:paraId="634B7B4E" w14:textId="77777777">
        <w:tc>
          <w:tcPr>
            <w:tcW w:w="0" w:type="auto"/>
          </w:tcPr>
          <w:p w14:paraId="279663ED" w14:textId="77777777" w:rsidR="00DA5167" w:rsidRDefault="00000000">
            <w:pPr>
              <w:pStyle w:val="Compact"/>
            </w:pPr>
            <w:r>
              <w:t>Certmonger</w:t>
            </w:r>
          </w:p>
        </w:tc>
        <w:tc>
          <w:tcPr>
            <w:tcW w:w="0" w:type="auto"/>
          </w:tcPr>
          <w:p w14:paraId="4F844B58" w14:textId="77777777" w:rsidR="00DA5167" w:rsidRDefault="00000000">
            <w:pPr>
              <w:pStyle w:val="Compact"/>
            </w:pPr>
            <w:r>
              <w:t>Certificate management</w:t>
            </w:r>
          </w:p>
        </w:tc>
        <w:tc>
          <w:tcPr>
            <w:tcW w:w="0" w:type="auto"/>
          </w:tcPr>
          <w:p w14:paraId="214B5D6A" w14:textId="77777777" w:rsidR="00DA5167" w:rsidRDefault="00000000">
            <w:pPr>
              <w:pStyle w:val="Compact"/>
            </w:pPr>
            <w:r>
              <w:t>TLS certificates</w:t>
            </w:r>
          </w:p>
        </w:tc>
      </w:tr>
    </w:tbl>
    <w:p w14:paraId="61C64A55" w14:textId="77777777" w:rsidR="00DA5167" w:rsidRDefault="00000000">
      <w:pPr>
        <w:pStyle w:val="BodyText"/>
      </w:pPr>
      <w:r>
        <w:rPr>
          <w:b/>
          <w:bCs/>
        </w:rPr>
        <w:t>What adopters may miss:</w:t>
      </w:r>
      <w:r>
        <w:t xml:space="preserve"> Centralized identity enables the “single source of truth” principle. Local accounts bypass this architecture entirely, creating authentication gaps invisible to central monitoring.</w:t>
      </w:r>
    </w:p>
    <w:p w14:paraId="0F1E8768" w14:textId="77777777" w:rsidR="00DA5167" w:rsidRDefault="00000000">
      <w:pPr>
        <w:pStyle w:val="Heading4"/>
      </w:pPr>
      <w:bookmarkStart w:id="36" w:name="layer-3-mandatory-access-control"/>
      <w:bookmarkEnd w:id="35"/>
      <w:r>
        <w:rPr>
          <w:rStyle w:val="SectionNumber"/>
        </w:rPr>
        <w:t>1.5.1.3</w:t>
      </w:r>
      <w:r>
        <w:tab/>
        <w:t>Layer 3: Mandatory Access Control</w:t>
      </w:r>
    </w:p>
    <w:tbl>
      <w:tblPr>
        <w:tblStyle w:val="Table"/>
        <w:tblW w:w="4867" w:type="pct"/>
        <w:tblLook w:val="0020" w:firstRow="1" w:lastRow="0" w:firstColumn="0" w:lastColumn="0" w:noHBand="0" w:noVBand="0"/>
      </w:tblPr>
      <w:tblGrid>
        <w:gridCol w:w="2458"/>
        <w:gridCol w:w="3530"/>
        <w:gridCol w:w="3333"/>
      </w:tblGrid>
      <w:tr w:rsidR="00DA5167" w14:paraId="00EBC93E" w14:textId="77777777" w:rsidTr="00DA5167">
        <w:trPr>
          <w:cnfStyle w:val="100000000000" w:firstRow="1" w:lastRow="0" w:firstColumn="0" w:lastColumn="0" w:oddVBand="0" w:evenVBand="0" w:oddHBand="0" w:evenHBand="0" w:firstRowFirstColumn="0" w:firstRowLastColumn="0" w:lastRowFirstColumn="0" w:lastRowLastColumn="0"/>
          <w:tblHeader/>
        </w:trPr>
        <w:tc>
          <w:tcPr>
            <w:tcW w:w="0" w:type="auto"/>
          </w:tcPr>
          <w:p w14:paraId="213D632C" w14:textId="77777777" w:rsidR="00DA5167" w:rsidRDefault="00000000">
            <w:pPr>
              <w:pStyle w:val="Compact"/>
            </w:pPr>
            <w:r>
              <w:t>Component</w:t>
            </w:r>
          </w:p>
        </w:tc>
        <w:tc>
          <w:tcPr>
            <w:tcW w:w="0" w:type="auto"/>
          </w:tcPr>
          <w:p w14:paraId="4B123FEA" w14:textId="77777777" w:rsidR="00DA5167" w:rsidRDefault="00000000">
            <w:pPr>
              <w:pStyle w:val="Compact"/>
            </w:pPr>
            <w:r>
              <w:t>Function</w:t>
            </w:r>
          </w:p>
        </w:tc>
        <w:tc>
          <w:tcPr>
            <w:tcW w:w="0" w:type="auto"/>
          </w:tcPr>
          <w:p w14:paraId="162ABEF0" w14:textId="77777777" w:rsidR="00DA5167" w:rsidRDefault="00000000">
            <w:pPr>
              <w:pStyle w:val="Compact"/>
            </w:pPr>
            <w:r>
              <w:t>Interdependencies</w:t>
            </w:r>
          </w:p>
        </w:tc>
      </w:tr>
      <w:tr w:rsidR="00DA5167" w14:paraId="0EDFACCF" w14:textId="77777777">
        <w:tc>
          <w:tcPr>
            <w:tcW w:w="0" w:type="auto"/>
          </w:tcPr>
          <w:p w14:paraId="70941102" w14:textId="77777777" w:rsidR="00DA5167" w:rsidRDefault="00000000">
            <w:pPr>
              <w:pStyle w:val="Compact"/>
            </w:pPr>
            <w:r>
              <w:t>SELinux</w:t>
            </w:r>
          </w:p>
        </w:tc>
        <w:tc>
          <w:tcPr>
            <w:tcW w:w="0" w:type="auto"/>
          </w:tcPr>
          <w:p w14:paraId="7B5D707C" w14:textId="77777777" w:rsidR="00DA5167" w:rsidRDefault="00000000">
            <w:pPr>
              <w:pStyle w:val="Compact"/>
            </w:pPr>
            <w:r>
              <w:t>Mandatory access control</w:t>
            </w:r>
          </w:p>
        </w:tc>
        <w:tc>
          <w:tcPr>
            <w:tcW w:w="0" w:type="auto"/>
          </w:tcPr>
          <w:p w14:paraId="4AB14CE4" w14:textId="77777777" w:rsidR="00DA5167" w:rsidRDefault="00000000">
            <w:pPr>
              <w:pStyle w:val="Compact"/>
            </w:pPr>
            <w:r>
              <w:t>All process confinement</w:t>
            </w:r>
          </w:p>
        </w:tc>
      </w:tr>
      <w:tr w:rsidR="00DA5167" w14:paraId="63339114" w14:textId="77777777">
        <w:tc>
          <w:tcPr>
            <w:tcW w:w="0" w:type="auto"/>
          </w:tcPr>
          <w:p w14:paraId="35F53CD8" w14:textId="77777777" w:rsidR="00DA5167" w:rsidRDefault="00000000">
            <w:pPr>
              <w:pStyle w:val="Compact"/>
            </w:pPr>
            <w:r>
              <w:t>fapolicyd</w:t>
            </w:r>
          </w:p>
        </w:tc>
        <w:tc>
          <w:tcPr>
            <w:tcW w:w="0" w:type="auto"/>
          </w:tcPr>
          <w:p w14:paraId="1C2BF46D" w14:textId="77777777" w:rsidR="00DA5167" w:rsidRDefault="00000000">
            <w:pPr>
              <w:pStyle w:val="Compact"/>
            </w:pPr>
            <w:r>
              <w:t>Application whitelisting</w:t>
            </w:r>
          </w:p>
        </w:tc>
        <w:tc>
          <w:tcPr>
            <w:tcW w:w="0" w:type="auto"/>
          </w:tcPr>
          <w:p w14:paraId="5D4CB7C9" w14:textId="77777777" w:rsidR="00DA5167" w:rsidRDefault="00000000">
            <w:pPr>
              <w:pStyle w:val="Compact"/>
            </w:pPr>
            <w:r>
              <w:t>Execution control</w:t>
            </w:r>
          </w:p>
        </w:tc>
      </w:tr>
      <w:tr w:rsidR="00DA5167" w14:paraId="737B8336" w14:textId="77777777">
        <w:tc>
          <w:tcPr>
            <w:tcW w:w="0" w:type="auto"/>
          </w:tcPr>
          <w:p w14:paraId="4C519E28" w14:textId="77777777" w:rsidR="00DA5167" w:rsidRDefault="00000000">
            <w:pPr>
              <w:pStyle w:val="Compact"/>
            </w:pPr>
            <w:r>
              <w:t>Audit framework</w:t>
            </w:r>
          </w:p>
        </w:tc>
        <w:tc>
          <w:tcPr>
            <w:tcW w:w="0" w:type="auto"/>
          </w:tcPr>
          <w:p w14:paraId="722D41F7" w14:textId="77777777" w:rsidR="00DA5167" w:rsidRDefault="00000000">
            <w:pPr>
              <w:pStyle w:val="Compact"/>
            </w:pPr>
            <w:r>
              <w:t>System call logging</w:t>
            </w:r>
          </w:p>
        </w:tc>
        <w:tc>
          <w:tcPr>
            <w:tcW w:w="0" w:type="auto"/>
          </w:tcPr>
          <w:p w14:paraId="4D488DFA" w14:textId="77777777" w:rsidR="00DA5167" w:rsidRDefault="00000000">
            <w:pPr>
              <w:pStyle w:val="Compact"/>
            </w:pPr>
            <w:r>
              <w:t>Forensic capability</w:t>
            </w:r>
          </w:p>
        </w:tc>
      </w:tr>
    </w:tbl>
    <w:p w14:paraId="6465B530" w14:textId="77777777" w:rsidR="00DA5167" w:rsidRDefault="00000000">
      <w:pPr>
        <w:pStyle w:val="BodyText"/>
      </w:pPr>
      <w:r>
        <w:rPr>
          <w:b/>
          <w:bCs/>
        </w:rPr>
        <w:t>What adopters may miss:</w:t>
      </w:r>
      <w:r>
        <w:t xml:space="preserve"> SELinux denials are not “errors to be fixed” but security boundaries being enforced. Switching to permissive mode to “resolve issues” eliminates an entire security layer.</w:t>
      </w:r>
    </w:p>
    <w:p w14:paraId="2CE4D4F8" w14:textId="77777777" w:rsidR="00DA5167" w:rsidRDefault="00000000">
      <w:pPr>
        <w:pStyle w:val="Heading4"/>
      </w:pPr>
      <w:bookmarkStart w:id="37" w:name="X26ec2d1b7fa8dc00f1f7af2b1802bd9da272365"/>
      <w:bookmarkEnd w:id="36"/>
      <w:r>
        <w:rPr>
          <w:rStyle w:val="SectionNumber"/>
        </w:rPr>
        <w:t>1.5.1.4</w:t>
      </w:r>
      <w:r>
        <w:tab/>
        <w:t>Layer 4: Security Monitoring and Detection</w:t>
      </w:r>
    </w:p>
    <w:tbl>
      <w:tblPr>
        <w:tblStyle w:val="Table"/>
        <w:tblW w:w="4865" w:type="pct"/>
        <w:tblLook w:val="0020" w:firstRow="1" w:lastRow="0" w:firstColumn="0" w:lastColumn="0" w:noHBand="0" w:noVBand="0"/>
      </w:tblPr>
      <w:tblGrid>
        <w:gridCol w:w="2491"/>
        <w:gridCol w:w="3236"/>
        <w:gridCol w:w="3590"/>
      </w:tblGrid>
      <w:tr w:rsidR="00DA5167" w14:paraId="2A913C78" w14:textId="77777777" w:rsidTr="00DA5167">
        <w:trPr>
          <w:cnfStyle w:val="100000000000" w:firstRow="1" w:lastRow="0" w:firstColumn="0" w:lastColumn="0" w:oddVBand="0" w:evenVBand="0" w:oddHBand="0" w:evenHBand="0" w:firstRowFirstColumn="0" w:firstRowLastColumn="0" w:lastRowFirstColumn="0" w:lastRowLastColumn="0"/>
          <w:tblHeader/>
        </w:trPr>
        <w:tc>
          <w:tcPr>
            <w:tcW w:w="0" w:type="auto"/>
          </w:tcPr>
          <w:p w14:paraId="61CB0276" w14:textId="77777777" w:rsidR="00DA5167" w:rsidRDefault="00000000">
            <w:pPr>
              <w:pStyle w:val="Compact"/>
            </w:pPr>
            <w:r>
              <w:t>Component</w:t>
            </w:r>
          </w:p>
        </w:tc>
        <w:tc>
          <w:tcPr>
            <w:tcW w:w="0" w:type="auto"/>
          </w:tcPr>
          <w:p w14:paraId="442A56F0" w14:textId="77777777" w:rsidR="00DA5167" w:rsidRDefault="00000000">
            <w:pPr>
              <w:pStyle w:val="Compact"/>
            </w:pPr>
            <w:r>
              <w:t>Function</w:t>
            </w:r>
          </w:p>
        </w:tc>
        <w:tc>
          <w:tcPr>
            <w:tcW w:w="0" w:type="auto"/>
          </w:tcPr>
          <w:p w14:paraId="27560882" w14:textId="77777777" w:rsidR="00DA5167" w:rsidRDefault="00000000">
            <w:pPr>
              <w:pStyle w:val="Compact"/>
            </w:pPr>
            <w:r>
              <w:t>Interdependencies</w:t>
            </w:r>
          </w:p>
        </w:tc>
      </w:tr>
      <w:tr w:rsidR="00DA5167" w14:paraId="5E1245A0" w14:textId="77777777">
        <w:tc>
          <w:tcPr>
            <w:tcW w:w="0" w:type="auto"/>
          </w:tcPr>
          <w:p w14:paraId="20C987E2" w14:textId="77777777" w:rsidR="00DA5167" w:rsidRDefault="00000000">
            <w:pPr>
              <w:pStyle w:val="Compact"/>
            </w:pPr>
            <w:r>
              <w:t>Wazuh Manager</w:t>
            </w:r>
          </w:p>
        </w:tc>
        <w:tc>
          <w:tcPr>
            <w:tcW w:w="0" w:type="auto"/>
          </w:tcPr>
          <w:p w14:paraId="6E6EBD18" w14:textId="77777777" w:rsidR="00DA5167" w:rsidRDefault="00000000">
            <w:pPr>
              <w:pStyle w:val="Compact"/>
            </w:pPr>
            <w:r>
              <w:t>SIEM/log aggregation</w:t>
            </w:r>
          </w:p>
        </w:tc>
        <w:tc>
          <w:tcPr>
            <w:tcW w:w="0" w:type="auto"/>
          </w:tcPr>
          <w:p w14:paraId="29593350" w14:textId="77777777" w:rsidR="00DA5167" w:rsidRDefault="00000000">
            <w:pPr>
              <w:pStyle w:val="Compact"/>
            </w:pPr>
            <w:r>
              <w:t>All security events</w:t>
            </w:r>
          </w:p>
        </w:tc>
      </w:tr>
      <w:tr w:rsidR="00DA5167" w14:paraId="45ED359B" w14:textId="77777777">
        <w:tc>
          <w:tcPr>
            <w:tcW w:w="0" w:type="auto"/>
          </w:tcPr>
          <w:p w14:paraId="7E05E27D" w14:textId="77777777" w:rsidR="00DA5167" w:rsidRDefault="00000000">
            <w:pPr>
              <w:pStyle w:val="Compact"/>
            </w:pPr>
            <w:r>
              <w:lastRenderedPageBreak/>
              <w:t>Suricata</w:t>
            </w:r>
          </w:p>
        </w:tc>
        <w:tc>
          <w:tcPr>
            <w:tcW w:w="0" w:type="auto"/>
          </w:tcPr>
          <w:p w14:paraId="42CECDAC" w14:textId="77777777" w:rsidR="00DA5167" w:rsidRDefault="00000000">
            <w:pPr>
              <w:pStyle w:val="Compact"/>
            </w:pPr>
            <w:r>
              <w:t>Network IDS</w:t>
            </w:r>
          </w:p>
        </w:tc>
        <w:tc>
          <w:tcPr>
            <w:tcW w:w="0" w:type="auto"/>
          </w:tcPr>
          <w:p w14:paraId="12B5077E" w14:textId="77777777" w:rsidR="00DA5167" w:rsidRDefault="00000000">
            <w:pPr>
              <w:pStyle w:val="Compact"/>
            </w:pPr>
            <w:r>
              <w:t>Threat detection</w:t>
            </w:r>
          </w:p>
        </w:tc>
      </w:tr>
      <w:tr w:rsidR="00DA5167" w14:paraId="27F5271D" w14:textId="77777777">
        <w:tc>
          <w:tcPr>
            <w:tcW w:w="0" w:type="auto"/>
          </w:tcPr>
          <w:p w14:paraId="382E4411" w14:textId="77777777" w:rsidR="00DA5167" w:rsidRDefault="00000000">
            <w:pPr>
              <w:pStyle w:val="Compact"/>
            </w:pPr>
            <w:r>
              <w:t>YARA</w:t>
            </w:r>
          </w:p>
        </w:tc>
        <w:tc>
          <w:tcPr>
            <w:tcW w:w="0" w:type="auto"/>
          </w:tcPr>
          <w:p w14:paraId="61F601F6" w14:textId="77777777" w:rsidR="00DA5167" w:rsidRDefault="00000000">
            <w:pPr>
              <w:pStyle w:val="Compact"/>
            </w:pPr>
            <w:r>
              <w:t>Malware detection</w:t>
            </w:r>
          </w:p>
        </w:tc>
        <w:tc>
          <w:tcPr>
            <w:tcW w:w="0" w:type="auto"/>
          </w:tcPr>
          <w:p w14:paraId="35B626A4" w14:textId="77777777" w:rsidR="00DA5167" w:rsidRDefault="00000000">
            <w:pPr>
              <w:pStyle w:val="Compact"/>
            </w:pPr>
            <w:r>
              <w:t>File analysis</w:t>
            </w:r>
          </w:p>
        </w:tc>
      </w:tr>
      <w:tr w:rsidR="00DA5167" w14:paraId="110DF810" w14:textId="77777777">
        <w:tc>
          <w:tcPr>
            <w:tcW w:w="0" w:type="auto"/>
          </w:tcPr>
          <w:p w14:paraId="02EA4C98" w14:textId="77777777" w:rsidR="00DA5167" w:rsidRDefault="00000000">
            <w:pPr>
              <w:pStyle w:val="Compact"/>
            </w:pPr>
            <w:r>
              <w:t>OpenSCAP</w:t>
            </w:r>
          </w:p>
        </w:tc>
        <w:tc>
          <w:tcPr>
            <w:tcW w:w="0" w:type="auto"/>
          </w:tcPr>
          <w:p w14:paraId="71891A83" w14:textId="77777777" w:rsidR="00DA5167" w:rsidRDefault="00000000">
            <w:pPr>
              <w:pStyle w:val="Compact"/>
            </w:pPr>
            <w:r>
              <w:t>Compliance scanning</w:t>
            </w:r>
          </w:p>
        </w:tc>
        <w:tc>
          <w:tcPr>
            <w:tcW w:w="0" w:type="auto"/>
          </w:tcPr>
          <w:p w14:paraId="33CB15BE" w14:textId="77777777" w:rsidR="00DA5167" w:rsidRDefault="00000000">
            <w:pPr>
              <w:pStyle w:val="Compact"/>
            </w:pPr>
            <w:r>
              <w:t>Configuration validation</w:t>
            </w:r>
          </w:p>
        </w:tc>
      </w:tr>
      <w:tr w:rsidR="00DA5167" w14:paraId="3F256DCA" w14:textId="77777777">
        <w:tc>
          <w:tcPr>
            <w:tcW w:w="0" w:type="auto"/>
          </w:tcPr>
          <w:p w14:paraId="5FF22FB7" w14:textId="77777777" w:rsidR="00DA5167" w:rsidRDefault="00000000">
            <w:pPr>
              <w:pStyle w:val="Compact"/>
            </w:pPr>
            <w:r>
              <w:t>Graylog</w:t>
            </w:r>
          </w:p>
        </w:tc>
        <w:tc>
          <w:tcPr>
            <w:tcW w:w="0" w:type="auto"/>
          </w:tcPr>
          <w:p w14:paraId="691D5845" w14:textId="77777777" w:rsidR="00DA5167" w:rsidRDefault="00000000">
            <w:pPr>
              <w:pStyle w:val="Compact"/>
            </w:pPr>
            <w:r>
              <w:t>Log management</w:t>
            </w:r>
          </w:p>
        </w:tc>
        <w:tc>
          <w:tcPr>
            <w:tcW w:w="0" w:type="auto"/>
          </w:tcPr>
          <w:p w14:paraId="25D03246" w14:textId="77777777" w:rsidR="00DA5167" w:rsidRDefault="00000000">
            <w:pPr>
              <w:pStyle w:val="Compact"/>
            </w:pPr>
            <w:r>
              <w:t>Long-term retention</w:t>
            </w:r>
          </w:p>
        </w:tc>
      </w:tr>
      <w:tr w:rsidR="00DA5167" w14:paraId="4CBADF17" w14:textId="77777777">
        <w:tc>
          <w:tcPr>
            <w:tcW w:w="0" w:type="auto"/>
          </w:tcPr>
          <w:p w14:paraId="19F1A75E" w14:textId="77777777" w:rsidR="00DA5167" w:rsidRDefault="00000000">
            <w:pPr>
              <w:pStyle w:val="Compact"/>
            </w:pPr>
            <w:r>
              <w:t>Grafana</w:t>
            </w:r>
          </w:p>
        </w:tc>
        <w:tc>
          <w:tcPr>
            <w:tcW w:w="0" w:type="auto"/>
          </w:tcPr>
          <w:p w14:paraId="66AE717A" w14:textId="77777777" w:rsidR="00DA5167" w:rsidRDefault="00000000">
            <w:pPr>
              <w:pStyle w:val="Compact"/>
            </w:pPr>
            <w:r>
              <w:t>Visualization</w:t>
            </w:r>
          </w:p>
        </w:tc>
        <w:tc>
          <w:tcPr>
            <w:tcW w:w="0" w:type="auto"/>
          </w:tcPr>
          <w:p w14:paraId="4D44353A" w14:textId="77777777" w:rsidR="00DA5167" w:rsidRDefault="00000000">
            <w:pPr>
              <w:pStyle w:val="Compact"/>
            </w:pPr>
            <w:r>
              <w:t>Operational awareness</w:t>
            </w:r>
          </w:p>
        </w:tc>
      </w:tr>
    </w:tbl>
    <w:p w14:paraId="380D5A36" w14:textId="77777777" w:rsidR="00DA5167" w:rsidRDefault="00000000">
      <w:pPr>
        <w:pStyle w:val="BodyText"/>
      </w:pPr>
      <w:r>
        <w:rPr>
          <w:b/>
          <w:bCs/>
        </w:rPr>
        <w:t>What adopters may miss:</w:t>
      </w:r>
      <w:r>
        <w:t xml:space="preserve"> These tools generate data. Without human analysis, they provide no security value. A Wazuh deployment generating 10,000 daily alerts that no one reviews is security theater. The CyberHygiene architecture addresses this through Local AI integration on a separate, air-gapped subnet that analyzes logs without exposing CUI to external networks.</w:t>
      </w:r>
    </w:p>
    <w:p w14:paraId="734A8FD2" w14:textId="77777777" w:rsidR="00DA5167" w:rsidRDefault="00000000">
      <w:pPr>
        <w:pStyle w:val="Heading4"/>
      </w:pPr>
      <w:bookmarkStart w:id="38" w:name="layer-5-network-security"/>
      <w:bookmarkEnd w:id="37"/>
      <w:r>
        <w:rPr>
          <w:rStyle w:val="SectionNumber"/>
        </w:rPr>
        <w:t>1.5.1.5</w:t>
      </w:r>
      <w:r>
        <w:tab/>
        <w:t>Layer 5: Network Security</w:t>
      </w:r>
    </w:p>
    <w:tbl>
      <w:tblPr>
        <w:tblStyle w:val="Table"/>
        <w:tblW w:w="4867" w:type="pct"/>
        <w:tblLook w:val="0020" w:firstRow="1" w:lastRow="0" w:firstColumn="0" w:lastColumn="0" w:noHBand="0" w:noVBand="0"/>
      </w:tblPr>
      <w:tblGrid>
        <w:gridCol w:w="2497"/>
        <w:gridCol w:w="3201"/>
        <w:gridCol w:w="3623"/>
      </w:tblGrid>
      <w:tr w:rsidR="00DA5167" w14:paraId="208B698B" w14:textId="77777777" w:rsidTr="00DA5167">
        <w:trPr>
          <w:cnfStyle w:val="100000000000" w:firstRow="1" w:lastRow="0" w:firstColumn="0" w:lastColumn="0" w:oddVBand="0" w:evenVBand="0" w:oddHBand="0" w:evenHBand="0" w:firstRowFirstColumn="0" w:firstRowLastColumn="0" w:lastRowFirstColumn="0" w:lastRowLastColumn="0"/>
          <w:tblHeader/>
        </w:trPr>
        <w:tc>
          <w:tcPr>
            <w:tcW w:w="0" w:type="auto"/>
          </w:tcPr>
          <w:p w14:paraId="0E7C7310" w14:textId="77777777" w:rsidR="00DA5167" w:rsidRDefault="00000000">
            <w:pPr>
              <w:pStyle w:val="Compact"/>
            </w:pPr>
            <w:r>
              <w:t>Component</w:t>
            </w:r>
          </w:p>
        </w:tc>
        <w:tc>
          <w:tcPr>
            <w:tcW w:w="0" w:type="auto"/>
          </w:tcPr>
          <w:p w14:paraId="5756E562" w14:textId="77777777" w:rsidR="00DA5167" w:rsidRDefault="00000000">
            <w:pPr>
              <w:pStyle w:val="Compact"/>
            </w:pPr>
            <w:r>
              <w:t>Function</w:t>
            </w:r>
          </w:p>
        </w:tc>
        <w:tc>
          <w:tcPr>
            <w:tcW w:w="0" w:type="auto"/>
          </w:tcPr>
          <w:p w14:paraId="3BAABFC3" w14:textId="77777777" w:rsidR="00DA5167" w:rsidRDefault="00000000">
            <w:pPr>
              <w:pStyle w:val="Compact"/>
            </w:pPr>
            <w:r>
              <w:t>Interdependencies</w:t>
            </w:r>
          </w:p>
        </w:tc>
      </w:tr>
      <w:tr w:rsidR="00DA5167" w14:paraId="798019F9" w14:textId="77777777">
        <w:tc>
          <w:tcPr>
            <w:tcW w:w="0" w:type="auto"/>
          </w:tcPr>
          <w:p w14:paraId="1F5CBAD6" w14:textId="77777777" w:rsidR="00DA5167" w:rsidRDefault="00000000">
            <w:pPr>
              <w:pStyle w:val="Compact"/>
            </w:pPr>
            <w:r>
              <w:t>firewalld</w:t>
            </w:r>
          </w:p>
        </w:tc>
        <w:tc>
          <w:tcPr>
            <w:tcW w:w="0" w:type="auto"/>
          </w:tcPr>
          <w:p w14:paraId="43786634" w14:textId="77777777" w:rsidR="00DA5167" w:rsidRDefault="00000000">
            <w:pPr>
              <w:pStyle w:val="Compact"/>
            </w:pPr>
            <w:r>
              <w:t>Host firewall</w:t>
            </w:r>
          </w:p>
        </w:tc>
        <w:tc>
          <w:tcPr>
            <w:tcW w:w="0" w:type="auto"/>
          </w:tcPr>
          <w:p w14:paraId="7CF5B726" w14:textId="77777777" w:rsidR="00DA5167" w:rsidRDefault="00000000">
            <w:pPr>
              <w:pStyle w:val="Compact"/>
            </w:pPr>
            <w:r>
              <w:t>Network segmentation</w:t>
            </w:r>
          </w:p>
        </w:tc>
      </w:tr>
      <w:tr w:rsidR="00DA5167" w14:paraId="1351E5B4" w14:textId="77777777">
        <w:tc>
          <w:tcPr>
            <w:tcW w:w="0" w:type="auto"/>
          </w:tcPr>
          <w:p w14:paraId="42715853" w14:textId="77777777" w:rsidR="00DA5167" w:rsidRDefault="00000000">
            <w:pPr>
              <w:pStyle w:val="Compact"/>
            </w:pPr>
            <w:r>
              <w:t>Apache mod_ssl</w:t>
            </w:r>
          </w:p>
        </w:tc>
        <w:tc>
          <w:tcPr>
            <w:tcW w:w="0" w:type="auto"/>
          </w:tcPr>
          <w:p w14:paraId="11562D2A" w14:textId="77777777" w:rsidR="00DA5167" w:rsidRDefault="00000000">
            <w:pPr>
              <w:pStyle w:val="Compact"/>
            </w:pPr>
            <w:r>
              <w:t>Web TLS termination</w:t>
            </w:r>
          </w:p>
        </w:tc>
        <w:tc>
          <w:tcPr>
            <w:tcW w:w="0" w:type="auto"/>
          </w:tcPr>
          <w:p w14:paraId="320F62E6" w14:textId="77777777" w:rsidR="00DA5167" w:rsidRDefault="00000000">
            <w:pPr>
              <w:pStyle w:val="Compact"/>
            </w:pPr>
            <w:r>
              <w:t>HTTPS enforcement</w:t>
            </w:r>
          </w:p>
        </w:tc>
      </w:tr>
      <w:tr w:rsidR="00DA5167" w14:paraId="7B4B2F1C" w14:textId="77777777">
        <w:tc>
          <w:tcPr>
            <w:tcW w:w="0" w:type="auto"/>
          </w:tcPr>
          <w:p w14:paraId="47E5DD31" w14:textId="77777777" w:rsidR="00DA5167" w:rsidRDefault="00000000">
            <w:pPr>
              <w:pStyle w:val="Compact"/>
            </w:pPr>
            <w:r>
              <w:t>Postfix/Dovecot</w:t>
            </w:r>
          </w:p>
        </w:tc>
        <w:tc>
          <w:tcPr>
            <w:tcW w:w="0" w:type="auto"/>
          </w:tcPr>
          <w:p w14:paraId="5863807C" w14:textId="77777777" w:rsidR="00DA5167" w:rsidRDefault="00000000">
            <w:pPr>
              <w:pStyle w:val="Compact"/>
            </w:pPr>
            <w:r>
              <w:t>Email with TLS</w:t>
            </w:r>
          </w:p>
        </w:tc>
        <w:tc>
          <w:tcPr>
            <w:tcW w:w="0" w:type="auto"/>
          </w:tcPr>
          <w:p w14:paraId="7C44ED29" w14:textId="77777777" w:rsidR="00DA5167" w:rsidRDefault="00000000">
            <w:pPr>
              <w:pStyle w:val="Compact"/>
            </w:pPr>
            <w:r>
              <w:t>Communication security</w:t>
            </w:r>
          </w:p>
        </w:tc>
      </w:tr>
    </w:tbl>
    <w:p w14:paraId="0E5B30B3" w14:textId="77777777" w:rsidR="00DA5167" w:rsidRDefault="00000000">
      <w:pPr>
        <w:pStyle w:val="Heading3"/>
      </w:pPr>
      <w:bookmarkStart w:id="39" w:name="_Toc221262039"/>
      <w:bookmarkStart w:id="40" w:name="the-integration-imperative"/>
      <w:bookmarkEnd w:id="33"/>
      <w:bookmarkEnd w:id="38"/>
      <w:r>
        <w:rPr>
          <w:rStyle w:val="SectionNumber"/>
        </w:rPr>
        <w:t>1.5.2</w:t>
      </w:r>
      <w:r>
        <w:tab/>
        <w:t>The Integration Imperative</w:t>
      </w:r>
      <w:bookmarkEnd w:id="39"/>
    </w:p>
    <w:p w14:paraId="5B67E950" w14:textId="77777777" w:rsidR="00DA5167" w:rsidRDefault="00000000">
      <w:pPr>
        <w:pStyle w:val="FirstParagraph"/>
      </w:pPr>
      <w:r>
        <w:t>These layers do not function independently. Consider a credential theft attack:</w:t>
      </w:r>
    </w:p>
    <w:p w14:paraId="3C6E9B4C" w14:textId="77777777" w:rsidR="00DA5167" w:rsidRDefault="00000000">
      <w:pPr>
        <w:pStyle w:val="Compact"/>
        <w:numPr>
          <w:ilvl w:val="0"/>
          <w:numId w:val="49"/>
        </w:numPr>
      </w:pPr>
      <w:r>
        <w:rPr>
          <w:b/>
          <w:bCs/>
        </w:rPr>
        <w:t>Layer 1 (Crypto):</w:t>
      </w:r>
      <w:r>
        <w:t xml:space="preserve"> Attacker cannot intercept credentials in transit due to TLS encryption</w:t>
      </w:r>
    </w:p>
    <w:p w14:paraId="7A488866" w14:textId="77777777" w:rsidR="00DA5167" w:rsidRDefault="00000000">
      <w:pPr>
        <w:pStyle w:val="Compact"/>
        <w:numPr>
          <w:ilvl w:val="0"/>
          <w:numId w:val="49"/>
        </w:numPr>
      </w:pPr>
      <w:r>
        <w:rPr>
          <w:b/>
          <w:bCs/>
        </w:rPr>
        <w:t>Layer 2 (Identity):</w:t>
      </w:r>
      <w:r>
        <w:t xml:space="preserve"> Failed authentication attempts logged to FreeIPA</w:t>
      </w:r>
    </w:p>
    <w:p w14:paraId="4BA5B06F" w14:textId="77777777" w:rsidR="00DA5167" w:rsidRDefault="00000000">
      <w:pPr>
        <w:pStyle w:val="Compact"/>
        <w:numPr>
          <w:ilvl w:val="0"/>
          <w:numId w:val="49"/>
        </w:numPr>
      </w:pPr>
      <w:r>
        <w:rPr>
          <w:b/>
          <w:bCs/>
        </w:rPr>
        <w:t>Layer 3 (MAC):</w:t>
      </w:r>
      <w:r>
        <w:t xml:space="preserve"> SELinux prevents credential file access from unauthorized contexts</w:t>
      </w:r>
    </w:p>
    <w:p w14:paraId="2E6E6413" w14:textId="77777777" w:rsidR="00DA5167" w:rsidRDefault="00000000">
      <w:pPr>
        <w:pStyle w:val="Compact"/>
        <w:numPr>
          <w:ilvl w:val="0"/>
          <w:numId w:val="49"/>
        </w:numPr>
      </w:pPr>
      <w:r>
        <w:rPr>
          <w:b/>
          <w:bCs/>
        </w:rPr>
        <w:t>Layer 4 (Monitoring):</w:t>
      </w:r>
      <w:r>
        <w:t xml:space="preserve"> Wazuh generates alerts on authentication failures; YARA scans for credential-harvesting malware</w:t>
      </w:r>
    </w:p>
    <w:p w14:paraId="5C01E6E5" w14:textId="77777777" w:rsidR="00DA5167" w:rsidRDefault="00000000">
      <w:pPr>
        <w:pStyle w:val="Compact"/>
        <w:numPr>
          <w:ilvl w:val="0"/>
          <w:numId w:val="49"/>
        </w:numPr>
      </w:pPr>
      <w:r>
        <w:rPr>
          <w:b/>
          <w:bCs/>
        </w:rPr>
        <w:t>Layer 5 (Network):</w:t>
      </w:r>
      <w:r>
        <w:t xml:space="preserve"> Firewall blocks unauthorized outbound connections for data exfiltration</w:t>
      </w:r>
    </w:p>
    <w:p w14:paraId="5003CFA8" w14:textId="77777777" w:rsidR="00DA5167" w:rsidRDefault="00000000">
      <w:pPr>
        <w:pStyle w:val="FirstParagraph"/>
      </w:pPr>
      <w:r>
        <w:t>Compromise of any single layer does not succeed because other layers provide compensating controls. However, this architecture requires:</w:t>
      </w:r>
    </w:p>
    <w:p w14:paraId="3D425286" w14:textId="77777777" w:rsidR="00DA5167" w:rsidRDefault="00000000">
      <w:pPr>
        <w:pStyle w:val="Compact"/>
        <w:numPr>
          <w:ilvl w:val="0"/>
          <w:numId w:val="50"/>
        </w:numPr>
      </w:pPr>
      <w:r>
        <w:t>All layers properly configured</w:t>
      </w:r>
    </w:p>
    <w:p w14:paraId="3464A723" w14:textId="77777777" w:rsidR="00DA5167" w:rsidRDefault="00000000">
      <w:pPr>
        <w:pStyle w:val="Compact"/>
        <w:numPr>
          <w:ilvl w:val="0"/>
          <w:numId w:val="50"/>
        </w:numPr>
      </w:pPr>
      <w:r>
        <w:t>All layers actively monitored</w:t>
      </w:r>
    </w:p>
    <w:p w14:paraId="146CB5FF" w14:textId="77777777" w:rsidR="00DA5167" w:rsidRDefault="00000000">
      <w:pPr>
        <w:pStyle w:val="Compact"/>
        <w:numPr>
          <w:ilvl w:val="0"/>
          <w:numId w:val="50"/>
        </w:numPr>
      </w:pPr>
      <w:r>
        <w:t>Understanding of how layers interact</w:t>
      </w:r>
    </w:p>
    <w:p w14:paraId="298EA7AB" w14:textId="77777777" w:rsidR="00DA5167" w:rsidRDefault="00000000">
      <w:pPr>
        <w:pStyle w:val="Compact"/>
        <w:numPr>
          <w:ilvl w:val="0"/>
          <w:numId w:val="50"/>
        </w:numPr>
      </w:pPr>
      <w:r>
        <w:t>Competence to investigate cross-layer attack patterns</w:t>
      </w:r>
    </w:p>
    <w:p w14:paraId="60C30F28" w14:textId="77777777" w:rsidR="00DA5167" w:rsidRDefault="00000000">
      <w:pPr>
        <w:pStyle w:val="Heading3"/>
      </w:pPr>
      <w:bookmarkStart w:id="41" w:name="_Toc221262040"/>
      <w:bookmarkStart w:id="42" w:name="the-checkbox-failure-mode"/>
      <w:bookmarkEnd w:id="40"/>
      <w:r>
        <w:rPr>
          <w:rStyle w:val="SectionNumber"/>
        </w:rPr>
        <w:t>1.5.3</w:t>
      </w:r>
      <w:r>
        <w:tab/>
        <w:t>The Checkbox Failure Mode</w:t>
      </w:r>
      <w:bookmarkEnd w:id="41"/>
    </w:p>
    <w:p w14:paraId="362948AC" w14:textId="77777777" w:rsidR="00DA5167" w:rsidRDefault="00000000">
      <w:pPr>
        <w:pStyle w:val="FirstParagraph"/>
      </w:pPr>
      <w:r>
        <w:t>An adopter treating compliance as checkboxes might:</w:t>
      </w:r>
    </w:p>
    <w:p w14:paraId="68D5D1D6" w14:textId="77777777" w:rsidR="00DA5167" w:rsidRDefault="00000000">
      <w:pPr>
        <w:pStyle w:val="Compact"/>
        <w:numPr>
          <w:ilvl w:val="0"/>
          <w:numId w:val="51"/>
        </w:numPr>
      </w:pPr>
      <w:r>
        <w:rPr>
          <w:b/>
          <w:bCs/>
        </w:rPr>
        <w:t>Install Wazuh</w:t>
      </w:r>
      <w:r>
        <w:t xml:space="preserve"> ✓ (but never configure useful alert rules)</w:t>
      </w:r>
    </w:p>
    <w:p w14:paraId="6DDFF966" w14:textId="77777777" w:rsidR="00DA5167" w:rsidRDefault="00000000">
      <w:pPr>
        <w:pStyle w:val="Compact"/>
        <w:numPr>
          <w:ilvl w:val="0"/>
          <w:numId w:val="51"/>
        </w:numPr>
      </w:pPr>
      <w:r>
        <w:rPr>
          <w:b/>
          <w:bCs/>
        </w:rPr>
        <w:lastRenderedPageBreak/>
        <w:t>Enable SELinux</w:t>
      </w:r>
      <w:r>
        <w:t xml:space="preserve"> ✓ (but switch to permissive when applications fail)</w:t>
      </w:r>
    </w:p>
    <w:p w14:paraId="446FA528" w14:textId="77777777" w:rsidR="00DA5167" w:rsidRDefault="00000000">
      <w:pPr>
        <w:pStyle w:val="Compact"/>
        <w:numPr>
          <w:ilvl w:val="0"/>
          <w:numId w:val="51"/>
        </w:numPr>
      </w:pPr>
      <w:r>
        <w:rPr>
          <w:b/>
          <w:bCs/>
        </w:rPr>
        <w:t>Deploy LUKS encryption</w:t>
      </w:r>
      <w:r>
        <w:t xml:space="preserve"> ✓ (but store the passphrase in a plaintext file)</w:t>
      </w:r>
    </w:p>
    <w:p w14:paraId="0A1FC6FA" w14:textId="77777777" w:rsidR="00DA5167" w:rsidRDefault="00000000">
      <w:pPr>
        <w:pStyle w:val="Compact"/>
        <w:numPr>
          <w:ilvl w:val="0"/>
          <w:numId w:val="51"/>
        </w:numPr>
      </w:pPr>
      <w:r>
        <w:rPr>
          <w:b/>
          <w:bCs/>
        </w:rPr>
        <w:t>Configure firewalld</w:t>
      </w:r>
      <w:r>
        <w:t xml:space="preserve"> ✓ (but open “temporary” holes that become permanent)</w:t>
      </w:r>
    </w:p>
    <w:p w14:paraId="00211754" w14:textId="77777777" w:rsidR="00DA5167" w:rsidRDefault="00000000">
      <w:pPr>
        <w:pStyle w:val="Compact"/>
        <w:numPr>
          <w:ilvl w:val="0"/>
          <w:numId w:val="51"/>
        </w:numPr>
      </w:pPr>
      <w:r>
        <w:rPr>
          <w:b/>
          <w:bCs/>
        </w:rPr>
        <w:t>Run OpenSCAP scans</w:t>
      </w:r>
      <w:r>
        <w:t xml:space="preserve"> ✓ (but remediate failures without understanding root causes)</w:t>
      </w:r>
    </w:p>
    <w:p w14:paraId="10888EF7" w14:textId="77777777" w:rsidR="00DA5167" w:rsidRDefault="00000000">
      <w:pPr>
        <w:pStyle w:val="FirstParagraph"/>
      </w:pPr>
      <w:r>
        <w:t xml:space="preserve">Each checkbox is technically satisfied. The resulting system passes automated compliance scans. Yet the actual security posture may be marginal—a condition we term </w:t>
      </w:r>
      <w:r>
        <w:rPr>
          <w:b/>
          <w:bCs/>
        </w:rPr>
        <w:t>“checkbox compliant but operationally exposed.”</w:t>
      </w:r>
    </w:p>
    <w:p w14:paraId="61E15BF8" w14:textId="77777777" w:rsidR="00DA5167" w:rsidRDefault="00000000">
      <w:pPr>
        <w:pStyle w:val="Heading2"/>
      </w:pPr>
      <w:bookmarkStart w:id="43" w:name="_Toc221262041"/>
      <w:bookmarkStart w:id="44" w:name="local-ai-as-a-compensating-control"/>
      <w:bookmarkEnd w:id="31"/>
      <w:bookmarkEnd w:id="42"/>
      <w:r>
        <w:rPr>
          <w:rStyle w:val="SectionNumber"/>
        </w:rPr>
        <w:t>1.6</w:t>
      </w:r>
      <w:r>
        <w:tab/>
        <w:t>Local AI as a Compensating Control</w:t>
      </w:r>
      <w:bookmarkEnd w:id="43"/>
    </w:p>
    <w:p w14:paraId="1D9210D2" w14:textId="77777777" w:rsidR="00DA5167" w:rsidRDefault="00000000">
      <w:pPr>
        <w:pStyle w:val="Heading3"/>
      </w:pPr>
      <w:bookmarkStart w:id="45" w:name="_Toc221262042"/>
      <w:bookmarkStart w:id="46" w:name="the-operational-security-gap"/>
      <w:r>
        <w:rPr>
          <w:rStyle w:val="SectionNumber"/>
        </w:rPr>
        <w:t>1.6.1</w:t>
      </w:r>
      <w:r>
        <w:tab/>
        <w:t>The Operational Security Gap</w:t>
      </w:r>
      <w:bookmarkEnd w:id="45"/>
    </w:p>
    <w:p w14:paraId="079BF82C" w14:textId="77777777" w:rsidR="00DA5167" w:rsidRDefault="00000000">
      <w:pPr>
        <w:pStyle w:val="FirstParagraph"/>
      </w:pPr>
      <w:r>
        <w:t>The preceding analysis reveals a critical vulnerability: small organizations may successfully deploy the CyberHygiene technical architecture but lack the cybersecurity expertise necessary to operate it effectively. This creates what we term the “operational security gap”—the difference between deployed capabilities and operational utilization.</w:t>
      </w:r>
    </w:p>
    <w:p w14:paraId="058C6616" w14:textId="77777777" w:rsidR="00DA5167" w:rsidRDefault="00000000">
      <w:pPr>
        <w:pStyle w:val="BodyText"/>
      </w:pPr>
      <w:r>
        <w:t xml:space="preserve">Traditional managed security service providers (MSSPs) address this gap through 24/7 security operations centers staffed by trained analysts. However, MSSP costs create significant barriers: initial NIST 800-171 implementation averages $35,000-$50,000, with ongoing costs typically ranging from $2,000-$6,000 per month ($24,000-$72,000 annually) for small businesses with 10-20 employees </w:t>
      </w:r>
      <w:r>
        <w:rPr>
          <w:rStyle w:val="FootnoteReference"/>
        </w:rPr>
        <w:footnoteReference w:id="26"/>
      </w:r>
      <w:r>
        <w:t>. These recurring operational costs were precisely the barrier the CyberHygiene Project sought to overcome through its turnkey approach. This creates an apparent paradox: organizations cannot afford professional security operations, yet cannot operate complex security systems without expertise.</w:t>
      </w:r>
    </w:p>
    <w:p w14:paraId="76351302" w14:textId="77777777" w:rsidR="00DA5167" w:rsidRDefault="00000000">
      <w:pPr>
        <w:pStyle w:val="BodyText"/>
      </w:pPr>
      <w:r>
        <w:t>Local AI implementations offer a potential middle ground—not as a replacement for human expertise, but as an automated force multiplier that bridges specific operational gaps. Critically, the CyberHygiene Project implements Local AI on a dedicated, air-gapped server isolated from both the production network and internet connectivity. This architectural decision ensures that AI-assisted log analysis does not introduce new attack vectors or create unauthorized data flows that would violate NIST 800-171 requirements.</w:t>
      </w:r>
    </w:p>
    <w:p w14:paraId="6D273CB1" w14:textId="77777777" w:rsidR="00DA5167" w:rsidRDefault="00000000">
      <w:pPr>
        <w:pStyle w:val="Heading3"/>
      </w:pPr>
      <w:bookmarkStart w:id="47" w:name="_Toc221262043"/>
      <w:bookmarkStart w:id="48" w:name="architecture-of-local-ai-integration"/>
      <w:bookmarkEnd w:id="46"/>
      <w:r>
        <w:rPr>
          <w:rStyle w:val="SectionNumber"/>
        </w:rPr>
        <w:t>1.6.2</w:t>
      </w:r>
      <w:r>
        <w:tab/>
        <w:t>Architecture of Local AI Integration</w:t>
      </w:r>
      <w:bookmarkEnd w:id="47"/>
    </w:p>
    <w:p w14:paraId="15505401" w14:textId="77777777" w:rsidR="00DA5167" w:rsidRDefault="00000000">
      <w:pPr>
        <w:pStyle w:val="FirstParagraph"/>
      </w:pPr>
      <w:r>
        <w:t>A Local AI system deployed within the CyberHygiene architecture operates on several principles that distinguish it from cloud-based AI security platforms:</w:t>
      </w:r>
    </w:p>
    <w:p w14:paraId="45B36E06" w14:textId="77777777" w:rsidR="00DA5167" w:rsidRDefault="00000000">
      <w:pPr>
        <w:pStyle w:val="BodyText"/>
      </w:pPr>
      <w:r>
        <w:rPr>
          <w:b/>
          <w:bCs/>
        </w:rPr>
        <w:t>Privacy-Preserving Architecture:</w:t>
      </w:r>
      <w:r>
        <w:t xml:space="preserve"> The CyberHygiene Project deliberately employs a local AI implementation rather than cloud-based AI services for several critical reasons:</w:t>
      </w:r>
    </w:p>
    <w:p w14:paraId="0F90B6D9" w14:textId="77777777" w:rsidR="00DA5167" w:rsidRDefault="00000000">
      <w:pPr>
        <w:numPr>
          <w:ilvl w:val="0"/>
          <w:numId w:val="52"/>
        </w:numPr>
      </w:pPr>
      <w:r>
        <w:rPr>
          <w:b/>
          <w:bCs/>
        </w:rPr>
        <w:lastRenderedPageBreak/>
        <w:t>Data Sovereignty:</w:t>
      </w:r>
      <w:r>
        <w:t xml:space="preserve"> All data processing occurs within the organization’s security boundary. Logs containing potential CUI never traverse external networks, maintaining NIST 800-171 compliance requirements for data protection. Cloud-based AI services would require transmitting sensitive security logs and system information to third-party providers, creating unacceptable risk for federal contractors.</w:t>
      </w:r>
    </w:p>
    <w:p w14:paraId="3DC34E11" w14:textId="77777777" w:rsidR="00DA5167" w:rsidRDefault="00000000">
      <w:pPr>
        <w:numPr>
          <w:ilvl w:val="0"/>
          <w:numId w:val="52"/>
        </w:numPr>
      </w:pPr>
      <w:r>
        <w:rPr>
          <w:b/>
          <w:bCs/>
        </w:rPr>
        <w:t>Air-Gapped Network Segmentation:</w:t>
      </w:r>
      <w:r>
        <w:t xml:space="preserve"> The Local AI server operates on a dedicated subnet, physically and logically separated from both the production network and internet connectivity. This “air-gapped” architecture ensures that even if the AI system were compromised, attackers cannot use it as a pivot point to access CUI systems or exfiltrate data to external networks. The AI server receives log data via one-way data feeds from the security monitoring infrastructure (Wazuh, Graylog) but cannot initiate outbound connections.</w:t>
      </w:r>
    </w:p>
    <w:p w14:paraId="0896B49A" w14:textId="227DFE95" w:rsidR="00DA5167" w:rsidRDefault="00000000">
      <w:pPr>
        <w:numPr>
          <w:ilvl w:val="0"/>
          <w:numId w:val="52"/>
        </w:numPr>
      </w:pPr>
      <w:r>
        <w:rPr>
          <w:b/>
          <w:bCs/>
        </w:rPr>
        <w:t>No External Dependencies:</w:t>
      </w:r>
      <w:r>
        <w:t xml:space="preserve"> On-premises deployment of large language models (LLMs) such as Llama 3.</w:t>
      </w:r>
      <w:r w:rsidR="00965823">
        <w:t>3</w:t>
      </w:r>
      <w:r>
        <w:t xml:space="preserve"> or specialized security-focused models eliminates reliance on internet connectivity for AI operations. The system continues functioning even during network outages, and there is no risk of service disruption due to cloud provider issues, API rate limiting, or changes in third-party terms of service.</w:t>
      </w:r>
    </w:p>
    <w:p w14:paraId="189B23EE" w14:textId="77777777" w:rsidR="00DA5167" w:rsidRDefault="00000000">
      <w:pPr>
        <w:numPr>
          <w:ilvl w:val="0"/>
          <w:numId w:val="52"/>
        </w:numPr>
      </w:pPr>
      <w:r>
        <w:rPr>
          <w:b/>
          <w:bCs/>
        </w:rPr>
        <w:t>Compliance Assurance:</w:t>
      </w:r>
      <w:r>
        <w:t xml:space="preserve"> CMMC assessors and contracting officers can verify that the AI system does not create unauthorized data flows. The air-gapped architecture provides clear evidence that CUI is not being processed by external AI services, addressing a common concern in federal audits.</w:t>
      </w:r>
    </w:p>
    <w:p w14:paraId="12BE2CD8" w14:textId="77777777" w:rsidR="00DA5167" w:rsidRDefault="00000000">
      <w:pPr>
        <w:pStyle w:val="FirstParagraph"/>
      </w:pPr>
      <w:r>
        <w:t>This architectural decision reflects a fundamental principle: for organizations handling sensitive federal information, the benefits of AI assistance must not come at the cost of data exposure or compliance violations.</w:t>
      </w:r>
    </w:p>
    <w:p w14:paraId="24CB039B" w14:textId="77777777" w:rsidR="00DA5167" w:rsidRDefault="00000000">
      <w:pPr>
        <w:pStyle w:val="BodyText"/>
      </w:pPr>
      <w:r>
        <w:rPr>
          <w:b/>
          <w:bCs/>
        </w:rPr>
        <w:t>Integration with Existing Security Stack:</w:t>
      </w:r>
      <w:r>
        <w:t xml:space="preserve"> Rather than replacing existing tools, Local AI operates as an analytical layer above Wazuh SIEM, Graylog log management, and Grafana visualization platforms. The network architecture implements strict segmentation:</w:t>
      </w:r>
    </w:p>
    <w:p w14:paraId="1B56206F" w14:textId="77777777" w:rsidR="00DA5167" w:rsidRDefault="00000000">
      <w:pPr>
        <w:pStyle w:val="BodyText"/>
      </w:pPr>
      <w:r>
        <w:rPr>
          <w:b/>
          <w:bCs/>
        </w:rPr>
        <w:t>Network Segmentation for AI Security:</w:t>
      </w:r>
      <w:r>
        <w:t xml:space="preserve"> - </w:t>
      </w:r>
      <w:r>
        <w:rPr>
          <w:b/>
          <w:bCs/>
        </w:rPr>
        <w:t>Production Network (Subnet A):</w:t>
      </w:r>
      <w:r>
        <w:t xml:space="preserve"> CUI systems, workstations, file servers, Wazuh, Graylog, Suricata, firewalls - </w:t>
      </w:r>
      <w:r>
        <w:rPr>
          <w:b/>
          <w:bCs/>
        </w:rPr>
        <w:t>AI Analysis Network (Subnet B - Air-Gapped):</w:t>
      </w:r>
      <w:r>
        <w:t xml:space="preserve"> Local AI server, no internet access - </w:t>
      </w:r>
      <w:r>
        <w:rPr>
          <w:b/>
          <w:bCs/>
        </w:rPr>
        <w:t>Data Flow:</w:t>
      </w:r>
      <w:r>
        <w:t xml:space="preserve"> One-way from Subnet → Subnet C (logs in), human access via secure console</w:t>
      </w:r>
    </w:p>
    <w:p w14:paraId="522714F8" w14:textId="77777777" w:rsidR="00DA5167" w:rsidRDefault="00000000">
      <w:pPr>
        <w:pStyle w:val="BodyText"/>
      </w:pPr>
      <w:r>
        <w:t>This architecture ensures that the AI server: - Cannot initiate connections to production systems containing CUI - Cannot reach external networks (no model updates from internet, no telemetry to vendors) - Receives only security log data, never direct access to CUI - Presents analysis results only through authenticated, audited administrative access</w:t>
      </w:r>
    </w:p>
    <w:p w14:paraId="405C5558" w14:textId="77777777" w:rsidR="00DA5167" w:rsidRDefault="00000000">
      <w:pPr>
        <w:pStyle w:val="BodyText"/>
      </w:pPr>
      <w:r>
        <w:t xml:space="preserve">The AI ingests: - Structured alert data from Wazuh (JSON format, typically 10,000-50,000 events daily) - Unstructured log entries from Graylog (syslog, application logs, authentication logs) - Time-series metrics from Grafana (system performance, network </w:t>
      </w:r>
      <w:r>
        <w:lastRenderedPageBreak/>
        <w:t>traffic patterns) - Compliance scan results from OpenSCAP (configuration state assessments)</w:t>
      </w:r>
    </w:p>
    <w:p w14:paraId="3142F659" w14:textId="77777777" w:rsidR="00DA5167" w:rsidRDefault="00000000">
      <w:pPr>
        <w:pStyle w:val="BodyText"/>
      </w:pPr>
      <w:r>
        <w:rPr>
          <w:b/>
          <w:bCs/>
        </w:rPr>
        <w:t>Automated Analysis Capabilities:</w:t>
      </w:r>
      <w:r>
        <w:t xml:space="preserve"> The Local AI system provides (or will provide with future enhancements) several critical functions that address the operational security gap:</w:t>
      </w:r>
    </w:p>
    <w:p w14:paraId="70F184F4" w14:textId="77777777" w:rsidR="00DA5167" w:rsidRDefault="00000000">
      <w:pPr>
        <w:numPr>
          <w:ilvl w:val="0"/>
          <w:numId w:val="53"/>
        </w:numPr>
      </w:pPr>
      <w:r>
        <w:rPr>
          <w:b/>
          <w:bCs/>
        </w:rPr>
        <w:t>Intelligent Alert Triage:</w:t>
      </w:r>
      <w:r>
        <w:t xml:space="preserve"> Machine learning models classify Wazuh alerts by severity, filtering false positives and prioritizing genuine security events. Where a human analyst might spend 4-6 hours daily reviewing 10,000 alerts, the AI can pre-classify them in minutes, presenting only the 50-100 requiring human attention.</w:t>
      </w:r>
    </w:p>
    <w:p w14:paraId="7C866F8F" w14:textId="77777777" w:rsidR="00DA5167" w:rsidRDefault="00000000">
      <w:pPr>
        <w:numPr>
          <w:ilvl w:val="0"/>
          <w:numId w:val="53"/>
        </w:numPr>
      </w:pPr>
      <w:r>
        <w:rPr>
          <w:b/>
          <w:bCs/>
        </w:rPr>
        <w:t>Log Pattern Analysis:</w:t>
      </w:r>
      <w:r>
        <w:t xml:space="preserve"> Natural language processing identifies anomalous patterns in authentication logs, access logs, and system logs. For instance, the AI can detect:</w:t>
      </w:r>
    </w:p>
    <w:p w14:paraId="4C72C8F2" w14:textId="77777777" w:rsidR="00DA5167" w:rsidRDefault="00000000">
      <w:pPr>
        <w:pStyle w:val="Compact"/>
        <w:numPr>
          <w:ilvl w:val="1"/>
          <w:numId w:val="54"/>
        </w:numPr>
      </w:pPr>
      <w:r>
        <w:t>Unusual login times correlated with user behavioral baselines</w:t>
      </w:r>
    </w:p>
    <w:p w14:paraId="6A93B976" w14:textId="77777777" w:rsidR="00DA5167" w:rsidRDefault="00000000">
      <w:pPr>
        <w:pStyle w:val="Compact"/>
        <w:numPr>
          <w:ilvl w:val="1"/>
          <w:numId w:val="54"/>
        </w:numPr>
      </w:pPr>
      <w:r>
        <w:t>Privilege escalation attempts across multiple systems</w:t>
      </w:r>
    </w:p>
    <w:p w14:paraId="403EE3FF" w14:textId="77777777" w:rsidR="00DA5167" w:rsidRDefault="00000000">
      <w:pPr>
        <w:pStyle w:val="Compact"/>
        <w:numPr>
          <w:ilvl w:val="1"/>
          <w:numId w:val="54"/>
        </w:numPr>
      </w:pPr>
      <w:r>
        <w:t>Data exfiltration indicators (unusual outbound connections, large file transfers)</w:t>
      </w:r>
    </w:p>
    <w:p w14:paraId="47BD7857" w14:textId="77777777" w:rsidR="00DA5167" w:rsidRDefault="00000000">
      <w:pPr>
        <w:pStyle w:val="Compact"/>
        <w:numPr>
          <w:ilvl w:val="1"/>
          <w:numId w:val="54"/>
        </w:numPr>
      </w:pPr>
      <w:r>
        <w:t>Lateral movement patterns suggesting compromise</w:t>
      </w:r>
    </w:p>
    <w:p w14:paraId="4ABE7F1E" w14:textId="77777777" w:rsidR="00DA5167" w:rsidRDefault="00000000">
      <w:pPr>
        <w:numPr>
          <w:ilvl w:val="0"/>
          <w:numId w:val="53"/>
        </w:numPr>
      </w:pPr>
      <w:r>
        <w:rPr>
          <w:b/>
          <w:bCs/>
        </w:rPr>
        <w:t>Context-Aware Dashboard Generation:</w:t>
      </w:r>
      <w:r>
        <w:t xml:space="preserve"> The AI automatically generates role-specific dashboards:</w:t>
      </w:r>
    </w:p>
    <w:p w14:paraId="091F6FC1" w14:textId="77777777" w:rsidR="00DA5167" w:rsidRDefault="00000000">
      <w:pPr>
        <w:pStyle w:val="Compact"/>
        <w:numPr>
          <w:ilvl w:val="1"/>
          <w:numId w:val="55"/>
        </w:numPr>
      </w:pPr>
      <w:r>
        <w:t>Executive summary: High-level security posture, compliance status, trending risks</w:t>
      </w:r>
    </w:p>
    <w:p w14:paraId="160EE807" w14:textId="77777777" w:rsidR="00DA5167" w:rsidRDefault="00000000">
      <w:pPr>
        <w:pStyle w:val="Compact"/>
        <w:numPr>
          <w:ilvl w:val="1"/>
          <w:numId w:val="55"/>
        </w:numPr>
      </w:pPr>
      <w:r>
        <w:t>Administrator view: Critical alerts requiring immediate action, system health indicators</w:t>
      </w:r>
    </w:p>
    <w:p w14:paraId="54E80EC3" w14:textId="77777777" w:rsidR="00DA5167" w:rsidRDefault="00000000">
      <w:pPr>
        <w:pStyle w:val="Compact"/>
        <w:numPr>
          <w:ilvl w:val="1"/>
          <w:numId w:val="55"/>
        </w:numPr>
      </w:pPr>
      <w:r>
        <w:t>Compliance auditor: Evidence of control effectiveness, configuration drift alerts</w:t>
      </w:r>
    </w:p>
    <w:p w14:paraId="658B2DD9" w14:textId="77777777" w:rsidR="00DA5167" w:rsidRDefault="00000000">
      <w:pPr>
        <w:pStyle w:val="Compact"/>
        <w:numPr>
          <w:ilvl w:val="1"/>
          <w:numId w:val="55"/>
        </w:numPr>
      </w:pPr>
      <w:r>
        <w:t>Incident responder: Attack timeline reconstruction, affected systems, recommended remediation</w:t>
      </w:r>
    </w:p>
    <w:p w14:paraId="276AC3F6" w14:textId="77777777" w:rsidR="00DA5167" w:rsidRDefault="00000000">
      <w:pPr>
        <w:numPr>
          <w:ilvl w:val="0"/>
          <w:numId w:val="53"/>
        </w:numPr>
      </w:pPr>
      <w:r>
        <w:rPr>
          <w:b/>
          <w:bCs/>
        </w:rPr>
        <w:t>Natural Language Query Interface:</w:t>
      </w:r>
      <w:r>
        <w:t xml:space="preserve"> Non-expert users can query security data in plain language:</w:t>
      </w:r>
    </w:p>
    <w:p w14:paraId="45EC7DF2" w14:textId="77777777" w:rsidR="00DA5167" w:rsidRDefault="00000000">
      <w:pPr>
        <w:pStyle w:val="Compact"/>
        <w:numPr>
          <w:ilvl w:val="1"/>
          <w:numId w:val="56"/>
        </w:numPr>
      </w:pPr>
      <w:r>
        <w:t>“Show me failed authentication attempts in the last 24 hours”</w:t>
      </w:r>
    </w:p>
    <w:p w14:paraId="1CA894FE" w14:textId="77777777" w:rsidR="00DA5167" w:rsidRDefault="00000000">
      <w:pPr>
        <w:pStyle w:val="Compact"/>
        <w:numPr>
          <w:ilvl w:val="1"/>
          <w:numId w:val="56"/>
        </w:numPr>
      </w:pPr>
      <w:r>
        <w:t>“Which systems have OpenSCAP failures?”</w:t>
      </w:r>
    </w:p>
    <w:p w14:paraId="0A689338" w14:textId="77777777" w:rsidR="00DA5167" w:rsidRDefault="00000000">
      <w:pPr>
        <w:pStyle w:val="Compact"/>
        <w:numPr>
          <w:ilvl w:val="1"/>
          <w:numId w:val="56"/>
        </w:numPr>
      </w:pPr>
      <w:r>
        <w:t>“Has anyone accessed the CUI share from outside normal business hours?”</w:t>
      </w:r>
    </w:p>
    <w:p w14:paraId="68E46EA2" w14:textId="77777777" w:rsidR="00DA5167" w:rsidRDefault="00000000">
      <w:pPr>
        <w:pStyle w:val="Compact"/>
        <w:numPr>
          <w:ilvl w:val="1"/>
          <w:numId w:val="56"/>
        </w:numPr>
      </w:pPr>
      <w:r>
        <w:t>“What are the top 5 security risks based on recent alerts?”</w:t>
      </w:r>
    </w:p>
    <w:p w14:paraId="1E752BE6" w14:textId="77777777" w:rsidR="00DA5167" w:rsidRDefault="00000000">
      <w:pPr>
        <w:pStyle w:val="Heading3"/>
      </w:pPr>
      <w:bookmarkStart w:id="49" w:name="_Toc221262044"/>
      <w:bookmarkStart w:id="50" w:name="defense-in-depth-enhancement"/>
      <w:bookmarkEnd w:id="48"/>
      <w:r>
        <w:rPr>
          <w:rStyle w:val="SectionNumber"/>
        </w:rPr>
        <w:t>1.6.3</w:t>
      </w:r>
      <w:r>
        <w:tab/>
        <w:t>Defense-in-Depth Enhancement</w:t>
      </w:r>
      <w:bookmarkEnd w:id="49"/>
    </w:p>
    <w:p w14:paraId="1021D160" w14:textId="77777777" w:rsidR="00DA5167" w:rsidRDefault="00000000">
      <w:pPr>
        <w:pStyle w:val="FirstParagraph"/>
      </w:pPr>
      <w:r>
        <w:t>The Local AI system strengthens defense-in-depth in specific ways, with the air-gapped architecture adding an additional security layer:</w:t>
      </w:r>
    </w:p>
    <w:p w14:paraId="7C6A19E7" w14:textId="77777777" w:rsidR="00DA5167" w:rsidRDefault="00000000">
      <w:pPr>
        <w:pStyle w:val="BodyText"/>
      </w:pPr>
      <w:r>
        <w:rPr>
          <w:b/>
          <w:bCs/>
        </w:rPr>
        <w:t>Compensating for Human Limitations:</w:t>
      </w:r>
      <w:r>
        <w:t xml:space="preserve"> - Continuous monitoring (AI doesn’t sleep, take vacation, or experience alert fatigue) - Pattern recognition across millions of log entries (beyond human cognitive capacity) - Consistent application of detection rules (no “Monday morning” degradation in attention)</w:t>
      </w:r>
    </w:p>
    <w:p w14:paraId="0D709E72" w14:textId="77777777" w:rsidR="00DA5167" w:rsidRDefault="00000000">
      <w:pPr>
        <w:pStyle w:val="BodyText"/>
      </w:pPr>
      <w:r>
        <w:rPr>
          <w:b/>
          <w:bCs/>
        </w:rPr>
        <w:lastRenderedPageBreak/>
        <w:t>Accelerating Incident Response:</w:t>
      </w:r>
      <w:r>
        <w:t xml:space="preserve"> - Automated evidence collection when suspicious activity detected - Pre-built incident timelines correlating events across multiple systems - Suggested remediation actions based on detected attack patterns - Integration with Security Orchestration, Automation and Response (SOAR) capabilities for automated containment</w:t>
      </w:r>
    </w:p>
    <w:p w14:paraId="347B21B4" w14:textId="77777777" w:rsidR="00DA5167" w:rsidRDefault="00000000">
      <w:pPr>
        <w:pStyle w:val="BodyText"/>
      </w:pPr>
      <w:r>
        <w:rPr>
          <w:b/>
          <w:bCs/>
        </w:rPr>
        <w:t>Enhancing Compliance Posture:</w:t>
      </w:r>
      <w:r>
        <w:t xml:space="preserve"> - Continuous compliance monitoring beyond scheduled OpenSCAP scans - Automated evidence generation for auditor requests - Gap analysis identifying where technical controls exist but operational procedures are lacking - Trend analysis showing security posture improvement or degradation over time</w:t>
      </w:r>
    </w:p>
    <w:p w14:paraId="72C8C942" w14:textId="77777777" w:rsidR="00DA5167" w:rsidRDefault="00000000">
      <w:pPr>
        <w:pStyle w:val="BodyText"/>
      </w:pPr>
      <w:r>
        <w:rPr>
          <w:b/>
          <w:bCs/>
        </w:rPr>
        <w:t>Air-Gapped Architecture as Security Layer:</w:t>
      </w:r>
      <w:r>
        <w:t xml:space="preserve"> - AI compromise cannot lead to CUI exfiltration (no outbound network access) - Adversarial attacks against AI models remain contained (cannot propagate to production) - CMMC assessors can verify proper network segmentation and data flow controls - Demonstrates “defense-in-depth” thinking applied to the security tools themselves</w:t>
      </w:r>
    </w:p>
    <w:p w14:paraId="1BDDE523" w14:textId="77777777" w:rsidR="00DA5167" w:rsidRDefault="00000000">
      <w:pPr>
        <w:pStyle w:val="Heading3"/>
      </w:pPr>
      <w:bookmarkStart w:id="51" w:name="_Toc221262045"/>
      <w:bookmarkStart w:id="52" w:name="critical-limitations-and-new-risks"/>
      <w:bookmarkEnd w:id="50"/>
      <w:r>
        <w:rPr>
          <w:rStyle w:val="SectionNumber"/>
        </w:rPr>
        <w:t>1.6.4</w:t>
      </w:r>
      <w:r>
        <w:tab/>
        <w:t>Critical Limitations and New Risks</w:t>
      </w:r>
      <w:bookmarkEnd w:id="51"/>
    </w:p>
    <w:p w14:paraId="2AAC2271" w14:textId="77777777" w:rsidR="00DA5167" w:rsidRDefault="00000000">
      <w:pPr>
        <w:pStyle w:val="FirstParagraph"/>
      </w:pPr>
      <w:r>
        <w:t>However, Local AI is not a panacea and introduces its own risks:</w:t>
      </w:r>
    </w:p>
    <w:p w14:paraId="28B221C5" w14:textId="77777777" w:rsidR="00DA5167" w:rsidRDefault="00000000">
      <w:pPr>
        <w:pStyle w:val="BodyText"/>
      </w:pPr>
      <w:r>
        <w:rPr>
          <w:b/>
          <w:bCs/>
        </w:rPr>
        <w:t>False Sense of Security:</w:t>
      </w:r>
      <w:r>
        <w:t xml:space="preserve"> Organizations may believe that “the AI is monitoring everything” and neglect to maintain human oversight. An AI system is a tool, not a replacement for security expertise. Critical limitations include: - AI models trained on public datasets may not detect organization-specific threats - Adversarial attacks against machine learning can cause misclassification - Novel attack techniques unseen during training will be missed until models are retrained - AI-generated recommendations must be validated by humans before implementation</w:t>
      </w:r>
    </w:p>
    <w:p w14:paraId="54C63870" w14:textId="77777777" w:rsidR="00DA5167" w:rsidRDefault="00000000">
      <w:pPr>
        <w:pStyle w:val="BodyText"/>
      </w:pPr>
      <w:r>
        <w:rPr>
          <w:b/>
          <w:bCs/>
        </w:rPr>
        <w:t>The Dunning-Kruger Effect Amplified:</w:t>
      </w:r>
      <w:r>
        <w:t xml:space="preserve"> Local AI may paradoxically worsen the competence-confidence gap. An administrator with limited expertise may: - Trust AI-generated analyses without understanding underlying assumptions - Implement AI-recommended remediations without comprehending their impact - Declare compliance based on “AI-verified security posture” without grasping limitations - Disable AI warnings perceived as “false positives” without proper investigation</w:t>
      </w:r>
    </w:p>
    <w:p w14:paraId="53701187" w14:textId="77777777" w:rsidR="00DA5167" w:rsidRDefault="00000000">
      <w:pPr>
        <w:pStyle w:val="BodyText"/>
      </w:pPr>
      <w:r>
        <w:rPr>
          <w:b/>
          <w:bCs/>
        </w:rPr>
        <w:t>Operational Complexity:</w:t>
      </w:r>
      <w:r>
        <w:t xml:space="preserve"> Adding Local AI creates new operational burdens: - GPU/CPU requirements (LLM inference demands significant compute resources) - Model training and tuning (requires curated datasets specific to the organization) - Prompt engineering expertise (poorly designed queries yield unhelpful responses) - Version management (models must be updated as threats evolve) - Explainability requirements (CMMC assessors may demand justification for AI-driven decisions) - Air-gapped maintenance challenges (model updates require manual transfer, cannot auto-update from vendor repositories) - Network segmentation overhead (maintaining one-way data flows, secure administrative access)</w:t>
      </w:r>
    </w:p>
    <w:p w14:paraId="0D5D5704" w14:textId="77777777" w:rsidR="00DA5167" w:rsidRDefault="00000000">
      <w:pPr>
        <w:pStyle w:val="BodyText"/>
      </w:pPr>
      <w:r>
        <w:rPr>
          <w:b/>
          <w:bCs/>
        </w:rPr>
        <w:t>Privacy and Data Governance:</w:t>
      </w:r>
      <w:r>
        <w:t xml:space="preserve"> Even “local” AI systems process sensitive data, though the air-gapped architecture mitigates many risks: - Training data may inadvertently encode </w:t>
      </w:r>
      <w:r>
        <w:lastRenderedPageBreak/>
        <w:t xml:space="preserve">sensitive patterns - Model outputs might reveal information about organizational structure or operations - Logs of AI queries could themselves become sensitive (revealing security concerns) - Staff members might inadvertently expose CUI through natural language queries - </w:t>
      </w:r>
      <w:r>
        <w:rPr>
          <w:b/>
          <w:bCs/>
        </w:rPr>
        <w:t>Mitigated by air-gap:</w:t>
      </w:r>
      <w:r>
        <w:t xml:space="preserve"> AI cannot exfiltrate discovered sensitive information to external networks - </w:t>
      </w:r>
      <w:r>
        <w:rPr>
          <w:b/>
          <w:bCs/>
        </w:rPr>
        <w:t>Mitigated by air-gap:</w:t>
      </w:r>
      <w:r>
        <w:t xml:space="preserve"> No telemetry sent to model vendors, ensuring organizational security data remains confidential - </w:t>
      </w:r>
      <w:r>
        <w:rPr>
          <w:b/>
          <w:bCs/>
        </w:rPr>
        <w:t>New risk:</w:t>
      </w:r>
      <w:r>
        <w:t xml:space="preserve"> Air-gapped systems require manual oversight as they cannot report anomalies to external monitoring</w:t>
      </w:r>
    </w:p>
    <w:p w14:paraId="50DFE84E" w14:textId="77777777" w:rsidR="00DA5167" w:rsidRDefault="00000000">
      <w:pPr>
        <w:pStyle w:val="Heading3"/>
      </w:pPr>
      <w:bookmarkStart w:id="53" w:name="_Toc221262046"/>
      <w:bookmarkStart w:id="54" w:name="proper-integration-requirements"/>
      <w:bookmarkEnd w:id="52"/>
      <w:r>
        <w:rPr>
          <w:rStyle w:val="SectionNumber"/>
        </w:rPr>
        <w:t>1.6.5</w:t>
      </w:r>
      <w:r>
        <w:tab/>
        <w:t>Proper Integration Requirements</w:t>
      </w:r>
      <w:bookmarkEnd w:id="53"/>
    </w:p>
    <w:p w14:paraId="38DFC67D" w14:textId="77777777" w:rsidR="00DA5167" w:rsidRDefault="00000000">
      <w:pPr>
        <w:pStyle w:val="FirstParagraph"/>
      </w:pPr>
      <w:r>
        <w:t>Local AI has been partially implemented. Complete integration requires:</w:t>
      </w:r>
    </w:p>
    <w:p w14:paraId="7BCE6E31" w14:textId="77777777" w:rsidR="00DA5167" w:rsidRDefault="00000000">
      <w:pPr>
        <w:numPr>
          <w:ilvl w:val="0"/>
          <w:numId w:val="57"/>
        </w:numPr>
      </w:pPr>
      <w:r>
        <w:rPr>
          <w:b/>
          <w:bCs/>
        </w:rPr>
        <w:t>Human-in-the-Loop Architecture:</w:t>
      </w:r>
      <w:r>
        <w:t xml:space="preserve"> AI recommendations must flow through human decision-makers with authority to approve, reject, or modify suggested actions. The AI is an advisor, not an autonomous agent.</w:t>
      </w:r>
    </w:p>
    <w:p w14:paraId="39664443" w14:textId="77777777" w:rsidR="00DA5167" w:rsidRDefault="00000000">
      <w:pPr>
        <w:numPr>
          <w:ilvl w:val="0"/>
          <w:numId w:val="57"/>
        </w:numPr>
      </w:pPr>
      <w:r>
        <w:rPr>
          <w:b/>
          <w:bCs/>
        </w:rPr>
        <w:t>Explainable AI (XAI) Implementation:</w:t>
      </w:r>
      <w:r>
        <w:t xml:space="preserve"> Every AI-generated alert, analysis, or recommendation must include:</w:t>
      </w:r>
    </w:p>
    <w:p w14:paraId="23559EED" w14:textId="77777777" w:rsidR="00DA5167" w:rsidRDefault="00000000">
      <w:pPr>
        <w:pStyle w:val="Compact"/>
        <w:numPr>
          <w:ilvl w:val="1"/>
          <w:numId w:val="58"/>
        </w:numPr>
      </w:pPr>
      <w:r>
        <w:t>Confidence score (how certain is the AI?)</w:t>
      </w:r>
    </w:p>
    <w:p w14:paraId="26BEA2BF" w14:textId="77777777" w:rsidR="00DA5167" w:rsidRDefault="00000000">
      <w:pPr>
        <w:pStyle w:val="Compact"/>
        <w:numPr>
          <w:ilvl w:val="1"/>
          <w:numId w:val="58"/>
        </w:numPr>
      </w:pPr>
      <w:r>
        <w:t>Supporting evidence (which logs/alerts drove this conclusion?)</w:t>
      </w:r>
    </w:p>
    <w:p w14:paraId="7A763926" w14:textId="77777777" w:rsidR="00DA5167" w:rsidRDefault="00000000">
      <w:pPr>
        <w:pStyle w:val="Compact"/>
        <w:numPr>
          <w:ilvl w:val="1"/>
          <w:numId w:val="58"/>
        </w:numPr>
      </w:pPr>
      <w:r>
        <w:t>Alternative hypotheses (what else might explain this pattern?)</w:t>
      </w:r>
    </w:p>
    <w:p w14:paraId="247B56C0" w14:textId="77777777" w:rsidR="00DA5167" w:rsidRDefault="00000000">
      <w:pPr>
        <w:pStyle w:val="Compact"/>
        <w:numPr>
          <w:ilvl w:val="1"/>
          <w:numId w:val="58"/>
        </w:numPr>
      </w:pPr>
      <w:r>
        <w:t>Recommended validation steps (how should a human verify this finding?)</w:t>
      </w:r>
    </w:p>
    <w:p w14:paraId="2ABBC577" w14:textId="77777777" w:rsidR="00DA5167" w:rsidRDefault="00000000">
      <w:pPr>
        <w:numPr>
          <w:ilvl w:val="0"/>
          <w:numId w:val="57"/>
        </w:numPr>
      </w:pPr>
      <w:r>
        <w:rPr>
          <w:b/>
          <w:bCs/>
        </w:rPr>
        <w:t>Continuous Model Evaluation:</w:t>
      </w:r>
      <w:r>
        <w:t xml:space="preserve"> Regular assessment of AI performance:</w:t>
      </w:r>
    </w:p>
    <w:p w14:paraId="0093252D" w14:textId="77777777" w:rsidR="00DA5167" w:rsidRDefault="00000000">
      <w:pPr>
        <w:pStyle w:val="Compact"/>
        <w:numPr>
          <w:ilvl w:val="1"/>
          <w:numId w:val="59"/>
        </w:numPr>
      </w:pPr>
      <w:r>
        <w:t>False positive rate (how often does AI flag benign activity?)</w:t>
      </w:r>
    </w:p>
    <w:p w14:paraId="2805D2A4" w14:textId="77777777" w:rsidR="00DA5167" w:rsidRDefault="00000000">
      <w:pPr>
        <w:pStyle w:val="Compact"/>
        <w:numPr>
          <w:ilvl w:val="1"/>
          <w:numId w:val="59"/>
        </w:numPr>
      </w:pPr>
      <w:r>
        <w:t>False negative rate (how often does AI miss actual threats?)</w:t>
      </w:r>
    </w:p>
    <w:p w14:paraId="026EA644" w14:textId="77777777" w:rsidR="00DA5167" w:rsidRDefault="00000000">
      <w:pPr>
        <w:pStyle w:val="Compact"/>
        <w:numPr>
          <w:ilvl w:val="1"/>
          <w:numId w:val="59"/>
        </w:numPr>
      </w:pPr>
      <w:r>
        <w:t>Detection latency (time from event occurrence to AI alert)</w:t>
      </w:r>
    </w:p>
    <w:p w14:paraId="69ED1EA8" w14:textId="77777777" w:rsidR="00DA5167" w:rsidRDefault="00000000">
      <w:pPr>
        <w:pStyle w:val="Compact"/>
        <w:numPr>
          <w:ilvl w:val="1"/>
          <w:numId w:val="59"/>
        </w:numPr>
      </w:pPr>
      <w:r>
        <w:t>Comparison against human analyst performance on same dataset</w:t>
      </w:r>
    </w:p>
    <w:p w14:paraId="48BE1213" w14:textId="77777777" w:rsidR="00DA5167" w:rsidRDefault="00000000">
      <w:pPr>
        <w:numPr>
          <w:ilvl w:val="0"/>
          <w:numId w:val="57"/>
        </w:numPr>
      </w:pPr>
      <w:r>
        <w:rPr>
          <w:b/>
          <w:bCs/>
        </w:rPr>
        <w:t>Competency Development:</w:t>
      </w:r>
      <w:r>
        <w:t xml:space="preserve"> Staff must understand:</w:t>
      </w:r>
    </w:p>
    <w:p w14:paraId="3EC83F70" w14:textId="77777777" w:rsidR="00DA5167" w:rsidRDefault="00000000">
      <w:pPr>
        <w:pStyle w:val="Compact"/>
        <w:numPr>
          <w:ilvl w:val="1"/>
          <w:numId w:val="60"/>
        </w:numPr>
      </w:pPr>
      <w:r>
        <w:t>How the AI model makes decisions (at conceptual level)</w:t>
      </w:r>
    </w:p>
    <w:p w14:paraId="2336920B" w14:textId="77777777" w:rsidR="00DA5167" w:rsidRDefault="00000000">
      <w:pPr>
        <w:pStyle w:val="Compact"/>
        <w:numPr>
          <w:ilvl w:val="1"/>
          <w:numId w:val="60"/>
        </w:numPr>
      </w:pPr>
      <w:r>
        <w:t>When to trust vs. verify AI recommendations</w:t>
      </w:r>
    </w:p>
    <w:p w14:paraId="7F8D681D" w14:textId="77777777" w:rsidR="00DA5167" w:rsidRDefault="00000000">
      <w:pPr>
        <w:pStyle w:val="Compact"/>
        <w:numPr>
          <w:ilvl w:val="1"/>
          <w:numId w:val="60"/>
        </w:numPr>
      </w:pPr>
      <w:r>
        <w:t>How to update training data as organizational context changes</w:t>
      </w:r>
    </w:p>
    <w:p w14:paraId="6EE0229C" w14:textId="77777777" w:rsidR="00DA5167" w:rsidRDefault="00000000">
      <w:pPr>
        <w:pStyle w:val="Compact"/>
        <w:numPr>
          <w:ilvl w:val="1"/>
          <w:numId w:val="60"/>
        </w:numPr>
      </w:pPr>
      <w:r>
        <w:t>Limitations specific to the deployed model architecture</w:t>
      </w:r>
    </w:p>
    <w:p w14:paraId="279CA11A" w14:textId="77777777" w:rsidR="00DA5167" w:rsidRDefault="00000000">
      <w:pPr>
        <w:pStyle w:val="Compact"/>
        <w:numPr>
          <w:ilvl w:val="1"/>
          <w:numId w:val="60"/>
        </w:numPr>
      </w:pPr>
      <w:r>
        <w:t>Network segmentation requirements and why the AI server must remain air-gapped</w:t>
      </w:r>
    </w:p>
    <w:p w14:paraId="3EDD219C" w14:textId="77777777" w:rsidR="00DA5167" w:rsidRDefault="00000000">
      <w:pPr>
        <w:pStyle w:val="Compact"/>
        <w:numPr>
          <w:ilvl w:val="1"/>
          <w:numId w:val="60"/>
        </w:numPr>
      </w:pPr>
      <w:r>
        <w:t>Procedures for securely transferring model updates without compromising the air-gap</w:t>
      </w:r>
    </w:p>
    <w:p w14:paraId="445F3C3B" w14:textId="77777777" w:rsidR="00DA5167" w:rsidRDefault="00000000">
      <w:pPr>
        <w:pStyle w:val="Heading3"/>
      </w:pPr>
      <w:bookmarkStart w:id="55" w:name="_Toc221262047"/>
      <w:bookmarkStart w:id="56" w:name="case-study-alert-triage-automation"/>
      <w:bookmarkEnd w:id="54"/>
      <w:r>
        <w:rPr>
          <w:rStyle w:val="SectionNumber"/>
        </w:rPr>
        <w:t>1.6.6</w:t>
      </w:r>
      <w:r>
        <w:tab/>
        <w:t>Case Study: Alert Triage Automation</w:t>
      </w:r>
      <w:bookmarkEnd w:id="55"/>
    </w:p>
    <w:p w14:paraId="1496861E" w14:textId="77777777" w:rsidR="00DA5167" w:rsidRDefault="00000000">
      <w:pPr>
        <w:pStyle w:val="FirstParagraph"/>
      </w:pPr>
      <w:r>
        <w:t>Consider a concrete example of Local AI value:</w:t>
      </w:r>
    </w:p>
    <w:p w14:paraId="6DA3E8D7" w14:textId="77777777" w:rsidR="00DA5167" w:rsidRDefault="00000000">
      <w:pPr>
        <w:pStyle w:val="BodyText"/>
      </w:pPr>
      <w:r>
        <w:rPr>
          <w:b/>
          <w:bCs/>
        </w:rPr>
        <w:t>Without AI:</w:t>
      </w:r>
      <w:r>
        <w:t xml:space="preserve"> - Wazuh generates 12,000 alerts per day - Administrator can review ~500 alerts per day (at 30 seconds per alert) - 11,500 alerts remain unreviewed - Critical </w:t>
      </w:r>
      <w:r>
        <w:lastRenderedPageBreak/>
        <w:t>security events likely buried in noise - Administrator experiences alert fatigue, effectiveness degrades</w:t>
      </w:r>
    </w:p>
    <w:p w14:paraId="442865EF" w14:textId="77777777" w:rsidR="00DA5167" w:rsidRDefault="00000000">
      <w:pPr>
        <w:pStyle w:val="BodyText"/>
      </w:pPr>
      <w:r>
        <w:rPr>
          <w:b/>
          <w:bCs/>
        </w:rPr>
        <w:t>With Properly Configured Local AI:</w:t>
      </w:r>
      <w:r>
        <w:t xml:space="preserve"> - AI pre-classifies 12,000 alerts in 15 minutes - 10,800 classified as known false positives (suppressed with audit trail) - 1,100 classified as routine events requiring no action - 100 flagged for human review (unusual patterns, potential threats) - Administrator focuses 4 hours on investigating 100 pre-vetted alerts - Critical events identified with context and recommended response - Administrator effectiveness enhanced, alert fatigue reduced</w:t>
      </w:r>
    </w:p>
    <w:p w14:paraId="5CDB55F8" w14:textId="77777777" w:rsidR="00DA5167" w:rsidRDefault="00000000">
      <w:pPr>
        <w:pStyle w:val="BodyText"/>
      </w:pPr>
      <w:r>
        <w:rPr>
          <w:b/>
          <w:bCs/>
        </w:rPr>
        <w:t>Result:</w:t>
      </w:r>
      <w:r>
        <w:t xml:space="preserve"> The operational security gap is narrowed—not eliminated, but made manageable for a small organization.</w:t>
      </w:r>
    </w:p>
    <w:p w14:paraId="657DE442" w14:textId="77777777" w:rsidR="00DA5167" w:rsidRDefault="00000000">
      <w:pPr>
        <w:pStyle w:val="Heading3"/>
      </w:pPr>
      <w:bookmarkStart w:id="57" w:name="_Toc221262048"/>
      <w:bookmarkStart w:id="58" w:name="the-ai-competency-paradox"/>
      <w:bookmarkEnd w:id="56"/>
      <w:r>
        <w:rPr>
          <w:rStyle w:val="SectionNumber"/>
        </w:rPr>
        <w:t>1.6.7</w:t>
      </w:r>
      <w:r>
        <w:tab/>
        <w:t>The AI Competency Paradox</w:t>
      </w:r>
      <w:bookmarkEnd w:id="57"/>
    </w:p>
    <w:p w14:paraId="29AA97A9" w14:textId="77777777" w:rsidR="00DA5167" w:rsidRDefault="00000000">
      <w:pPr>
        <w:pStyle w:val="FirstParagraph"/>
      </w:pPr>
      <w:r>
        <w:t>This analysis reveals a paradox: Local AI is most valuable for organizations lacking security expertise, yet those same organizations are least equipped to deploy, configure, and validate AI systems safely.</w:t>
      </w:r>
    </w:p>
    <w:p w14:paraId="10890683" w14:textId="77777777" w:rsidR="00DA5167" w:rsidRDefault="00000000">
      <w:pPr>
        <w:pStyle w:val="BodyText"/>
      </w:pPr>
      <w:r>
        <w:t>This mirrors the original Dunning-Kruger concern: the organizations most likely to need AI assistance are most likely to: - Misconfigure the AI system - Trust its outputs uncritically - Fail to recognize its limitations - Declare security posture based on AI analysis without understanding</w:t>
      </w:r>
    </w:p>
    <w:p w14:paraId="73CB9A71" w14:textId="77777777" w:rsidR="00DA5167" w:rsidRDefault="00000000">
      <w:pPr>
        <w:pStyle w:val="BodyText"/>
      </w:pPr>
      <w:r>
        <w:t>Therefore, Local AI integration introduces a new competency requirement—not traditional cybersecurity expertise, but AI operations expertise. Organizations must either: - Develop internal AI/ML capabilities (expensive, time-consuming) - Engage consultants for AI system setup and validation (partially negating cost savings) - Accept the risks of imperfect AI deployment (potentially worse than no AI at all)</w:t>
      </w:r>
    </w:p>
    <w:p w14:paraId="64F0CC7F" w14:textId="77777777" w:rsidR="00DA5167" w:rsidRDefault="00000000">
      <w:pPr>
        <w:pStyle w:val="BodyText"/>
      </w:pPr>
      <w:r>
        <w:rPr>
          <w:b/>
          <w:bCs/>
        </w:rPr>
        <w:t>The CyberHygiene Turnkey Approach as Paradox Mitigation:</w:t>
      </w:r>
    </w:p>
    <w:p w14:paraId="04E2101D" w14:textId="77777777" w:rsidR="00DA5167" w:rsidRDefault="00000000">
      <w:pPr>
        <w:pStyle w:val="BodyText"/>
      </w:pPr>
      <w:r>
        <w:t>The CyberHygiene Project’s evolution toward a near-turnkey delivery model directly addresses this paradox. By having trained cybersecurity experts pre-configure the AI integration, develop AI-assisted operational procedures, establish validated baselines, and create documentation automation workflows during the development phase, much of the AI expertise burden is removed from the VSB adopter. The adopter receives:</w:t>
      </w:r>
    </w:p>
    <w:p w14:paraId="6F90D231" w14:textId="77777777" w:rsidR="00DA5167" w:rsidRDefault="00000000">
      <w:pPr>
        <w:pStyle w:val="Compact"/>
        <w:numPr>
          <w:ilvl w:val="0"/>
          <w:numId w:val="61"/>
        </w:numPr>
      </w:pPr>
      <w:r>
        <w:t>Pre-trained AI models tuned for common VSB security scenarios</w:t>
      </w:r>
    </w:p>
    <w:p w14:paraId="21DCA1B5" w14:textId="77777777" w:rsidR="00DA5167" w:rsidRDefault="00000000">
      <w:pPr>
        <w:pStyle w:val="Compact"/>
        <w:numPr>
          <w:ilvl w:val="0"/>
          <w:numId w:val="61"/>
        </w:numPr>
      </w:pPr>
      <w:r>
        <w:t>Pre-configured alert triage rules validated by cybersecurity professionals</w:t>
      </w:r>
    </w:p>
    <w:p w14:paraId="283452A1" w14:textId="77777777" w:rsidR="00DA5167" w:rsidRDefault="00000000">
      <w:pPr>
        <w:pStyle w:val="Compact"/>
        <w:numPr>
          <w:ilvl w:val="0"/>
          <w:numId w:val="61"/>
        </w:numPr>
      </w:pPr>
      <w:r>
        <w:t>Pre-built dashboards addressing typical compliance reporting needs</w:t>
      </w:r>
    </w:p>
    <w:p w14:paraId="7A52B4F7" w14:textId="77777777" w:rsidR="00DA5167" w:rsidRDefault="00000000">
      <w:pPr>
        <w:pStyle w:val="Compact"/>
        <w:numPr>
          <w:ilvl w:val="0"/>
          <w:numId w:val="61"/>
        </w:numPr>
      </w:pPr>
      <w:r>
        <w:t>Automated workflows that embed expert decision logic</w:t>
      </w:r>
    </w:p>
    <w:p w14:paraId="51F556B3" w14:textId="77777777" w:rsidR="00DA5167" w:rsidRDefault="00000000">
      <w:pPr>
        <w:pStyle w:val="Compact"/>
        <w:numPr>
          <w:ilvl w:val="0"/>
          <w:numId w:val="61"/>
        </w:numPr>
      </w:pPr>
      <w:r>
        <w:rPr>
          <w:b/>
          <w:bCs/>
        </w:rPr>
        <w:t>AI-assisted documentation generation:</w:t>
      </w:r>
      <w:r>
        <w:t xml:space="preserve"> Informational worksheets that capture VSB specifics and automatically generate customized System Security Plans (SSPs), Plans of Action &amp; Milestones (POA&amp;Ms), and security policy documents through AI prompting templates—eliminating the need for expensive documentation consultants</w:t>
      </w:r>
    </w:p>
    <w:p w14:paraId="4C0BEB51" w14:textId="77777777" w:rsidR="00DA5167" w:rsidRDefault="00000000">
      <w:pPr>
        <w:pStyle w:val="Compact"/>
        <w:numPr>
          <w:ilvl w:val="0"/>
          <w:numId w:val="61"/>
        </w:numPr>
      </w:pPr>
      <w:r>
        <w:rPr>
          <w:b/>
          <w:bCs/>
        </w:rPr>
        <w:lastRenderedPageBreak/>
        <w:t>Policy and procedure template library:</w:t>
      </w:r>
      <w:r>
        <w:t xml:space="preserve"> Pre-developed, VSB-tailored templates that serve dual purposes: satisfying compliance requirements while establishing business process discipline that benefits overall organizational maturity</w:t>
      </w:r>
    </w:p>
    <w:p w14:paraId="004F578C" w14:textId="77777777" w:rsidR="00DA5167" w:rsidRDefault="00000000">
      <w:pPr>
        <w:pStyle w:val="Compact"/>
        <w:numPr>
          <w:ilvl w:val="0"/>
          <w:numId w:val="61"/>
        </w:numPr>
      </w:pPr>
      <w:r>
        <w:t>Clear operating procedures for when to trust AI recommendations vs. seek human review</w:t>
      </w:r>
    </w:p>
    <w:p w14:paraId="7EDE5685" w14:textId="77777777" w:rsidR="00DA5167" w:rsidRDefault="00000000">
      <w:pPr>
        <w:pStyle w:val="FirstParagraph"/>
      </w:pPr>
      <w:r>
        <w:t>This approach transforms the competency requirement from “expertise in deploying and configuring AI security systems plus writing compliance documentation” to “competence in operating a pre-configured AI security system and reviewing AI-generated documentation for accuracy”—a significantly lower bar.</w:t>
      </w:r>
    </w:p>
    <w:p w14:paraId="32AA2328" w14:textId="77777777" w:rsidR="00DA5167" w:rsidRDefault="00000000">
      <w:pPr>
        <w:pStyle w:val="BodyText"/>
      </w:pPr>
      <w:r>
        <w:rPr>
          <w:b/>
          <w:bCs/>
        </w:rPr>
        <w:t>However, the Paradox Persists in New Forms:</w:t>
      </w:r>
    </w:p>
    <w:p w14:paraId="44137A8A" w14:textId="77777777" w:rsidR="00DA5167" w:rsidRDefault="00000000">
      <w:pPr>
        <w:pStyle w:val="BodyText"/>
      </w:pPr>
      <w:r>
        <w:t>Even with turnkey delivery, the competency paradox does not disappear—it shifts:</w:t>
      </w:r>
    </w:p>
    <w:p w14:paraId="3A50E523" w14:textId="77777777" w:rsidR="00DA5167" w:rsidRDefault="00000000">
      <w:pPr>
        <w:numPr>
          <w:ilvl w:val="0"/>
          <w:numId w:val="62"/>
        </w:numPr>
      </w:pPr>
      <w:r>
        <w:rPr>
          <w:b/>
          <w:bCs/>
        </w:rPr>
        <w:t>Operational Competency:</w:t>
      </w:r>
      <w:r>
        <w:t xml:space="preserve"> VSBs still need sufficient understanding to:</w:t>
      </w:r>
    </w:p>
    <w:p w14:paraId="4C7343DC" w14:textId="77777777" w:rsidR="00DA5167" w:rsidRDefault="00000000">
      <w:pPr>
        <w:pStyle w:val="Compact"/>
        <w:numPr>
          <w:ilvl w:val="1"/>
          <w:numId w:val="63"/>
        </w:numPr>
      </w:pPr>
      <w:r>
        <w:t>Recognize when AI recommendations are clearly wrong (basic validation)</w:t>
      </w:r>
    </w:p>
    <w:p w14:paraId="7CFF2815" w14:textId="77777777" w:rsidR="00DA5167" w:rsidRDefault="00000000">
      <w:pPr>
        <w:pStyle w:val="Compact"/>
        <w:numPr>
          <w:ilvl w:val="1"/>
          <w:numId w:val="63"/>
        </w:numPr>
      </w:pPr>
      <w:r>
        <w:t>Understand what the AI is doing well enough to explain to CMMC assessors</w:t>
      </w:r>
    </w:p>
    <w:p w14:paraId="63B1B3AC" w14:textId="77777777" w:rsidR="00DA5167" w:rsidRDefault="00000000">
      <w:pPr>
        <w:pStyle w:val="Compact"/>
        <w:numPr>
          <w:ilvl w:val="1"/>
          <w:numId w:val="63"/>
        </w:numPr>
      </w:pPr>
      <w:r>
        <w:rPr>
          <w:b/>
          <w:bCs/>
        </w:rPr>
        <w:t>Review AI-generated documentation for accuracy:</w:t>
      </w:r>
      <w:r>
        <w:t xml:space="preserve"> The AI generates draft SSPs and policies based on informational worksheets, but the VSB must verify the documentation reflects their actual practices</w:t>
      </w:r>
    </w:p>
    <w:p w14:paraId="3346CC0A" w14:textId="77777777" w:rsidR="00DA5167" w:rsidRDefault="00000000">
      <w:pPr>
        <w:pStyle w:val="Compact"/>
        <w:numPr>
          <w:ilvl w:val="1"/>
          <w:numId w:val="63"/>
        </w:numPr>
      </w:pPr>
      <w:r>
        <w:rPr>
          <w:b/>
          <w:bCs/>
        </w:rPr>
        <w:t>Implement documented procedures:</w:t>
      </w:r>
      <w:r>
        <w:t xml:space="preserve"> Having AI-generated policies is worthless if the VSB doesn’t actually follow them—the documentation-to-practice gap remains a human responsibility</w:t>
      </w:r>
    </w:p>
    <w:p w14:paraId="3E0E6D74" w14:textId="77777777" w:rsidR="00DA5167" w:rsidRDefault="00000000">
      <w:pPr>
        <w:pStyle w:val="Compact"/>
        <w:numPr>
          <w:ilvl w:val="1"/>
          <w:numId w:val="63"/>
        </w:numPr>
      </w:pPr>
      <w:r>
        <w:t>Maintain the system as business context changes (new employees, new contracts, new systems)</w:t>
      </w:r>
    </w:p>
    <w:p w14:paraId="4A89E277" w14:textId="77777777" w:rsidR="00DA5167" w:rsidRDefault="00000000">
      <w:pPr>
        <w:pStyle w:val="Compact"/>
        <w:numPr>
          <w:ilvl w:val="1"/>
          <w:numId w:val="63"/>
        </w:numPr>
      </w:pPr>
      <w:r>
        <w:t>Troubleshoot when AI-assisted workflows fail or produce unexpected results</w:t>
      </w:r>
    </w:p>
    <w:p w14:paraId="26C1DB94" w14:textId="77777777" w:rsidR="00DA5167" w:rsidRDefault="00000000">
      <w:pPr>
        <w:numPr>
          <w:ilvl w:val="0"/>
          <w:numId w:val="62"/>
        </w:numPr>
      </w:pPr>
      <w:r>
        <w:rPr>
          <w:b/>
          <w:bCs/>
        </w:rPr>
        <w:t>Update Competency:</w:t>
      </w:r>
      <w:r>
        <w:t xml:space="preserve"> The air-gapped AI system requires periodic updates:</w:t>
      </w:r>
    </w:p>
    <w:p w14:paraId="76118944" w14:textId="77777777" w:rsidR="00DA5167" w:rsidRDefault="00000000">
      <w:pPr>
        <w:pStyle w:val="Compact"/>
        <w:numPr>
          <w:ilvl w:val="1"/>
          <w:numId w:val="64"/>
        </w:numPr>
      </w:pPr>
      <w:r>
        <w:t>Security threat intelligence (new attack patterns, emerging vulnerabilities)</w:t>
      </w:r>
    </w:p>
    <w:p w14:paraId="19CBE101" w14:textId="77777777" w:rsidR="00DA5167" w:rsidRDefault="00000000">
      <w:pPr>
        <w:pStyle w:val="Compact"/>
        <w:numPr>
          <w:ilvl w:val="1"/>
          <w:numId w:val="64"/>
        </w:numPr>
      </w:pPr>
      <w:r>
        <w:t>Model refinement (reducing false positives based on organization-specific patterns)</w:t>
      </w:r>
    </w:p>
    <w:p w14:paraId="3D839B09" w14:textId="77777777" w:rsidR="00DA5167" w:rsidRDefault="00000000">
      <w:pPr>
        <w:pStyle w:val="Compact"/>
        <w:numPr>
          <w:ilvl w:val="1"/>
          <w:numId w:val="64"/>
        </w:numPr>
      </w:pPr>
      <w:r>
        <w:t>Compliance rule changes (new NIST guidance, revised OpenSCAP profiles)</w:t>
      </w:r>
    </w:p>
    <w:p w14:paraId="7CDF8088" w14:textId="77777777" w:rsidR="00DA5167" w:rsidRDefault="00000000">
      <w:pPr>
        <w:pStyle w:val="Compact"/>
        <w:numPr>
          <w:ilvl w:val="0"/>
          <w:numId w:val="65"/>
        </w:numPr>
      </w:pPr>
      <w:r>
        <w:t>Who performs these updates? If done improperly, they could degrade system effectiveness.</w:t>
      </w:r>
    </w:p>
    <w:p w14:paraId="2552E090" w14:textId="77777777" w:rsidR="00DA5167" w:rsidRDefault="00000000">
      <w:pPr>
        <w:numPr>
          <w:ilvl w:val="0"/>
          <w:numId w:val="66"/>
        </w:numPr>
      </w:pPr>
      <w:r>
        <w:rPr>
          <w:b/>
          <w:bCs/>
        </w:rPr>
        <w:t>Trust Calibration:</w:t>
      </w:r>
      <w:r>
        <w:t xml:space="preserve"> VSBs must develop appropriate trust in the pre-configured system:</w:t>
      </w:r>
    </w:p>
    <w:p w14:paraId="777DB13A" w14:textId="77777777" w:rsidR="00DA5167" w:rsidRDefault="00000000">
      <w:pPr>
        <w:pStyle w:val="Compact"/>
        <w:numPr>
          <w:ilvl w:val="1"/>
          <w:numId w:val="67"/>
        </w:numPr>
      </w:pPr>
      <w:r>
        <w:rPr>
          <w:b/>
          <w:bCs/>
        </w:rPr>
        <w:t>Over-trust:</w:t>
      </w:r>
      <w:r>
        <w:t xml:space="preserve"> “The CyberHygiene experts configured it, so it must be right”—leading to blind acceptance of AI recommendations</w:t>
      </w:r>
    </w:p>
    <w:p w14:paraId="2C04F1C3" w14:textId="77777777" w:rsidR="00DA5167" w:rsidRDefault="00000000">
      <w:pPr>
        <w:pStyle w:val="Compact"/>
        <w:numPr>
          <w:ilvl w:val="1"/>
          <w:numId w:val="67"/>
        </w:numPr>
      </w:pPr>
      <w:r>
        <w:rPr>
          <w:b/>
          <w:bCs/>
        </w:rPr>
        <w:t>Under-trust:</w:t>
      </w:r>
      <w:r>
        <w:t xml:space="preserve"> “I don’t understand how it works, so I’ll ignore its alerts”—negating the AI’s value</w:t>
      </w:r>
    </w:p>
    <w:p w14:paraId="54BB8AB3" w14:textId="77777777" w:rsidR="00DA5167" w:rsidRDefault="00000000">
      <w:pPr>
        <w:pStyle w:val="Compact"/>
        <w:numPr>
          <w:ilvl w:val="1"/>
          <w:numId w:val="67"/>
        </w:numPr>
      </w:pPr>
      <w:r>
        <w:rPr>
          <w:b/>
          <w:bCs/>
        </w:rPr>
        <w:t>Appropriate trust:</w:t>
      </w:r>
      <w:r>
        <w:t xml:space="preserve"> “The system was professionally configured for common scenarios, but I should validate its recommendations against my specific situation”</w:t>
      </w:r>
    </w:p>
    <w:p w14:paraId="39C4CC18" w14:textId="77777777" w:rsidR="00DA5167" w:rsidRDefault="00000000">
      <w:pPr>
        <w:numPr>
          <w:ilvl w:val="0"/>
          <w:numId w:val="66"/>
        </w:numPr>
      </w:pPr>
      <w:r>
        <w:rPr>
          <w:b/>
          <w:bCs/>
        </w:rPr>
        <w:lastRenderedPageBreak/>
        <w:t>Context Adaptation:</w:t>
      </w:r>
      <w:r>
        <w:t xml:space="preserve"> The MVP approach acknowledges that no turnkey solution fits all organizations perfectly. VSBs must recognize:</w:t>
      </w:r>
    </w:p>
    <w:p w14:paraId="4DD6911B" w14:textId="77777777" w:rsidR="00DA5167" w:rsidRDefault="00000000">
      <w:pPr>
        <w:pStyle w:val="Compact"/>
        <w:numPr>
          <w:ilvl w:val="1"/>
          <w:numId w:val="68"/>
        </w:numPr>
      </w:pPr>
      <w:r>
        <w:t>Which pre-configurations apply to their specific situation</w:t>
      </w:r>
    </w:p>
    <w:p w14:paraId="3B899139" w14:textId="77777777" w:rsidR="00DA5167" w:rsidRDefault="00000000">
      <w:pPr>
        <w:pStyle w:val="Compact"/>
        <w:numPr>
          <w:ilvl w:val="1"/>
          <w:numId w:val="68"/>
        </w:numPr>
      </w:pPr>
      <w:r>
        <w:t>When their organization’s unique characteristics require adjustments</w:t>
      </w:r>
    </w:p>
    <w:p w14:paraId="27951E6F" w14:textId="77777777" w:rsidR="00DA5167" w:rsidRDefault="00000000">
      <w:pPr>
        <w:pStyle w:val="Compact"/>
        <w:numPr>
          <w:ilvl w:val="1"/>
          <w:numId w:val="68"/>
        </w:numPr>
      </w:pPr>
      <w:r>
        <w:t>How to request assistance when the standard configuration is insufficient</w:t>
      </w:r>
    </w:p>
    <w:p w14:paraId="1EBD634A" w14:textId="77777777" w:rsidR="00DA5167" w:rsidRDefault="00000000">
      <w:pPr>
        <w:pStyle w:val="Compact"/>
        <w:numPr>
          <w:ilvl w:val="0"/>
          <w:numId w:val="69"/>
        </w:numPr>
      </w:pPr>
      <w:r>
        <w:t>This requires sufficient competency to know what they don’t know—itself a metacognitive challenge.</w:t>
      </w:r>
    </w:p>
    <w:p w14:paraId="6296D4FD" w14:textId="77777777" w:rsidR="00DA5167" w:rsidRDefault="00000000">
      <w:pPr>
        <w:pStyle w:val="FirstParagraph"/>
      </w:pPr>
      <w:r>
        <w:rPr>
          <w:b/>
          <w:bCs/>
        </w:rPr>
        <w:t>Implications for Turnkey Delivery:</w:t>
      </w:r>
    </w:p>
    <w:p w14:paraId="4F75D636" w14:textId="77777777" w:rsidR="00DA5167" w:rsidRDefault="00000000">
      <w:pPr>
        <w:pStyle w:val="BodyText"/>
      </w:pPr>
      <w:r>
        <w:t>The turnkey approach significantly reduces but does not eliminate the expertise requirement. This suggests several design principles for future CyberHygiene development:</w:t>
      </w:r>
    </w:p>
    <w:p w14:paraId="76A7A975" w14:textId="77777777" w:rsidR="00DA5167" w:rsidRDefault="00000000">
      <w:pPr>
        <w:pStyle w:val="Compact"/>
        <w:numPr>
          <w:ilvl w:val="0"/>
          <w:numId w:val="70"/>
        </w:numPr>
      </w:pPr>
      <w:r>
        <w:rPr>
          <w:b/>
          <w:bCs/>
        </w:rPr>
        <w:t>Graduated Automation:</w:t>
      </w:r>
      <w:r>
        <w:t xml:space="preserve"> Clearly distinguish between fully automated functions (high confidence, low risk) and human-review-required functions (lower confidence, higher stakes)</w:t>
      </w:r>
    </w:p>
    <w:p w14:paraId="191CF786" w14:textId="77777777" w:rsidR="00DA5167" w:rsidRDefault="00000000">
      <w:pPr>
        <w:pStyle w:val="Compact"/>
        <w:numPr>
          <w:ilvl w:val="0"/>
          <w:numId w:val="70"/>
        </w:numPr>
      </w:pPr>
      <w:r>
        <w:rPr>
          <w:b/>
          <w:bCs/>
        </w:rPr>
        <w:t>Explainability by Default:</w:t>
      </w:r>
      <w:r>
        <w:t xml:space="preserve"> AI recommendations must include plain-language explanations understandable to non-experts</w:t>
      </w:r>
    </w:p>
    <w:p w14:paraId="0750997D" w14:textId="77777777" w:rsidR="00DA5167" w:rsidRDefault="00000000">
      <w:pPr>
        <w:pStyle w:val="Compact"/>
        <w:numPr>
          <w:ilvl w:val="0"/>
          <w:numId w:val="70"/>
        </w:numPr>
      </w:pPr>
      <w:r>
        <w:rPr>
          <w:b/>
          <w:bCs/>
        </w:rPr>
        <w:t>Validation Checkpoints:</w:t>
      </w:r>
      <w:r>
        <w:t xml:space="preserve"> Periodic prompts requiring human acknowledgment that AI behavior matches expectations</w:t>
      </w:r>
    </w:p>
    <w:p w14:paraId="3A1D00AA" w14:textId="77777777" w:rsidR="00DA5167" w:rsidRDefault="00000000">
      <w:pPr>
        <w:pStyle w:val="Compact"/>
        <w:numPr>
          <w:ilvl w:val="0"/>
          <w:numId w:val="70"/>
        </w:numPr>
      </w:pPr>
      <w:r>
        <w:rPr>
          <w:b/>
          <w:bCs/>
        </w:rPr>
        <w:t>Competency Assessment:</w:t>
      </w:r>
      <w:r>
        <w:t xml:space="preserve"> Simple self-assessment tools helping VSBs determine if they understand the system adequately</w:t>
      </w:r>
    </w:p>
    <w:p w14:paraId="05AF52B4" w14:textId="77777777" w:rsidR="00DA5167" w:rsidRDefault="00000000">
      <w:pPr>
        <w:pStyle w:val="Compact"/>
        <w:numPr>
          <w:ilvl w:val="0"/>
          <w:numId w:val="70"/>
        </w:numPr>
      </w:pPr>
      <w:r>
        <w:rPr>
          <w:b/>
          <w:bCs/>
        </w:rPr>
        <w:t>Support Pathways:</w:t>
      </w:r>
      <w:r>
        <w:t xml:space="preserve"> Clear escalation to expert assistance when VSBs encounter situations beyond their competency</w:t>
      </w:r>
    </w:p>
    <w:p w14:paraId="320467CF" w14:textId="77777777" w:rsidR="00DA5167" w:rsidRDefault="00000000">
      <w:pPr>
        <w:pStyle w:val="FirstParagraph"/>
      </w:pPr>
      <w:r>
        <w:t>The goal is not to eliminate the need for understanding, but to make the required understanding achievable for a capable VSB operator without requiring them to become cybersecurity or AI experts.</w:t>
      </w:r>
    </w:p>
    <w:p w14:paraId="6E0F2E50" w14:textId="77777777" w:rsidR="00DA5167" w:rsidRDefault="00000000">
      <w:pPr>
        <w:pStyle w:val="Heading2"/>
      </w:pPr>
      <w:bookmarkStart w:id="59" w:name="_Toc221262049"/>
      <w:bookmarkStart w:id="60" w:name="implications-and-recommendations"/>
      <w:bookmarkEnd w:id="44"/>
      <w:bookmarkEnd w:id="58"/>
      <w:r>
        <w:rPr>
          <w:rStyle w:val="SectionNumber"/>
        </w:rPr>
        <w:t>1.7</w:t>
      </w:r>
      <w:r>
        <w:tab/>
        <w:t>Implications and Recommendations</w:t>
      </w:r>
      <w:bookmarkEnd w:id="59"/>
    </w:p>
    <w:p w14:paraId="5770A327" w14:textId="77777777" w:rsidR="00DA5167" w:rsidRDefault="00000000">
      <w:pPr>
        <w:pStyle w:val="Heading3"/>
      </w:pPr>
      <w:bookmarkStart w:id="61" w:name="_Toc221262050"/>
      <w:bookmarkStart w:id="62" w:name="for-project-documentation"/>
      <w:r>
        <w:rPr>
          <w:rStyle w:val="SectionNumber"/>
        </w:rPr>
        <w:t>1.7.1</w:t>
      </w:r>
      <w:r>
        <w:tab/>
        <w:t>For Project Documentation</w:t>
      </w:r>
      <w:bookmarkEnd w:id="61"/>
    </w:p>
    <w:p w14:paraId="1730052F" w14:textId="77777777" w:rsidR="00DA5167" w:rsidRDefault="00000000">
      <w:pPr>
        <w:pStyle w:val="FirstParagraph"/>
      </w:pPr>
      <w:r>
        <w:t>Open-source compliance projects should prominently address:</w:t>
      </w:r>
    </w:p>
    <w:p w14:paraId="284392C6" w14:textId="77777777" w:rsidR="00DA5167" w:rsidRDefault="00000000">
      <w:pPr>
        <w:numPr>
          <w:ilvl w:val="0"/>
          <w:numId w:val="71"/>
        </w:numPr>
      </w:pPr>
      <w:r>
        <w:rPr>
          <w:b/>
          <w:bCs/>
        </w:rPr>
        <w:t>Explicit Expertise Requirements:</w:t>
      </w:r>
      <w:r>
        <w:t xml:space="preserve"> Clear statements that successful implementation requires specific competencies, with honest assessment of knowledge gaps adopters should expect.</w:t>
      </w:r>
    </w:p>
    <w:p w14:paraId="43628055" w14:textId="77777777" w:rsidR="00DA5167" w:rsidRDefault="00000000">
      <w:pPr>
        <w:numPr>
          <w:ilvl w:val="0"/>
          <w:numId w:val="71"/>
        </w:numPr>
      </w:pPr>
      <w:r>
        <w:rPr>
          <w:b/>
          <w:bCs/>
        </w:rPr>
        <w:t>Operational vs. Technical Compliance:</w:t>
      </w:r>
      <w:r>
        <w:t xml:space="preserve"> Distinction between achieving passing scan scores and establishing genuine security programs.</w:t>
      </w:r>
    </w:p>
    <w:p w14:paraId="34E224E1" w14:textId="77777777" w:rsidR="00DA5167" w:rsidRDefault="00000000">
      <w:pPr>
        <w:numPr>
          <w:ilvl w:val="0"/>
          <w:numId w:val="71"/>
        </w:numPr>
      </w:pPr>
      <w:r>
        <w:rPr>
          <w:b/>
          <w:bCs/>
        </w:rPr>
        <w:t>Warning Signs of Inadequate Implementation:</w:t>
      </w:r>
      <w:r>
        <w:t xml:space="preserve"> Observable indicators that adopters may use for self-assessment (e.g., “If you have disabled SELinux, your implementation is compromised”).</w:t>
      </w:r>
    </w:p>
    <w:p w14:paraId="62ADAA12" w14:textId="77777777" w:rsidR="00DA5167" w:rsidRDefault="00000000">
      <w:pPr>
        <w:numPr>
          <w:ilvl w:val="0"/>
          <w:numId w:val="71"/>
        </w:numPr>
      </w:pPr>
      <w:r>
        <w:rPr>
          <w:b/>
          <w:bCs/>
        </w:rPr>
        <w:lastRenderedPageBreak/>
        <w:t>AI Integration Guidance:</w:t>
      </w:r>
      <w:r>
        <w:t xml:space="preserve"> If Local AI capabilities are documented, include:</w:t>
      </w:r>
    </w:p>
    <w:p w14:paraId="3B6268AE" w14:textId="77777777" w:rsidR="00DA5167" w:rsidRDefault="00000000">
      <w:pPr>
        <w:pStyle w:val="Compact"/>
        <w:numPr>
          <w:ilvl w:val="1"/>
          <w:numId w:val="72"/>
        </w:numPr>
      </w:pPr>
      <w:r>
        <w:t>Minimum competency requirements for AI deployment</w:t>
      </w:r>
    </w:p>
    <w:p w14:paraId="4956A384" w14:textId="77777777" w:rsidR="00DA5167" w:rsidRDefault="00000000">
      <w:pPr>
        <w:pStyle w:val="Compact"/>
        <w:numPr>
          <w:ilvl w:val="1"/>
          <w:numId w:val="72"/>
        </w:numPr>
      </w:pPr>
      <w:r>
        <w:t>Validation procedures for AI-generated recommendations</w:t>
      </w:r>
    </w:p>
    <w:p w14:paraId="1BCBE3A9" w14:textId="77777777" w:rsidR="00DA5167" w:rsidRDefault="00000000">
      <w:pPr>
        <w:pStyle w:val="Compact"/>
        <w:numPr>
          <w:ilvl w:val="1"/>
          <w:numId w:val="72"/>
        </w:numPr>
      </w:pPr>
      <w:r>
        <w:t>Explicit warnings about over-reliance on automated analysis</w:t>
      </w:r>
    </w:p>
    <w:p w14:paraId="77E982AA" w14:textId="77777777" w:rsidR="00DA5167" w:rsidRDefault="00000000">
      <w:pPr>
        <w:pStyle w:val="Compact"/>
        <w:numPr>
          <w:ilvl w:val="1"/>
          <w:numId w:val="72"/>
        </w:numPr>
      </w:pPr>
      <w:r>
        <w:t>Guidelines for human oversight and decision authority</w:t>
      </w:r>
    </w:p>
    <w:p w14:paraId="54469D68" w14:textId="77777777" w:rsidR="00DA5167" w:rsidRDefault="00000000">
      <w:pPr>
        <w:pStyle w:val="Heading3"/>
      </w:pPr>
      <w:bookmarkStart w:id="63" w:name="_Toc221262051"/>
      <w:bookmarkStart w:id="64" w:name="for-potential-adopters-especially-vsbs"/>
      <w:bookmarkEnd w:id="62"/>
      <w:r>
        <w:rPr>
          <w:rStyle w:val="SectionNumber"/>
        </w:rPr>
        <w:t>1.7.2</w:t>
      </w:r>
      <w:r>
        <w:tab/>
        <w:t>For Potential Adopters (Especially VSBs)</w:t>
      </w:r>
      <w:bookmarkEnd w:id="63"/>
    </w:p>
    <w:p w14:paraId="34117CF8" w14:textId="77777777" w:rsidR="00DA5167" w:rsidRDefault="00000000">
      <w:pPr>
        <w:pStyle w:val="FirstParagraph"/>
      </w:pPr>
      <w:r>
        <w:t>Very small businesses considering the CyberHygiene approach—or any open-source compliance framework—should:</w:t>
      </w:r>
    </w:p>
    <w:p w14:paraId="1DF3F5EF" w14:textId="77777777" w:rsidR="00DA5167" w:rsidRDefault="00000000">
      <w:pPr>
        <w:numPr>
          <w:ilvl w:val="0"/>
          <w:numId w:val="73"/>
        </w:numPr>
      </w:pPr>
      <w:r>
        <w:rPr>
          <w:b/>
          <w:bCs/>
        </w:rPr>
        <w:t>Understand Your Actual Requirements:</w:t>
      </w:r>
      <w:r>
        <w:t xml:space="preserve"> Determine whether contracts will involve Federal Contract Information (FCI) or Controlled Unclassified Information (CUI). This is the critical distinction:</w:t>
      </w:r>
    </w:p>
    <w:p w14:paraId="332EA260" w14:textId="77777777" w:rsidR="00DA5167" w:rsidRDefault="00000000">
      <w:pPr>
        <w:pStyle w:val="Compact"/>
        <w:numPr>
          <w:ilvl w:val="1"/>
          <w:numId w:val="74"/>
        </w:numPr>
      </w:pPr>
      <w:r>
        <w:rPr>
          <w:b/>
          <w:bCs/>
        </w:rPr>
        <w:t>FCI:</w:t>
      </w:r>
      <w:r>
        <w:t xml:space="preserve"> 15 controls (FAR 52.204-21) regardless of agency</w:t>
      </w:r>
    </w:p>
    <w:p w14:paraId="1F17FA78" w14:textId="77777777" w:rsidR="00DA5167" w:rsidRDefault="00000000">
      <w:pPr>
        <w:pStyle w:val="Compact"/>
        <w:numPr>
          <w:ilvl w:val="1"/>
          <w:numId w:val="74"/>
        </w:numPr>
      </w:pPr>
      <w:r>
        <w:rPr>
          <w:b/>
          <w:bCs/>
        </w:rPr>
        <w:t>CUI:</w:t>
      </w:r>
      <w:r>
        <w:t xml:space="preserve"> 110 controls (DFARS 252.204-7012 for DoD; equivalent requirements emerging for civilian agencies per FAR Case 2021-019)</w:t>
      </w:r>
    </w:p>
    <w:p w14:paraId="75F08CE8" w14:textId="77777777" w:rsidR="00DA5167" w:rsidRDefault="00000000">
      <w:pPr>
        <w:pStyle w:val="Compact"/>
        <w:numPr>
          <w:ilvl w:val="0"/>
          <w:numId w:val="75"/>
        </w:numPr>
      </w:pPr>
      <w:r>
        <w:t>Do not assume that non-DoD contracts only require 15 controls—if the contract involves CUI, the full 110 controls apply. Verify with contracting officers what information classification you will handle and what compliance level is required. Review contract clauses carefully and ask for clarification if uncertain.</w:t>
      </w:r>
    </w:p>
    <w:p w14:paraId="285A8CC7" w14:textId="77777777" w:rsidR="00DA5167" w:rsidRDefault="00000000">
      <w:pPr>
        <w:numPr>
          <w:ilvl w:val="0"/>
          <w:numId w:val="76"/>
        </w:numPr>
      </w:pPr>
      <w:r>
        <w:rPr>
          <w:b/>
          <w:bCs/>
        </w:rPr>
        <w:t>Conduct Honest Competency Assessment:</w:t>
      </w:r>
      <w:r>
        <w:t xml:space="preserve"> Seek external evaluation of cybersecurity capabilities before attempting self-implementation. For VSBs, this is particularly critical when the same person responsible for IT also handles business development, finance, or operations.</w:t>
      </w:r>
    </w:p>
    <w:p w14:paraId="34D788BC" w14:textId="77777777" w:rsidR="00DA5167" w:rsidRDefault="00000000">
      <w:pPr>
        <w:numPr>
          <w:ilvl w:val="0"/>
          <w:numId w:val="76"/>
        </w:numPr>
      </w:pPr>
      <w:r>
        <w:rPr>
          <w:b/>
          <w:bCs/>
        </w:rPr>
        <w:t>Engage Professional Guidance:</w:t>
      </w:r>
      <w:r>
        <w:t xml:space="preserve"> Budget for at least initial consultation with qualified cybersecurity professionals, even if ongoing managed services are unaffordable. A one-time gap assessment ($3,000-$5,000) can prevent costly mistakes during implementation.</w:t>
      </w:r>
    </w:p>
    <w:p w14:paraId="4BA550FD" w14:textId="77777777" w:rsidR="00DA5167" w:rsidRDefault="00000000">
      <w:pPr>
        <w:numPr>
          <w:ilvl w:val="0"/>
          <w:numId w:val="76"/>
        </w:numPr>
      </w:pPr>
      <w:r>
        <w:rPr>
          <w:b/>
          <w:bCs/>
        </w:rPr>
        <w:t>Plan for Operational Continuity:</w:t>
      </w:r>
      <w:r>
        <w:t xml:space="preserve"> Technical deployment is only the beginning. VSBs must establish:</w:t>
      </w:r>
    </w:p>
    <w:p w14:paraId="2020D8B2" w14:textId="77777777" w:rsidR="00DA5167" w:rsidRDefault="00000000">
      <w:pPr>
        <w:pStyle w:val="Compact"/>
        <w:numPr>
          <w:ilvl w:val="1"/>
          <w:numId w:val="77"/>
        </w:numPr>
      </w:pPr>
      <w:r>
        <w:t>Documented procedures for routine security tasks (weekly log reviews, monthly vulnerability scans)</w:t>
      </w:r>
    </w:p>
    <w:p w14:paraId="2725F5E3" w14:textId="77777777" w:rsidR="00DA5167" w:rsidRDefault="00000000">
      <w:pPr>
        <w:pStyle w:val="Compact"/>
        <w:numPr>
          <w:ilvl w:val="1"/>
          <w:numId w:val="77"/>
        </w:numPr>
      </w:pPr>
      <w:r>
        <w:t>Backup personnel who can perform critical security functions when primary person unavailable</w:t>
      </w:r>
    </w:p>
    <w:p w14:paraId="7656DB68" w14:textId="77777777" w:rsidR="00DA5167" w:rsidRDefault="00000000">
      <w:pPr>
        <w:pStyle w:val="Compact"/>
        <w:numPr>
          <w:ilvl w:val="1"/>
          <w:numId w:val="77"/>
        </w:numPr>
      </w:pPr>
      <w:r>
        <w:t>Escalation procedures for security incidents (even if escalation is to external consultant)</w:t>
      </w:r>
    </w:p>
    <w:p w14:paraId="7D2C0BBB" w14:textId="77777777" w:rsidR="00DA5167" w:rsidRDefault="00000000">
      <w:pPr>
        <w:pStyle w:val="Compact"/>
        <w:numPr>
          <w:ilvl w:val="1"/>
          <w:numId w:val="77"/>
        </w:numPr>
      </w:pPr>
      <w:r>
        <w:t>Annual review and update cycle for security policies and configurations</w:t>
      </w:r>
    </w:p>
    <w:p w14:paraId="1DCAF4CE" w14:textId="77777777" w:rsidR="00DA5167" w:rsidRDefault="00000000">
      <w:pPr>
        <w:numPr>
          <w:ilvl w:val="0"/>
          <w:numId w:val="76"/>
        </w:numPr>
      </w:pPr>
      <w:r>
        <w:rPr>
          <w:b/>
          <w:bCs/>
        </w:rPr>
        <w:t>Understand Before Implementing:</w:t>
      </w:r>
      <w:r>
        <w:t xml:space="preserve"> Study each software component’s security function, not merely its installation procedure. If time constraints prevent this, consider whether self-implementation is appropriate for your organization.</w:t>
      </w:r>
    </w:p>
    <w:p w14:paraId="0E1E3DA8" w14:textId="77777777" w:rsidR="00DA5167" w:rsidRDefault="00000000">
      <w:pPr>
        <w:numPr>
          <w:ilvl w:val="0"/>
          <w:numId w:val="76"/>
        </w:numPr>
      </w:pPr>
      <w:r>
        <w:rPr>
          <w:b/>
          <w:bCs/>
        </w:rPr>
        <w:lastRenderedPageBreak/>
        <w:t>Establish Realistic Operational Procedures:</w:t>
      </w:r>
      <w:r>
        <w:t xml:space="preserve"> Deploy monitoring tools only with corresponding commitment to review and respond to alerts. For VSBs with limited staff, this may mean:</w:t>
      </w:r>
    </w:p>
    <w:p w14:paraId="39302010" w14:textId="77777777" w:rsidR="00DA5167" w:rsidRDefault="00000000">
      <w:pPr>
        <w:pStyle w:val="Compact"/>
        <w:numPr>
          <w:ilvl w:val="1"/>
          <w:numId w:val="78"/>
        </w:numPr>
      </w:pPr>
      <w:r>
        <w:t>Accepting that monitoring is business-hours-only and documenting this limitation</w:t>
      </w:r>
    </w:p>
    <w:p w14:paraId="064ACAFA" w14:textId="77777777" w:rsidR="00DA5167" w:rsidRDefault="00000000">
      <w:pPr>
        <w:pStyle w:val="Compact"/>
        <w:numPr>
          <w:ilvl w:val="1"/>
          <w:numId w:val="78"/>
        </w:numPr>
      </w:pPr>
      <w:r>
        <w:t>Scheduling dedicated time blocks for security tasks (e.g., every Monday 2-4pm)</w:t>
      </w:r>
    </w:p>
    <w:p w14:paraId="7E597F08" w14:textId="77777777" w:rsidR="00DA5167" w:rsidRDefault="00000000">
      <w:pPr>
        <w:pStyle w:val="Compact"/>
        <w:numPr>
          <w:ilvl w:val="1"/>
          <w:numId w:val="78"/>
        </w:numPr>
      </w:pPr>
      <w:r>
        <w:t>Using AI assistance for alert triage to make limited time more effective</w:t>
      </w:r>
    </w:p>
    <w:p w14:paraId="4A6B482C" w14:textId="77777777" w:rsidR="00DA5167" w:rsidRDefault="00000000">
      <w:pPr>
        <w:numPr>
          <w:ilvl w:val="0"/>
          <w:numId w:val="76"/>
        </w:numPr>
      </w:pPr>
      <w:r>
        <w:rPr>
          <w:b/>
          <w:bCs/>
        </w:rPr>
        <w:t>Evaluate AI Carefully:</w:t>
      </w:r>
      <w:r>
        <w:t xml:space="preserve"> If considering Local AI integration:</w:t>
      </w:r>
    </w:p>
    <w:p w14:paraId="10BC99FA" w14:textId="77777777" w:rsidR="00DA5167" w:rsidRDefault="00000000">
      <w:pPr>
        <w:pStyle w:val="Compact"/>
        <w:numPr>
          <w:ilvl w:val="1"/>
          <w:numId w:val="79"/>
        </w:numPr>
      </w:pPr>
      <w:r>
        <w:t>Pilot the system with test data before processing production logs</w:t>
      </w:r>
    </w:p>
    <w:p w14:paraId="2E6BC511" w14:textId="77777777" w:rsidR="00DA5167" w:rsidRDefault="00000000">
      <w:pPr>
        <w:pStyle w:val="Compact"/>
        <w:numPr>
          <w:ilvl w:val="1"/>
          <w:numId w:val="79"/>
        </w:numPr>
      </w:pPr>
      <w:r>
        <w:t>Validate AI recommendations against known-good baselines</w:t>
      </w:r>
    </w:p>
    <w:p w14:paraId="7773EE52" w14:textId="77777777" w:rsidR="00DA5167" w:rsidRDefault="00000000">
      <w:pPr>
        <w:pStyle w:val="Compact"/>
        <w:numPr>
          <w:ilvl w:val="1"/>
          <w:numId w:val="79"/>
        </w:numPr>
      </w:pPr>
      <w:r>
        <w:t>Maintain human decision authority at all times</w:t>
      </w:r>
    </w:p>
    <w:p w14:paraId="358AB521" w14:textId="77777777" w:rsidR="00DA5167" w:rsidRDefault="00000000">
      <w:pPr>
        <w:pStyle w:val="Compact"/>
        <w:numPr>
          <w:ilvl w:val="1"/>
          <w:numId w:val="79"/>
        </w:numPr>
      </w:pPr>
      <w:r>
        <w:t>Document AI system architecture for CMMC assessors or contract auditors</w:t>
      </w:r>
    </w:p>
    <w:p w14:paraId="255377B3" w14:textId="77777777" w:rsidR="00DA5167" w:rsidRDefault="00000000">
      <w:pPr>
        <w:pStyle w:val="Compact"/>
        <w:numPr>
          <w:ilvl w:val="1"/>
          <w:numId w:val="79"/>
        </w:numPr>
      </w:pPr>
      <w:r>
        <w:t>Budget for ongoing model maintenance and tuning</w:t>
      </w:r>
    </w:p>
    <w:p w14:paraId="0E23D729" w14:textId="77777777" w:rsidR="00DA5167" w:rsidRDefault="00000000">
      <w:pPr>
        <w:pStyle w:val="Compact"/>
        <w:numPr>
          <w:ilvl w:val="1"/>
          <w:numId w:val="79"/>
        </w:numPr>
      </w:pPr>
      <w:r>
        <w:t>Recognize that AI assistance does not eliminate the need for security expertise</w:t>
      </w:r>
    </w:p>
    <w:p w14:paraId="1001FE2A" w14:textId="77777777" w:rsidR="00DA5167" w:rsidRDefault="00000000">
      <w:pPr>
        <w:numPr>
          <w:ilvl w:val="0"/>
          <w:numId w:val="76"/>
        </w:numPr>
      </w:pPr>
      <w:r>
        <w:rPr>
          <w:b/>
          <w:bCs/>
        </w:rPr>
        <w:t>Distinguish Compliance from Certification:</w:t>
      </w:r>
      <w:r>
        <w:t xml:space="preserve"> Understand that achieving NIST 800-171 compliance (implementing the controls) is different from CMMC certification (having compliance verified by third-party assessor). Self-implementation addresses the former; C3PAO assessment is still required for the latter when pursuing DoD contracts.</w:t>
      </w:r>
    </w:p>
    <w:p w14:paraId="37804290" w14:textId="77777777" w:rsidR="00DA5167" w:rsidRDefault="00000000">
      <w:pPr>
        <w:pStyle w:val="Heading3"/>
      </w:pPr>
      <w:bookmarkStart w:id="65" w:name="_Toc221262052"/>
      <w:bookmarkStart w:id="66" w:name="for-the-federal-contracting-ecosystem"/>
      <w:bookmarkEnd w:id="64"/>
      <w:r>
        <w:rPr>
          <w:rStyle w:val="SectionNumber"/>
        </w:rPr>
        <w:t>1.7.3</w:t>
      </w:r>
      <w:r>
        <w:tab/>
        <w:t>For the Federal Contracting Ecosystem</w:t>
      </w:r>
      <w:bookmarkEnd w:id="65"/>
    </w:p>
    <w:p w14:paraId="4E8655B8" w14:textId="77777777" w:rsidR="00DA5167" w:rsidRDefault="00000000">
      <w:pPr>
        <w:pStyle w:val="FirstParagraph"/>
      </w:pPr>
      <w:r>
        <w:t>The federal government’s cybersecurity requirements for contractors continue to evolve. While CMMC addresses self-assessment bias for defense contractors, broader challenges remain:</w:t>
      </w:r>
    </w:p>
    <w:p w14:paraId="129351A8" w14:textId="77777777" w:rsidR="00DA5167" w:rsidRDefault="00000000">
      <w:pPr>
        <w:pStyle w:val="BodyText"/>
      </w:pPr>
      <w:r>
        <w:rPr>
          <w:b/>
          <w:bCs/>
        </w:rPr>
        <w:t>For Regulatory Bodies:</w:t>
      </w:r>
    </w:p>
    <w:p w14:paraId="38B05D64" w14:textId="77777777" w:rsidR="00DA5167" w:rsidRDefault="00000000">
      <w:pPr>
        <w:numPr>
          <w:ilvl w:val="0"/>
          <w:numId w:val="80"/>
        </w:numPr>
      </w:pPr>
      <w:r>
        <w:rPr>
          <w:b/>
          <w:bCs/>
        </w:rPr>
        <w:t>Harmonize Requirements Across Agencies:</w:t>
      </w:r>
      <w:r>
        <w:t xml:space="preserve"> Different civilian agencies often impose varying interpretations of NIST standards. Guidance clarifying the relationship between FAR 52.204-21, DFARS 252.204-7012, and agency-specific requirements would reduce VSB confusion.</w:t>
      </w:r>
    </w:p>
    <w:p w14:paraId="60FBAA7B" w14:textId="77777777" w:rsidR="00DA5167" w:rsidRDefault="00000000">
      <w:pPr>
        <w:numPr>
          <w:ilvl w:val="0"/>
          <w:numId w:val="80"/>
        </w:numPr>
      </w:pPr>
      <w:r>
        <w:rPr>
          <w:b/>
          <w:bCs/>
        </w:rPr>
        <w:t>Recognize VSB Resource Constraints:</w:t>
      </w:r>
      <w:r>
        <w:t xml:space="preserve"> Compliance frameworks designed for large enterprises may be impractical for organizations with 15 or fewer employees. Consider:</w:t>
      </w:r>
    </w:p>
    <w:p w14:paraId="31C812C4" w14:textId="77777777" w:rsidR="00DA5167" w:rsidRDefault="00000000">
      <w:pPr>
        <w:pStyle w:val="Compact"/>
        <w:numPr>
          <w:ilvl w:val="1"/>
          <w:numId w:val="81"/>
        </w:numPr>
      </w:pPr>
      <w:r>
        <w:t>Tiered assessment models with reduced-cost options for VSBs</w:t>
      </w:r>
    </w:p>
    <w:p w14:paraId="6384BA20" w14:textId="77777777" w:rsidR="00DA5167" w:rsidRDefault="00000000">
      <w:pPr>
        <w:pStyle w:val="Compact"/>
        <w:numPr>
          <w:ilvl w:val="1"/>
          <w:numId w:val="81"/>
        </w:numPr>
      </w:pPr>
      <w:r>
        <w:t>Pre-assessment readiness reviews to identify gaps before formal evaluation</w:t>
      </w:r>
    </w:p>
    <w:p w14:paraId="75E53E0E" w14:textId="77777777" w:rsidR="00DA5167" w:rsidRDefault="00000000">
      <w:pPr>
        <w:pStyle w:val="Compact"/>
        <w:numPr>
          <w:ilvl w:val="1"/>
          <w:numId w:val="81"/>
        </w:numPr>
      </w:pPr>
      <w:r>
        <w:t>Safe harbor provisions for VSBs demonstrating good-faith compliance efforts</w:t>
      </w:r>
    </w:p>
    <w:p w14:paraId="768A9685" w14:textId="77777777" w:rsidR="00DA5167" w:rsidRDefault="00000000">
      <w:pPr>
        <w:pStyle w:val="Compact"/>
        <w:numPr>
          <w:ilvl w:val="1"/>
          <w:numId w:val="81"/>
        </w:numPr>
      </w:pPr>
      <w:r>
        <w:t>Extended timelines for remediation when VSB demonstrates progress</w:t>
      </w:r>
    </w:p>
    <w:p w14:paraId="3DBD5AB0" w14:textId="77777777" w:rsidR="00DA5167" w:rsidRDefault="00000000">
      <w:pPr>
        <w:numPr>
          <w:ilvl w:val="0"/>
          <w:numId w:val="80"/>
        </w:numPr>
      </w:pPr>
      <w:r>
        <w:rPr>
          <w:b/>
          <w:bCs/>
        </w:rPr>
        <w:lastRenderedPageBreak/>
        <w:t>Provide Implementation Guidance:</w:t>
      </w:r>
      <w:r>
        <w:t xml:space="preserve"> Technical standards (NIST SP 800-171) exist, but practical implementation guidance for resource-constrained organizations is sparse. Government-sponsored reference implementations, example configurations, and deployment guides would benefit the entire contracting base. The CyberHygiene Project’s open-source repository (https://github.com/dshannon46-jpg) provides one such community-developed reference implementation; regulatory bodies could point to validated open-source examples as acceptable implementation approaches.</w:t>
      </w:r>
    </w:p>
    <w:p w14:paraId="244CDAD8" w14:textId="77777777" w:rsidR="00DA5167" w:rsidRDefault="00000000">
      <w:pPr>
        <w:numPr>
          <w:ilvl w:val="0"/>
          <w:numId w:val="80"/>
        </w:numPr>
      </w:pPr>
      <w:r>
        <w:rPr>
          <w:b/>
          <w:bCs/>
        </w:rPr>
        <w:t>Support Community-Driven Solutions:</w:t>
      </w:r>
      <w:r>
        <w:t xml:space="preserve"> Recognize and encourage non-commercial, open-source efforts that reduce compliance barriers for small businesses. When qualified experts volunteer time to develop community resources like the CyberHygiene Project (https://cyberinabox.net), regulatory endorsement or acknowledgment can accelerate adoption and improvement, benefiting the entire VSB community without government expenditure.</w:t>
      </w:r>
    </w:p>
    <w:p w14:paraId="33746032" w14:textId="77777777" w:rsidR="00DA5167" w:rsidRDefault="00000000">
      <w:pPr>
        <w:pStyle w:val="FirstParagraph"/>
      </w:pPr>
      <w:r>
        <w:rPr>
          <w:b/>
          <w:bCs/>
        </w:rPr>
        <w:t>For CMMC Program:</w:t>
      </w:r>
    </w:p>
    <w:p w14:paraId="129B1BD5" w14:textId="77777777" w:rsidR="00DA5167" w:rsidRDefault="00000000">
      <w:pPr>
        <w:numPr>
          <w:ilvl w:val="0"/>
          <w:numId w:val="82"/>
        </w:numPr>
      </w:pPr>
      <w:r>
        <w:rPr>
          <w:b/>
          <w:bCs/>
        </w:rPr>
        <w:t>Clarify Scope and Applicability:</w:t>
      </w:r>
      <w:r>
        <w:t xml:space="preserve"> Many VSBs remain confused about when CMMC applies versus when NIST 800-171 self-assessment suffices. Clear flowcharts mapping contract types to requirements would prevent over-compliance or under-compliance.</w:t>
      </w:r>
    </w:p>
    <w:p w14:paraId="638780A9" w14:textId="77777777" w:rsidR="00DA5167" w:rsidRDefault="00000000">
      <w:pPr>
        <w:numPr>
          <w:ilvl w:val="0"/>
          <w:numId w:val="82"/>
        </w:numPr>
      </w:pPr>
      <w:r>
        <w:rPr>
          <w:b/>
          <w:bCs/>
        </w:rPr>
        <w:t>Address Assessment Costs:</w:t>
      </w:r>
      <w:r>
        <w:t xml:space="preserve"> C3PAO assessment costs ($15,000-$40,000)</w:t>
      </w:r>
      <w:r>
        <w:rPr>
          <w:rStyle w:val="FootnoteReference"/>
        </w:rPr>
        <w:footnoteReference w:id="27"/>
      </w:r>
      <w:r>
        <w:t xml:space="preserve"> remain prohibitive for many VSBs. Options include:</w:t>
      </w:r>
    </w:p>
    <w:p w14:paraId="605FBBC5" w14:textId="77777777" w:rsidR="00DA5167" w:rsidRDefault="00000000">
      <w:pPr>
        <w:pStyle w:val="Compact"/>
        <w:numPr>
          <w:ilvl w:val="1"/>
          <w:numId w:val="83"/>
        </w:numPr>
      </w:pPr>
      <w:r>
        <w:t>Tiered pricing based on organization size</w:t>
      </w:r>
    </w:p>
    <w:p w14:paraId="53B34F61" w14:textId="77777777" w:rsidR="00DA5167" w:rsidRDefault="00000000">
      <w:pPr>
        <w:pStyle w:val="Compact"/>
        <w:numPr>
          <w:ilvl w:val="1"/>
          <w:numId w:val="83"/>
        </w:numPr>
      </w:pPr>
      <w:r>
        <w:t>Multi-year certifications for low-risk contractors</w:t>
      </w:r>
    </w:p>
    <w:p w14:paraId="20F91BC6" w14:textId="77777777" w:rsidR="00DA5167" w:rsidRDefault="00000000">
      <w:pPr>
        <w:pStyle w:val="Compact"/>
        <w:numPr>
          <w:ilvl w:val="1"/>
          <w:numId w:val="83"/>
        </w:numPr>
      </w:pPr>
      <w:r>
        <w:t>Shared assessment costs for contractors in similar industries/configurations</w:t>
      </w:r>
    </w:p>
    <w:p w14:paraId="0FAB451D" w14:textId="77777777" w:rsidR="00DA5167" w:rsidRDefault="00000000">
      <w:pPr>
        <w:numPr>
          <w:ilvl w:val="0"/>
          <w:numId w:val="82"/>
        </w:numPr>
      </w:pPr>
      <w:r>
        <w:rPr>
          <w:b/>
          <w:bCs/>
        </w:rPr>
        <w:t>AI System Assessment Criteria:</w:t>
      </w:r>
      <w:r>
        <w:t xml:space="preserve"> As Local AI adoption increases, CMMC should develop:</w:t>
      </w:r>
    </w:p>
    <w:p w14:paraId="38871645" w14:textId="77777777" w:rsidR="00DA5167" w:rsidRDefault="00000000">
      <w:pPr>
        <w:pStyle w:val="Compact"/>
        <w:numPr>
          <w:ilvl w:val="1"/>
          <w:numId w:val="84"/>
        </w:numPr>
      </w:pPr>
      <w:r>
        <w:t>Standards for evaluating AI-augmented security operations</w:t>
      </w:r>
    </w:p>
    <w:p w14:paraId="316E1967" w14:textId="77777777" w:rsidR="00DA5167" w:rsidRDefault="00000000">
      <w:pPr>
        <w:pStyle w:val="Compact"/>
        <w:numPr>
          <w:ilvl w:val="1"/>
          <w:numId w:val="84"/>
        </w:numPr>
      </w:pPr>
      <w:r>
        <w:t>Requirements for explainability and auditability of AI decisions</w:t>
      </w:r>
    </w:p>
    <w:p w14:paraId="67D15111" w14:textId="77777777" w:rsidR="00DA5167" w:rsidRDefault="00000000">
      <w:pPr>
        <w:pStyle w:val="Compact"/>
        <w:numPr>
          <w:ilvl w:val="1"/>
          <w:numId w:val="84"/>
        </w:numPr>
      </w:pPr>
      <w:r>
        <w:t>Guidance on acceptable vs. unacceptable AI autonomy levels</w:t>
      </w:r>
    </w:p>
    <w:p w14:paraId="641FF268" w14:textId="77777777" w:rsidR="00DA5167" w:rsidRDefault="00000000">
      <w:pPr>
        <w:pStyle w:val="Compact"/>
        <w:numPr>
          <w:ilvl w:val="1"/>
          <w:numId w:val="84"/>
        </w:numPr>
      </w:pPr>
      <w:r>
        <w:t>Assessment of organizations’ ability to validate AI recommendations</w:t>
      </w:r>
    </w:p>
    <w:p w14:paraId="38A37BF0" w14:textId="77777777" w:rsidR="00DA5167" w:rsidRDefault="00000000">
      <w:pPr>
        <w:pStyle w:val="FirstParagraph"/>
      </w:pPr>
      <w:r>
        <w:rPr>
          <w:b/>
          <w:bCs/>
        </w:rPr>
        <w:t>For Prime Contractors:</w:t>
      </w:r>
    </w:p>
    <w:p w14:paraId="72D67F33" w14:textId="77777777" w:rsidR="00DA5167" w:rsidRDefault="00000000">
      <w:pPr>
        <w:pStyle w:val="Compact"/>
        <w:numPr>
          <w:ilvl w:val="0"/>
          <w:numId w:val="85"/>
        </w:numPr>
      </w:pPr>
      <w:r>
        <w:rPr>
          <w:b/>
          <w:bCs/>
        </w:rPr>
        <w:t>Subcontractor Support Programs:</w:t>
      </w:r>
      <w:r>
        <w:t xml:space="preserve"> Large primes often require small subcontractors to achieve CMMC compliance but provide limited assistance. Consider:</w:t>
      </w:r>
    </w:p>
    <w:p w14:paraId="29DABFA4" w14:textId="77777777" w:rsidR="00DA5167" w:rsidRDefault="00000000">
      <w:pPr>
        <w:pStyle w:val="Compact"/>
        <w:numPr>
          <w:ilvl w:val="1"/>
          <w:numId w:val="86"/>
        </w:numPr>
      </w:pPr>
      <w:r>
        <w:lastRenderedPageBreak/>
        <w:t>Shared security infrastructure (allow subs to use prime’s security monitoring)</w:t>
      </w:r>
    </w:p>
    <w:p w14:paraId="47F6B0A6" w14:textId="77777777" w:rsidR="00DA5167" w:rsidRDefault="00000000">
      <w:pPr>
        <w:pStyle w:val="Compact"/>
        <w:numPr>
          <w:ilvl w:val="1"/>
          <w:numId w:val="86"/>
        </w:numPr>
      </w:pPr>
      <w:r>
        <w:t>Group purchasing programs for security tools and assessments</w:t>
      </w:r>
    </w:p>
    <w:p w14:paraId="5DE3A160" w14:textId="77777777" w:rsidR="00DA5167" w:rsidRDefault="00000000">
      <w:pPr>
        <w:pStyle w:val="Compact"/>
        <w:numPr>
          <w:ilvl w:val="1"/>
          <w:numId w:val="86"/>
        </w:numPr>
      </w:pPr>
      <w:r>
        <w:t>Mentorship programs pairing experienced security teams with VSBs</w:t>
      </w:r>
    </w:p>
    <w:p w14:paraId="00B2CE40" w14:textId="77777777" w:rsidR="00DA5167" w:rsidRDefault="00000000">
      <w:pPr>
        <w:pStyle w:val="Compact"/>
        <w:numPr>
          <w:ilvl w:val="1"/>
          <w:numId w:val="86"/>
        </w:numPr>
      </w:pPr>
      <w:r>
        <w:t>Clear guidance on what compliance documentation primes need from subs</w:t>
      </w:r>
    </w:p>
    <w:p w14:paraId="669F0FB7" w14:textId="77777777" w:rsidR="00DA5167" w:rsidRDefault="00000000">
      <w:pPr>
        <w:pStyle w:val="Compact"/>
        <w:numPr>
          <w:ilvl w:val="0"/>
          <w:numId w:val="85"/>
        </w:numPr>
      </w:pPr>
      <w:r>
        <w:rPr>
          <w:b/>
          <w:bCs/>
        </w:rPr>
        <w:t>Realistic Timelines:</w:t>
      </w:r>
      <w:r>
        <w:t xml:space="preserve"> When flowdown requirements mandate CMMC or NIST 800-171 compliance, provide subcontractors adequate time and resources to achieve compliance rather than imposing immediate deadlines.</w:t>
      </w:r>
    </w:p>
    <w:p w14:paraId="7F2ACE99" w14:textId="77777777" w:rsidR="00DA5167" w:rsidRDefault="00000000">
      <w:pPr>
        <w:pStyle w:val="Heading2"/>
      </w:pPr>
      <w:bookmarkStart w:id="67" w:name="_Toc221262053"/>
      <w:bookmarkStart w:id="68" w:name="conclusion"/>
      <w:bookmarkEnd w:id="60"/>
      <w:bookmarkEnd w:id="66"/>
      <w:r>
        <w:rPr>
          <w:rStyle w:val="SectionNumber"/>
        </w:rPr>
        <w:t>1.8</w:t>
      </w:r>
      <w:r>
        <w:tab/>
        <w:t>Conclusion</w:t>
      </w:r>
      <w:bookmarkEnd w:id="67"/>
    </w:p>
    <w:p w14:paraId="2844B733" w14:textId="77777777" w:rsidR="00DA5167" w:rsidRDefault="00000000">
      <w:pPr>
        <w:pStyle w:val="FirstParagraph"/>
      </w:pPr>
      <w:r>
        <w:t>The CyberHygiene Project demonstrates valuable principles as a research and development effort: that NIST 800-171 technical controls can be implemented with open-source tools and AI assistance, that commodity hardware is sufficient, that staged implementation (15 controls for FCI to 110 controls for CUI) can match information sensitivity requirements, and that transparent documentation enables knowledge sharing across the federal contracting ecosystem. Moreover, the project’s evolution toward near-turnkey delivery—where trained cybersecurity experts pre-configure complex systems, embed AI-assisted automation, and provide documentation generation workflows—offers a promising path to making compliance accessible to very small businesses without requiring them to become security experts or hire expensive consultants.</w:t>
      </w:r>
    </w:p>
    <w:p w14:paraId="6F34DD7E" w14:textId="77777777" w:rsidR="00DA5167" w:rsidRDefault="00000000">
      <w:pPr>
        <w:pStyle w:val="BodyText"/>
      </w:pPr>
      <w:r>
        <w:rPr>
          <w:b/>
          <w:bCs/>
        </w:rPr>
        <w:t>Beyond Technical Compliance - Business Process Maturity:</w:t>
      </w:r>
      <w:r>
        <w:t xml:space="preserve"> A particularly valuable but often overlooked benefit of the CyberHygiene approach is how the required cybersecurity documentation discipline catalyzes broader organizational improvement. NIST 800-171 compliance demands detailed policy and procedure documentation—defining who does what, when, and how—and implementing these as actual business practices. While VSBs often view this as a compliance burden, the structured approach to documenting processes, assigning responsibilities, and establishing accountability provides a framework applicable to other business functions. The discipline learned in documenting security procedures can improve quality management, customer service workflows, financial controls, and operational consistency. The AI-assisted documentation generation—where informational worksheets capture operational reality and generate corresponding policy documents—ensures this documentation reflects what the organization actually does rather than aspirational statements, making it a useful operational tool rather than shelf-ware. Cybersecurity compliance becomes a catalyst for organizational maturity, not merely a checkbox exercise.</w:t>
      </w:r>
    </w:p>
    <w:p w14:paraId="5A220CEE" w14:textId="77777777" w:rsidR="00DA5167" w:rsidRDefault="00000000">
      <w:pPr>
        <w:pStyle w:val="BodyText"/>
      </w:pPr>
      <w:r>
        <w:t>The project’s focus on VSBs—organizations with 15 or fewer employees—recognizes a critical gap in the cybersecurity compliance landscape. While large enterprises can afford dedicated security teams and MSSPs, and medium businesses can often justify these costs through contract volume, VSBs face disproportionate barriers. Yet VSBs provide essential specialized services across federal contracting, particularly in research and development, technical services, and niche manufacturing. Excluding VSBs from federal contracting due to compliance costs would reduce competition and innovation.</w:t>
      </w:r>
    </w:p>
    <w:p w14:paraId="6756DE5A" w14:textId="77777777" w:rsidR="00DA5167" w:rsidRDefault="00000000">
      <w:pPr>
        <w:pStyle w:val="BodyText"/>
      </w:pPr>
      <w:r>
        <w:lastRenderedPageBreak/>
        <w:t>However, accessibility carries responsibility, and turnkey delivery does not eliminate all challenges. This paper has argued that three significant risks accompany open-source compliance approaches targeted at VSBs:</w:t>
      </w:r>
    </w:p>
    <w:p w14:paraId="0A9CFF03" w14:textId="77777777" w:rsidR="00DA5167" w:rsidRDefault="00000000">
      <w:pPr>
        <w:numPr>
          <w:ilvl w:val="0"/>
          <w:numId w:val="87"/>
        </w:numPr>
      </w:pPr>
      <w:r>
        <w:rPr>
          <w:b/>
          <w:bCs/>
        </w:rPr>
        <w:t>Self-assessment bias, amplified by the Dunning-Kruger effect, leads adopters to overestimate their compliance posture.</w:t>
      </w:r>
      <w:r>
        <w:t xml:space="preserve"> In VSBs where a single individual manages IT alongside other responsibilities, this risk is particularly acute. Those most likely to attempt self-implementation are statistically most likely to misjudge their competence.</w:t>
      </w:r>
    </w:p>
    <w:p w14:paraId="43EFC12C" w14:textId="77777777" w:rsidR="00DA5167" w:rsidRDefault="00000000">
      <w:pPr>
        <w:numPr>
          <w:ilvl w:val="0"/>
          <w:numId w:val="87"/>
        </w:numPr>
      </w:pPr>
      <w:r>
        <w:rPr>
          <w:b/>
          <w:bCs/>
        </w:rPr>
        <w:t>Checkbox-oriented compliance thinking fails to appreciate defense-in-depth architecture.</w:t>
      </w:r>
      <w:r>
        <w:t xml:space="preserve"> The distinction between implementing 15 controls (FAR 52.204-21) versus 110 controls (DFARS/CMMC) must be clearly understood. The ~5,600 software packages across the CyberHygiene network constitute an integrated security system, not a collection of independent tools to be installed and forgotten. VSBs pursuing the staged approach must recognize when their current implementation is insufficient for evolving contract requirements.</w:t>
      </w:r>
    </w:p>
    <w:p w14:paraId="5FD29FD5" w14:textId="77777777" w:rsidR="00DA5167" w:rsidRDefault="00000000">
      <w:pPr>
        <w:numPr>
          <w:ilvl w:val="0"/>
          <w:numId w:val="87"/>
        </w:numPr>
      </w:pPr>
      <w:r>
        <w:rPr>
          <w:b/>
          <w:bCs/>
        </w:rPr>
        <w:t>Local AI integration offers promising operational enhancements but introduces new risks—partially mitigated by the turnkey approach.</w:t>
      </w:r>
      <w:r>
        <w:t xml:space="preserve"> While AI-powered log analysis and alert triage can bridge expertise gaps and make limited VSB staff time more effective, they also create opportunities for false confidence, over-reliance on automation, and new forms of the Dunning-Kruger effect. The CyberHygiene Project’s evolution toward pre-configured, expert-validated AI systems reduces the deployment competency requirement significantly. However, VSBs still need sufficient understanding to operate, maintain, and validate the pre-configured systems. The competency paradox shifts from “Can we deploy AI?” to “Can we operate this pre-deployed AI appropriately?”</w:t>
      </w:r>
    </w:p>
    <w:p w14:paraId="2E4A88F8" w14:textId="77777777" w:rsidR="00DA5167" w:rsidRDefault="00000000">
      <w:pPr>
        <w:pStyle w:val="FirstParagraph"/>
      </w:pPr>
      <w:r>
        <w:t>The solution is not to abandon open-source approaches, reject AI assistance, or discourage VSB participation in federal contracting. Rather, the solution is to advocate for informed adoption with realistic expectations—enhanced by the turnkey delivery model that embeds expert knowledge into the system itself. The CyberHygiene Project’s planned integration of cybersecurity professionals in future development stages addresses the core concern: ensuring that what VSBs receive is genuinely secure, not merely checkbox-compliant.</w:t>
      </w:r>
    </w:p>
    <w:p w14:paraId="7C755CB8" w14:textId="77777777" w:rsidR="00DA5167" w:rsidRDefault="00000000">
      <w:pPr>
        <w:pStyle w:val="BodyText"/>
      </w:pPr>
      <w:r>
        <w:t>Compliance is not a destination achieved through installation—even turnkey installation. It is an ongoing operational commitment requiring sustained attention, continuous monitoring, and honest self-assessment. The turnkey approach reduces the knowledge barrier for initial deployment and routine operations, but it cannot eliminate the need for human judgment, context-specific adaptation, and willingness to seek expert assistance when situations exceed embedded automation capabilities.</w:t>
      </w:r>
    </w:p>
    <w:p w14:paraId="3D72FBC0" w14:textId="77777777" w:rsidR="00DA5167" w:rsidRDefault="00000000">
      <w:pPr>
        <w:pStyle w:val="BodyText"/>
      </w:pPr>
      <w:r>
        <w:t xml:space="preserve">For VSBs specifically, the path forward requires: - Honest assessment of whether self-operation (even of a turnkey system) is appropriate given organizational constraints - Recognition that turnkey delivery reduces but does not eliminate the need for understanding - Understanding the difference between compliance (implementing controls) and certification (having compliance verified) - Distinguishing between FCI </w:t>
      </w:r>
      <w:r>
        <w:lastRenderedPageBreak/>
        <w:t xml:space="preserve">protection (15 controls) and CUI protection (110 controls) based on information sensitivity - </w:t>
      </w:r>
      <w:r>
        <w:rPr>
          <w:b/>
          <w:bCs/>
        </w:rPr>
        <w:t>Commitment to documentation accuracy:</w:t>
      </w:r>
      <w:r>
        <w:t xml:space="preserve"> AI-generated SSPs and policies must be reviewed, customized to reflect actual practices, and kept current as operations evolve - </w:t>
      </w:r>
      <w:r>
        <w:rPr>
          <w:b/>
          <w:bCs/>
        </w:rPr>
        <w:t>Implementation of documented procedures:</w:t>
      </w:r>
      <w:r>
        <w:t xml:space="preserve"> Compliance requires actually following the policies and procedures, not merely having them documented—the documentation-to-practice gap is a human responsibility - Commitment to operational security procedures—reviewing AI-generated alerts, validating AI recommendations, maintaining system currency—not just one-time deployment - </w:t>
      </w:r>
      <w:r>
        <w:rPr>
          <w:b/>
          <w:bCs/>
        </w:rPr>
        <w:t>Leveraging compliance for broader improvement:</w:t>
      </w:r>
      <w:r>
        <w:t xml:space="preserve"> Recognizing that the process discipline required for security compliance can improve other business functions through similar structured approaches - Willingness to seek expert assistance when situations exceed the capabilities of pre-configured automation</w:t>
      </w:r>
    </w:p>
    <w:p w14:paraId="7F30C6CB" w14:textId="77777777" w:rsidR="00DA5167" w:rsidRDefault="00000000">
      <w:pPr>
        <w:pStyle w:val="BodyText"/>
      </w:pPr>
      <w:r>
        <w:t>We conclude with a sobering observation: a VSB that correctly assesses its limitations and seeks professional assistance—even if limited by budget to initial consultation and turnkey system deployment rather than ongoing MSSP—has demonstrated greater security maturity than one that deploys systems (turnkey or otherwise) without understanding their operation and limitations. Similarly, a VSB that operates a pre-configured AI system with appropriate skepticism, validation of recommendations, and recognition of when to escalate beyond automation demonstrates greater maturity than one that blindly trusts automated analysis simply because “experts configured it.”</w:t>
      </w:r>
    </w:p>
    <w:p w14:paraId="0D4755FB" w14:textId="77777777" w:rsidR="00DA5167" w:rsidRDefault="00000000">
      <w:pPr>
        <w:pStyle w:val="BodyText"/>
      </w:pPr>
      <w:r>
        <w:t>The CyberHygiene Project’s planned evolution toward expert-validated turnkey delivery represents a significant step forward in making federal compliance accessible to VSBs. By embedding cybersecurity expertise in the pre-configuration and AI-assisted automation, the project aims to reduce—though not eliminate—the expertise barrier that currently excludes many small businesses from federal contracting opportunities.</w:t>
      </w:r>
    </w:p>
    <w:p w14:paraId="76FBA775" w14:textId="77777777" w:rsidR="00DA5167" w:rsidRDefault="00C722D2">
      <w:r>
        <w:rPr>
          <w:noProof/>
        </w:rPr>
        <w:pict w14:anchorId="74339C57">
          <v:rect id="_x0000_i1025" alt="" style="width:468pt;height:.05pt;mso-width-percent:0;mso-height-percent:0;mso-width-percent:0;mso-height-percent:0" o:hralign="center" o:hrstd="t" o:hr="t"/>
        </w:pict>
      </w:r>
    </w:p>
    <w:p w14:paraId="4D58EC9A" w14:textId="496AFCFE" w:rsidR="00DA5167" w:rsidRDefault="00000000">
      <w:pPr>
        <w:pStyle w:val="Heading2"/>
      </w:pPr>
      <w:bookmarkStart w:id="69" w:name="_Toc221262054"/>
      <w:bookmarkStart w:id="70" w:name="references"/>
      <w:bookmarkEnd w:id="68"/>
      <w:r>
        <w:rPr>
          <w:rStyle w:val="SectionNumber"/>
        </w:rPr>
        <w:t>1.</w:t>
      </w:r>
      <w:r w:rsidR="00965823">
        <w:rPr>
          <w:rStyle w:val="SectionNumber"/>
        </w:rPr>
        <w:t>9</w:t>
      </w:r>
      <w:r>
        <w:tab/>
        <w:t>References</w:t>
      </w:r>
      <w:bookmarkEnd w:id="69"/>
    </w:p>
    <w:p w14:paraId="6779B4CC" w14:textId="77777777" w:rsidR="00DA5167" w:rsidRDefault="00000000">
      <w:pPr>
        <w:pStyle w:val="FirstParagraph"/>
      </w:pPr>
      <w:r>
        <w:t xml:space="preserve">Buczak, A. L., &amp; Guven, E. (2016). A survey of data mining and machine learning methods for cyber security intrusion detection. </w:t>
      </w:r>
      <w:r>
        <w:rPr>
          <w:i/>
          <w:iCs/>
        </w:rPr>
        <w:t>IEEE Communications Surveys &amp; Tutorials, 18</w:t>
      </w:r>
      <w:r>
        <w:t>(2), 1153-1176.</w:t>
      </w:r>
    </w:p>
    <w:p w14:paraId="4319E2AE" w14:textId="77777777" w:rsidR="00DA5167" w:rsidRDefault="00000000">
      <w:pPr>
        <w:pStyle w:val="BodyText"/>
      </w:pPr>
      <w:r>
        <w:t xml:space="preserve">CMMC Accreditation Body. (2022). </w:t>
      </w:r>
      <w:r>
        <w:rPr>
          <w:i/>
          <w:iCs/>
        </w:rPr>
        <w:t>Analysis of Self-Assessment Accuracy in Defense Contractor Compliance Reporting.</w:t>
      </w:r>
      <w:r>
        <w:t xml:space="preserve"> Technical Report.</w:t>
      </w:r>
    </w:p>
    <w:p w14:paraId="531A0E9E" w14:textId="77777777" w:rsidR="00DA5167" w:rsidRDefault="00000000">
      <w:pPr>
        <w:pStyle w:val="BodyText"/>
      </w:pPr>
      <w:r>
        <w:t xml:space="preserve">Dasgupta, D., Akhtar, Z., &amp; Sen, S. (2022). Machine learning in cybersecurity: A comprehensive survey. </w:t>
      </w:r>
      <w:r>
        <w:rPr>
          <w:i/>
          <w:iCs/>
        </w:rPr>
        <w:t>Journal of Defense Modeling and Simulation, 19</w:t>
      </w:r>
      <w:r>
        <w:t>(1), 57-106.</w:t>
      </w:r>
    </w:p>
    <w:p w14:paraId="29AFA256" w14:textId="77777777" w:rsidR="00DA5167" w:rsidRDefault="00000000">
      <w:pPr>
        <w:pStyle w:val="BodyText"/>
      </w:pPr>
      <w:r>
        <w:t xml:space="preserve">Department of Defense. (2023). </w:t>
      </w:r>
      <w:r>
        <w:rPr>
          <w:i/>
          <w:iCs/>
        </w:rPr>
        <w:t>CMMC Program Overview: Protecting the Defense Industrial Base.</w:t>
      </w:r>
      <w:r>
        <w:t xml:space="preserve"> Office of the Under Secretary of Defense for Acquisition and Sustainment.</w:t>
      </w:r>
    </w:p>
    <w:p w14:paraId="51F37609" w14:textId="77777777" w:rsidR="00DA5167" w:rsidRDefault="00000000">
      <w:pPr>
        <w:pStyle w:val="BodyText"/>
      </w:pPr>
      <w:r>
        <w:t>E-N Computers. (2025). Managed IT services pricing guide for small businesses in 2025. Retrieved from https://www.encomputers.com/2023/07/managed-it-services-pricing/</w:t>
      </w:r>
    </w:p>
    <w:p w14:paraId="04042B56" w14:textId="77777777" w:rsidR="00DA5167" w:rsidRDefault="00000000">
      <w:pPr>
        <w:pStyle w:val="BodyText"/>
      </w:pPr>
      <w:r>
        <w:lastRenderedPageBreak/>
        <w:t xml:space="preserve">Hadlington, L. (2017). Human factors in cybersecurity: Examining the link between Internet addiction, impulsivity, attitudes towards cybersecurity, and risky cybersecurity behaviours. </w:t>
      </w:r>
      <w:r>
        <w:rPr>
          <w:i/>
          <w:iCs/>
        </w:rPr>
        <w:t>Heliyon, 3</w:t>
      </w:r>
      <w:r>
        <w:t>(7), e00346.</w:t>
      </w:r>
    </w:p>
    <w:p w14:paraId="2EFF4395" w14:textId="77777777" w:rsidR="00DA5167" w:rsidRDefault="00000000">
      <w:pPr>
        <w:pStyle w:val="BodyText"/>
      </w:pPr>
      <w:r>
        <w:t>Kiteworks. (2025). The true cost of CMMC compliance: Complete budget guide for defense contractors. Retrieved from https://www.kiteworks.com/cmmc-compliance/compliance-costs/</w:t>
      </w:r>
    </w:p>
    <w:p w14:paraId="11D06D98" w14:textId="77777777" w:rsidR="00DA5167" w:rsidRDefault="00000000">
      <w:pPr>
        <w:pStyle w:val="BodyText"/>
      </w:pPr>
      <w:r>
        <w:t xml:space="preserve">Kruger, J., &amp; Dunning, D. (1999). Unskilled and unaware of it: How difficulties in recognizing one’s own incompetence lead to inflated self-assessments. </w:t>
      </w:r>
      <w:r>
        <w:rPr>
          <w:i/>
          <w:iCs/>
        </w:rPr>
        <w:t>Journal of Personality and Social Psychology, 77</w:t>
      </w:r>
      <w:r>
        <w:t>(6), 1121-1134.</w:t>
      </w:r>
    </w:p>
    <w:p w14:paraId="0409181F" w14:textId="77777777" w:rsidR="00DA5167" w:rsidRDefault="00000000">
      <w:pPr>
        <w:pStyle w:val="BodyText"/>
      </w:pPr>
      <w:r>
        <w:t xml:space="preserve">National Institute of Standards and Technology. (2020). </w:t>
      </w:r>
      <w:r>
        <w:rPr>
          <w:i/>
          <w:iCs/>
        </w:rPr>
        <w:t>Protecting Controlled Unclassified Information in Nonfederal Systems and Organizations</w:t>
      </w:r>
      <w:r>
        <w:t xml:space="preserve"> (NIST SP 800-171 Rev. 2).</w:t>
      </w:r>
    </w:p>
    <w:p w14:paraId="6BEEFDB4" w14:textId="77777777" w:rsidR="00DA5167" w:rsidRDefault="00000000">
      <w:pPr>
        <w:pStyle w:val="BodyText"/>
      </w:pPr>
      <w:r>
        <w:t xml:space="preserve">National Security Agency. (2012). </w:t>
      </w:r>
      <w:r>
        <w:rPr>
          <w:i/>
          <w:iCs/>
        </w:rPr>
        <w:t>Defense in Depth: A Practical Strategy for Achieving Information Assurance in Today’s Highly Networked Environments.</w:t>
      </w:r>
    </w:p>
    <w:p w14:paraId="4A87D52E" w14:textId="77777777" w:rsidR="00DA5167" w:rsidRDefault="00000000">
      <w:pPr>
        <w:pStyle w:val="BodyText"/>
      </w:pPr>
      <w:r>
        <w:t xml:space="preserve">Schneier, B. (2000). </w:t>
      </w:r>
      <w:r>
        <w:rPr>
          <w:i/>
          <w:iCs/>
        </w:rPr>
        <w:t>Secrets and Lies: Digital Security in a Networked World.</w:t>
      </w:r>
      <w:r>
        <w:t xml:space="preserve"> John Wiley &amp; Sons.</w:t>
      </w:r>
    </w:p>
    <w:p w14:paraId="580A2A0A" w14:textId="77777777" w:rsidR="00DA5167" w:rsidRDefault="00000000">
      <w:pPr>
        <w:pStyle w:val="BodyText"/>
      </w:pPr>
      <w:r>
        <w:t>The Network Installers. (2025). Managed IT services cost: 2025 pricing guide. Retrieved from https://thenetworkinstallers.com/blog/managed-it-services-cost/</w:t>
      </w:r>
    </w:p>
    <w:p w14:paraId="18FBA3CB" w14:textId="77777777" w:rsidR="00DA5167" w:rsidRDefault="00000000">
      <w:pPr>
        <w:pStyle w:val="BodyText"/>
      </w:pPr>
      <w:r>
        <w:t xml:space="preserve">Verizon. (2024). </w:t>
      </w:r>
      <w:r>
        <w:rPr>
          <w:i/>
          <w:iCs/>
        </w:rPr>
        <w:t>Data Breach Investigations Report.</w:t>
      </w:r>
      <w:r>
        <w:t xml:space="preserve"> Verizon Business.</w:t>
      </w:r>
    </w:p>
    <w:p w14:paraId="08C75447" w14:textId="77777777" w:rsidR="00DA5167" w:rsidRDefault="00000000">
      <w:pPr>
        <w:pStyle w:val="Heading2"/>
      </w:pPr>
      <w:bookmarkStart w:id="71" w:name="_Toc221262055"/>
      <w:bookmarkStart w:id="72" w:name="about-the-author"/>
      <w:bookmarkEnd w:id="70"/>
      <w:r>
        <w:rPr>
          <w:rStyle w:val="SectionNumber"/>
        </w:rPr>
        <w:t>1.11</w:t>
      </w:r>
      <w:r>
        <w:tab/>
        <w:t>About the Author</w:t>
      </w:r>
      <w:bookmarkEnd w:id="71"/>
    </w:p>
    <w:p w14:paraId="61F8DDBD" w14:textId="77777777" w:rsidR="00DA5167" w:rsidRDefault="00000000">
      <w:pPr>
        <w:pStyle w:val="FirstParagraph"/>
      </w:pPr>
      <w:r>
        <w:t xml:space="preserve">Donald E. Shannon is the principal researcher for the CyberHygiene Project, a research and development initiative examining how open-source tools, commodity hardware, and AI can enable very small businesses (VSBs) to achieve cybersecurity compliance in the federal contracting ecosystem. The project is evolving from proof-of-concept demonstration toward turnkey delivery, with plans to integrate trained cybersecurity experts who will pre-configure systems, validate AI integration, and ensure genuine compliance rather than checkbox satisfaction. The project methodology and findings have been published in the </w:t>
      </w:r>
      <w:r>
        <w:rPr>
          <w:i/>
          <w:iCs/>
        </w:rPr>
        <w:t>NCMA Journal of Contract Management</w:t>
      </w:r>
      <w:r>
        <w:t xml:space="preserve"> (2024).</w:t>
      </w:r>
    </w:p>
    <w:p w14:paraId="235F9379" w14:textId="77777777" w:rsidR="00DA5167" w:rsidRDefault="00000000">
      <w:pPr>
        <w:pStyle w:val="BodyText"/>
      </w:pPr>
      <w:r>
        <w:rPr>
          <w:b/>
          <w:bCs/>
        </w:rPr>
        <w:t>Project Resources:</w:t>
      </w:r>
      <w:r>
        <w:t xml:space="preserve"> - </w:t>
      </w:r>
      <w:r>
        <w:rPr>
          <w:b/>
          <w:bCs/>
        </w:rPr>
        <w:t>Website:</w:t>
      </w:r>
      <w:r>
        <w:t xml:space="preserve"> https://cyberinabox.net - </w:t>
      </w:r>
      <w:r>
        <w:rPr>
          <w:b/>
          <w:bCs/>
        </w:rPr>
        <w:t>GitHub Repository:</w:t>
      </w:r>
      <w:r>
        <w:t xml:space="preserve"> https://github.com/dshannon46-jpg - </w:t>
      </w:r>
      <w:r>
        <w:rPr>
          <w:b/>
          <w:bCs/>
        </w:rPr>
        <w:t>License:</w:t>
      </w:r>
      <w:r>
        <w:t xml:space="preserve"> Open-source (all code, configurations, and documentation publicly available)</w:t>
      </w:r>
    </w:p>
    <w:p w14:paraId="24A94D72" w14:textId="77777777" w:rsidR="00DA5167" w:rsidRDefault="00000000">
      <w:pPr>
        <w:pStyle w:val="BodyText"/>
      </w:pPr>
      <w:r>
        <w:rPr>
          <w:b/>
          <w:bCs/>
        </w:rPr>
        <w:t>Non-Commercial Mission:</w:t>
      </w:r>
      <w:r>
        <w:t xml:space="preserve"> The CyberHygiene Project is a privately funded, non-commercial effort with no expectation or intent of commercial gain. This is not a commercial product or managed service offering. The project operates as an open-source R&amp;D initiative demonstrating technical feasibility, documenting lessons learned, and developing toward a minimum viable product (MVP) that VSBs can deploy with reduced expertise requirements.</w:t>
      </w:r>
    </w:p>
    <w:p w14:paraId="0E0CC2A4" w14:textId="77777777" w:rsidR="00DA5167" w:rsidRDefault="00000000">
      <w:pPr>
        <w:pStyle w:val="BodyText"/>
      </w:pPr>
      <w:r>
        <w:rPr>
          <w:b/>
          <w:bCs/>
        </w:rPr>
        <w:t>Call for Collaboration:</w:t>
      </w:r>
      <w:r>
        <w:t xml:space="preserve"> The project actively seeks collaboration from qualified cybersecurity experts, compliance professionals, CMMC assessors, managed security </w:t>
      </w:r>
      <w:r>
        <w:lastRenderedPageBreak/>
        <w:t>practitioners, and AI/ML specialists willing to volunteer their time and expertise toward refining the solution. Valuable contributions include: - Security architecture review and validation - NIST 800-171/CMMC compliance verification - Documentation improvement and template development - AI model refinement and testing - User experience enhancement - Testing in diverse VSB environments</w:t>
      </w:r>
    </w:p>
    <w:p w14:paraId="1A93D836" w14:textId="77777777" w:rsidR="00DA5167" w:rsidRDefault="00000000">
      <w:pPr>
        <w:pStyle w:val="BodyText"/>
      </w:pPr>
      <w:r>
        <w:t>Interested collaborators can engage through the project website at https://cyberinabox.net.</w:t>
      </w:r>
    </w:p>
    <w:p w14:paraId="34DA3FCC" w14:textId="77777777" w:rsidR="00DA5167" w:rsidRDefault="00000000">
      <w:pPr>
        <w:pStyle w:val="BodyText"/>
      </w:pPr>
      <w:r>
        <w:t>Mr. Shannon does not provide cybersecurity consulting services or CMMC preparation services. The project’s goals are to advance understanding of affordable compliance approaches, to develop practical turnkey solutions through community collaboration, and to honestly document both capabilities and limitations for the benefit of VSBs navigating federal cybersecurity requirements.</w:t>
      </w:r>
    </w:p>
    <w:p w14:paraId="33CE4715" w14:textId="77777777" w:rsidR="00DA5167" w:rsidRDefault="00000000">
      <w:pPr>
        <w:pStyle w:val="Heading2"/>
      </w:pPr>
      <w:bookmarkStart w:id="73" w:name="_Toc221262056"/>
      <w:bookmarkStart w:id="74" w:name="acknowledgments"/>
      <w:bookmarkEnd w:id="72"/>
      <w:r>
        <w:rPr>
          <w:rStyle w:val="SectionNumber"/>
        </w:rPr>
        <w:t>1.12</w:t>
      </w:r>
      <w:r>
        <w:tab/>
        <w:t>Acknowledgments</w:t>
      </w:r>
      <w:bookmarkEnd w:id="73"/>
    </w:p>
    <w:p w14:paraId="0B89BF88" w14:textId="77777777" w:rsidR="00DA5167" w:rsidRDefault="00000000">
      <w:pPr>
        <w:pStyle w:val="FirstParagraph"/>
      </w:pPr>
      <w:r>
        <w:t>The author acknowledges the open-source community whose contributions make projects like CyberHygiene possible, particularly the maintainers of FreeIPA, Wazuh, OpenSCAP, Graylog, and the numerous other open-source security tools that form the foundation of this work. Thanks to colleagues whose critical review of the project website prompted this more rigorous examination of adoption risks, and to the emerging community of researchers exploring AI integration in cybersecurity operations. Special appreciation to those who have contributed to the GitHub repository and provided feedback through the project website—your collaboration strengthens the solution for all VSBs.</w:t>
      </w:r>
    </w:p>
    <w:p w14:paraId="3E858226" w14:textId="77777777" w:rsidR="00DA5167" w:rsidRDefault="00000000">
      <w:pPr>
        <w:pStyle w:val="Heading2"/>
      </w:pPr>
      <w:bookmarkStart w:id="75" w:name="_Toc221262057"/>
      <w:bookmarkStart w:id="76" w:name="document-information"/>
      <w:bookmarkEnd w:id="74"/>
      <w:r>
        <w:rPr>
          <w:rStyle w:val="SectionNumber"/>
        </w:rPr>
        <w:t>1.13</w:t>
      </w:r>
      <w:r>
        <w:tab/>
        <w:t>Document Information</w:t>
      </w:r>
      <w:bookmarkEnd w:id="75"/>
    </w:p>
    <w:p w14:paraId="22DEB90F" w14:textId="77777777" w:rsidR="00DA5167" w:rsidRDefault="00000000">
      <w:pPr>
        <w:pStyle w:val="FirstParagraph"/>
      </w:pPr>
      <w:r>
        <w:rPr>
          <w:b/>
          <w:bCs/>
        </w:rPr>
        <w:t>Classification:</w:t>
      </w:r>
      <w:r>
        <w:t xml:space="preserve"> Public </w:t>
      </w:r>
      <w:r>
        <w:rPr>
          <w:b/>
          <w:bCs/>
        </w:rPr>
        <w:t>Distribution:</w:t>
      </w:r>
      <w:r>
        <w:t xml:space="preserve"> Unrestricted </w:t>
      </w:r>
      <w:r>
        <w:rPr>
          <w:b/>
          <w:bCs/>
        </w:rPr>
        <w:t>Conference:</w:t>
      </w:r>
      <w:r>
        <w:t xml:space="preserve"> Nexus 2026 </w:t>
      </w:r>
      <w:r>
        <w:rPr>
          <w:b/>
          <w:bCs/>
        </w:rPr>
        <w:t>Submission Category:</w:t>
      </w:r>
      <w:r>
        <w:t xml:space="preserve"> White Paper / Position Paper </w:t>
      </w:r>
      <w:r>
        <w:rPr>
          <w:b/>
          <w:bCs/>
        </w:rPr>
        <w:t>Version:</w:t>
      </w:r>
      <w:r>
        <w:t xml:space="preserve"> 1.1 (Revised - VSB Focus &amp; Regulatory Context) </w:t>
      </w:r>
      <w:r>
        <w:rPr>
          <w:b/>
          <w:bCs/>
        </w:rPr>
        <w:t>Target Audience:</w:t>
      </w:r>
      <w:r>
        <w:t xml:space="preserve"> Very small businesses (≤15 employees) in federal contracting, cybersecurity researchers, policy makers </w:t>
      </w:r>
      <w:r>
        <w:rPr>
          <w:b/>
          <w:bCs/>
        </w:rPr>
        <w:t>Regulatory Scope:</w:t>
      </w:r>
      <w:r>
        <w:t xml:space="preserve"> FAR 52.204-21, DFARS 252.204-7012, NIST SP 800-171, CMMC </w:t>
      </w:r>
      <w:r>
        <w:rPr>
          <w:b/>
          <w:bCs/>
        </w:rPr>
        <w:t>Word Count:</w:t>
      </w:r>
      <w:r>
        <w:t xml:space="preserve"> Approximately 5,200</w:t>
      </w:r>
    </w:p>
    <w:p w14:paraId="556E3257" w14:textId="77777777" w:rsidR="00DA5167" w:rsidRDefault="00000000">
      <w:pPr>
        <w:pStyle w:val="BodyText"/>
      </w:pPr>
      <w:r>
        <w:rPr>
          <w:i/>
          <w:iCs/>
        </w:rPr>
        <w:t>This white paper is provided for educational and research purposes. Implementation of any security controls, including AI-augmented systems, should be performed by or under the guidance of qualified cybersecurity professionals.</w:t>
      </w:r>
      <w:bookmarkEnd w:id="1"/>
      <w:bookmarkEnd w:id="76"/>
    </w:p>
    <w:sectPr w:rsidR="00DA51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38007" w14:textId="77777777" w:rsidR="00C722D2" w:rsidRDefault="00C722D2">
      <w:pPr>
        <w:spacing w:after="0"/>
      </w:pPr>
      <w:r>
        <w:separator/>
      </w:r>
    </w:p>
  </w:endnote>
  <w:endnote w:type="continuationSeparator" w:id="0">
    <w:p w14:paraId="1CF9066D" w14:textId="77777777" w:rsidR="00C722D2" w:rsidRDefault="00C722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91E17" w14:textId="77777777" w:rsidR="00C722D2" w:rsidRDefault="00C722D2">
      <w:r>
        <w:separator/>
      </w:r>
    </w:p>
  </w:footnote>
  <w:footnote w:type="continuationSeparator" w:id="0">
    <w:p w14:paraId="4E699E59" w14:textId="77777777" w:rsidR="00C722D2" w:rsidRDefault="00C722D2">
      <w:r>
        <w:continuationSeparator/>
      </w:r>
    </w:p>
  </w:footnote>
  <w:footnote w:id="1">
    <w:p w14:paraId="370CF837" w14:textId="77777777" w:rsidR="00DA5167" w:rsidRDefault="00000000">
      <w:pPr>
        <w:pStyle w:val="FootnoteText"/>
      </w:pPr>
      <w:r>
        <w:rPr>
          <w:rStyle w:val="FootnoteReference"/>
        </w:rPr>
        <w:footnoteRef/>
      </w:r>
      <w:r>
        <w:t xml:space="preserve"> U.S. Small Business Administration. (2024). </w:t>
      </w:r>
      <w:r>
        <w:rPr>
          <w:i/>
          <w:iCs/>
        </w:rPr>
        <w:t>Small Business Size Standards</w:t>
      </w:r>
      <w:r>
        <w:t>. The definition of “very small business” (VSB) varies by industry; this paper uses 15 or fewer employees as a practical threshold for organizations facing disproportionate compliance costs relative to revenue. The $2 million revenue threshold similarly represents a practical estimate for organizations in this category.</w:t>
      </w:r>
    </w:p>
  </w:footnote>
  <w:footnote w:id="2">
    <w:p w14:paraId="079B32D2" w14:textId="77777777" w:rsidR="00DA5167" w:rsidRDefault="00000000">
      <w:pPr>
        <w:pStyle w:val="FootnoteText"/>
      </w:pPr>
      <w:r>
        <w:rPr>
          <w:rStyle w:val="FootnoteReference"/>
        </w:rPr>
        <w:footnoteRef/>
      </w:r>
      <w:r>
        <w:t xml:space="preserve"> National Institute of Standards and Technology. (2020). </w:t>
      </w:r>
      <w:r>
        <w:rPr>
          <w:i/>
          <w:iCs/>
        </w:rPr>
        <w:t>Protecting Controlled Unclassified Information in Nonfederal Systems and Organizations</w:t>
      </w:r>
      <w:r>
        <w:t xml:space="preserve"> (NIST SP 800-171 Rev. 2). U.S. Department of Commerce.</w:t>
      </w:r>
    </w:p>
  </w:footnote>
  <w:footnote w:id="3">
    <w:p w14:paraId="67F957C9" w14:textId="77777777" w:rsidR="00DA5167" w:rsidRDefault="00000000">
      <w:pPr>
        <w:pStyle w:val="FootnoteText"/>
      </w:pPr>
      <w:r>
        <w:rPr>
          <w:rStyle w:val="FootnoteReference"/>
        </w:rPr>
        <w:footnoteRef/>
      </w:r>
      <w:r>
        <w:t xml:space="preserve"> 48 C.F.R. § 52.204-21 (2016). Basic Safeguarding of Covered Contractor Information Systems.</w:t>
      </w:r>
    </w:p>
  </w:footnote>
  <w:footnote w:id="4">
    <w:p w14:paraId="63A9AE62" w14:textId="77777777" w:rsidR="00DA5167" w:rsidRDefault="00000000">
      <w:pPr>
        <w:pStyle w:val="FootnoteText"/>
      </w:pPr>
      <w:r>
        <w:rPr>
          <w:rStyle w:val="FootnoteReference"/>
        </w:rPr>
        <w:footnoteRef/>
      </w:r>
      <w:r>
        <w:t xml:space="preserve"> 48 C.F.R. § 252.204-7012 (2017). Safeguarding Covered Defense Information and Cyber Incident Reporting.</w:t>
      </w:r>
    </w:p>
  </w:footnote>
  <w:footnote w:id="5">
    <w:p w14:paraId="7F93C2CF" w14:textId="77777777" w:rsidR="00DA5167" w:rsidRDefault="00000000">
      <w:pPr>
        <w:pStyle w:val="FootnoteText"/>
      </w:pPr>
      <w:r>
        <w:rPr>
          <w:rStyle w:val="FootnoteReference"/>
        </w:rPr>
        <w:footnoteRef/>
      </w:r>
      <w:r>
        <w:t xml:space="preserve"> Department of Defense. (2020). </w:t>
      </w:r>
      <w:r>
        <w:rPr>
          <w:i/>
          <w:iCs/>
        </w:rPr>
        <w:t>Cybersecurity Maturity Model Certification (CMMC)</w:t>
      </w:r>
      <w:r>
        <w:t xml:space="preserve">. Office of the Under Secretary of Defense for Acquisition and Sustainment. See also CMMC-AB. (2024). </w:t>
      </w:r>
      <w:r>
        <w:rPr>
          <w:i/>
          <w:iCs/>
        </w:rPr>
        <w:t>CMMC Program Overview</w:t>
      </w:r>
      <w:r>
        <w:t>. https://www.cmmcab.org</w:t>
      </w:r>
    </w:p>
  </w:footnote>
  <w:footnote w:id="6">
    <w:p w14:paraId="62A57DE7" w14:textId="77777777" w:rsidR="00DA5167" w:rsidRDefault="00000000">
      <w:pPr>
        <w:pStyle w:val="FootnoteText"/>
      </w:pPr>
      <w:r>
        <w:rPr>
          <w:rStyle w:val="FootnoteReference"/>
        </w:rPr>
        <w:footnoteRef/>
      </w:r>
      <w:r>
        <w:t xml:space="preserve"> Kruger, J., &amp; Dunning, D. (1999). Unskilled and Unaware of It: How Difficulties in Recognizing One’s Own Incompetence Lead to Inflated Self-Assessments. </w:t>
      </w:r>
      <w:r>
        <w:rPr>
          <w:i/>
          <w:iCs/>
        </w:rPr>
        <w:t>Journal of Personality and Social Psychology</w:t>
      </w:r>
      <w:r>
        <w:t>, 77(6), 1121-1134. https://doi.org/10.1037/0022-3514.77.6.1121</w:t>
      </w:r>
    </w:p>
  </w:footnote>
  <w:footnote w:id="7">
    <w:p w14:paraId="01DBE6C1" w14:textId="77777777" w:rsidR="00DA5167" w:rsidRDefault="00000000">
      <w:pPr>
        <w:pStyle w:val="FootnoteText"/>
      </w:pPr>
      <w:r>
        <w:rPr>
          <w:rStyle w:val="FootnoteReference"/>
        </w:rPr>
        <w:footnoteRef/>
      </w:r>
      <w:r>
        <w:t xml:space="preserve"> 32 C.F.R. Part 2002 (2017). Controlled Unclassified Information.</w:t>
      </w:r>
    </w:p>
  </w:footnote>
  <w:footnote w:id="8">
    <w:p w14:paraId="6C3039CD" w14:textId="77777777" w:rsidR="00DA5167" w:rsidRDefault="00000000">
      <w:pPr>
        <w:pStyle w:val="FootnoteText"/>
      </w:pPr>
      <w:r>
        <w:rPr>
          <w:rStyle w:val="FootnoteReference"/>
        </w:rPr>
        <w:footnoteRef/>
      </w:r>
      <w:r>
        <w:t xml:space="preserve"> Federal Acquisition Regulation Case 2021-019, proposed rule addressing CUI safeguarding requirements for civilian agencies, pending as of January 2026. See Federal Register notices regarding FAR Council’s consideration of extending NIST 800-171 requirements beyond DoD.</w:t>
      </w:r>
    </w:p>
  </w:footnote>
  <w:footnote w:id="9">
    <w:p w14:paraId="11265674" w14:textId="475BA4CD" w:rsidR="00DA5167" w:rsidRDefault="00000000">
      <w:pPr>
        <w:pStyle w:val="FootnoteText"/>
      </w:pPr>
      <w:r>
        <w:rPr>
          <w:rStyle w:val="FootnoteReference"/>
        </w:rPr>
        <w:footnoteRef/>
      </w:r>
      <w:r>
        <w:t xml:space="preserve"> Kiteworks. (2025). </w:t>
      </w:r>
      <w:r>
        <w:rPr>
          <w:i/>
          <w:iCs/>
        </w:rPr>
        <w:t>The True Cost of CMMC Compliance: Complete Budget Guide for Defense Contractors</w:t>
      </w:r>
      <w:r>
        <w:t xml:space="preserve">. Retrieved from https://www.kiteworks.com/cmmc-compliance/compliance-costs/ This source provides comprehensive cost breakdowns for initial NIST 800-171 </w:t>
      </w:r>
    </w:p>
  </w:footnote>
  <w:footnote w:id="10">
    <w:p w14:paraId="06CF569E" w14:textId="77777777" w:rsidR="00DA5167" w:rsidRDefault="00000000">
      <w:pPr>
        <w:pStyle w:val="FootnoteText"/>
      </w:pPr>
      <w:r>
        <w:rPr>
          <w:rStyle w:val="FootnoteReference"/>
        </w:rPr>
        <w:footnoteRef/>
      </w:r>
      <w:r>
        <w:t xml:space="preserve"> E-N Computers. (2025). </w:t>
      </w:r>
      <w:r>
        <w:rPr>
          <w:i/>
          <w:iCs/>
        </w:rPr>
        <w:t>Managed IT Services Pricing Guide for Small Businesses in 2025</w:t>
      </w:r>
      <w:r>
        <w:t>. Retrieved from https://www.encomputers.com/2023/07/managed-it-services-pricing/</w:t>
      </w:r>
    </w:p>
  </w:footnote>
  <w:footnote w:id="11">
    <w:p w14:paraId="5B3AA0E5" w14:textId="77777777" w:rsidR="00DA5167" w:rsidRDefault="00000000">
      <w:pPr>
        <w:pStyle w:val="FootnoteText"/>
      </w:pPr>
      <w:r>
        <w:rPr>
          <w:rStyle w:val="FootnoteReference"/>
        </w:rPr>
        <w:footnoteRef/>
      </w:r>
      <w:r>
        <w:t xml:space="preserve"> The Network Installers. (2025). </w:t>
      </w:r>
      <w:r>
        <w:rPr>
          <w:i/>
          <w:iCs/>
        </w:rPr>
        <w:t>Managed IT Services Cost: 2025 Pricing Guide</w:t>
      </w:r>
      <w:r>
        <w:t>. Retrieved from https://thenetworkinstallers.com/blog/managed-it-services-cost/</w:t>
      </w:r>
    </w:p>
  </w:footnote>
  <w:footnote w:id="12">
    <w:p w14:paraId="733B658D" w14:textId="77777777" w:rsidR="00DA5167" w:rsidRDefault="00000000">
      <w:pPr>
        <w:pStyle w:val="FootnoteText"/>
      </w:pPr>
      <w:r>
        <w:rPr>
          <w:rStyle w:val="FootnoteReference"/>
        </w:rPr>
        <w:footnoteRef/>
      </w:r>
      <w:r>
        <w:t xml:space="preserve"> Estimates of hardware costs, software package counts, and technical implementation details are derived from the CyberHygiene Project’s reference implementation documentation available at https://github.com/dshannon46-jpg and https://cyberinabox.net. These figures represent the author’s research findings and are subject to verification through independent implementation. The specific numbers cited (110/110 controls, $5,000 hardware cost, 1,729 software packages) reflect the project’s proof-of-concept demonstration.</w:t>
      </w:r>
    </w:p>
  </w:footnote>
  <w:footnote w:id="13">
    <w:p w14:paraId="48B3D5CC" w14:textId="77777777" w:rsidR="00DA5167" w:rsidRDefault="00000000">
      <w:pPr>
        <w:pStyle w:val="FootnoteText"/>
      </w:pPr>
      <w:r>
        <w:rPr>
          <w:rStyle w:val="FootnoteReference"/>
        </w:rPr>
        <w:footnoteRef/>
      </w:r>
      <w:r>
        <w:t xml:space="preserve"> Executive Order 13556, 75 Fed. Reg. 68675 (Nov. 4, 2010). Controlled Unclassified Information.</w:t>
      </w:r>
    </w:p>
  </w:footnote>
  <w:footnote w:id="14">
    <w:p w14:paraId="361DCB73" w14:textId="77777777" w:rsidR="00DA5167" w:rsidRDefault="00000000">
      <w:pPr>
        <w:pStyle w:val="FootnoteText"/>
      </w:pPr>
      <w:r>
        <w:rPr>
          <w:rStyle w:val="FootnoteReference"/>
        </w:rPr>
        <w:footnoteRef/>
      </w:r>
      <w:r>
        <w:t xml:space="preserve"> Kruger, J., &amp; Dunning, D. (1999). Unskilled and Unaware of It: How Difficulties in Recognizing One’s Own Incompetence Lead to Inflated Self-Assessments. </w:t>
      </w:r>
      <w:r>
        <w:rPr>
          <w:i/>
          <w:iCs/>
        </w:rPr>
        <w:t>Journal of Personality and Social Psychology</w:t>
      </w:r>
      <w:r>
        <w:t>, 77(6), 1121-1134. https://doi.org/10.1037/0022-3514.77.6.1121</w:t>
      </w:r>
    </w:p>
  </w:footnote>
  <w:footnote w:id="15">
    <w:p w14:paraId="3012DA89" w14:textId="77777777" w:rsidR="00DA5167" w:rsidRDefault="00000000">
      <w:pPr>
        <w:pStyle w:val="FootnoteText"/>
      </w:pPr>
      <w:r>
        <w:rPr>
          <w:rStyle w:val="FootnoteReference"/>
        </w:rPr>
        <w:footnoteRef/>
      </w:r>
      <w:r>
        <w:t xml:space="preserve"> Hadlington, L. (2017). Human Factors in Cybersecurity: Examining the Link Between Internet Addiction, Impulsivity, Attitudes Towards Cybersecurity, and Risky Cybersecurity Behaviours. </w:t>
      </w:r>
      <w:r>
        <w:rPr>
          <w:i/>
          <w:iCs/>
        </w:rPr>
        <w:t>Heliyon</w:t>
      </w:r>
      <w:r>
        <w:t>, 3(7), e00346. https://doi.org/10.1016/j.heliyon.2017.e00346</w:t>
      </w:r>
    </w:p>
  </w:footnote>
  <w:footnote w:id="16">
    <w:p w14:paraId="5E5698DA" w14:textId="77777777" w:rsidR="00DA5167" w:rsidRDefault="00000000">
      <w:pPr>
        <w:pStyle w:val="FootnoteText"/>
      </w:pPr>
      <w:r>
        <w:rPr>
          <w:rStyle w:val="FootnoteReference"/>
        </w:rPr>
        <w:footnoteRef/>
      </w:r>
      <w:r>
        <w:t xml:space="preserve"> CMMC Accreditation Body. (2022). </w:t>
      </w:r>
      <w:r>
        <w:rPr>
          <w:i/>
          <w:iCs/>
        </w:rPr>
        <w:t>Analysis of Self-Assessment Accuracy in Defense Contractor Compliance Reporting</w:t>
      </w:r>
      <w:r>
        <w:t>. Technical Report. Note: Research during the CMMC program’s development indicated that self-assessed compliance scores frequently exceeded actual security postures as measured by third-party evaluation, with some analyses suggesting discrepancies of 30-40% or more. The specific 40% figure is cited in industry analyses of the transition from self-assessment to third-party evaluation.</w:t>
      </w:r>
    </w:p>
  </w:footnote>
  <w:footnote w:id="17">
    <w:p w14:paraId="3B32D04B" w14:textId="77777777" w:rsidR="00DA5167" w:rsidRDefault="00000000">
      <w:pPr>
        <w:pStyle w:val="FootnoteText"/>
      </w:pPr>
      <w:r>
        <w:rPr>
          <w:rStyle w:val="FootnoteReference"/>
        </w:rPr>
        <w:footnoteRef/>
      </w:r>
      <w:r>
        <w:t xml:space="preserve"> Verizon. (2024). </w:t>
      </w:r>
      <w:r>
        <w:rPr>
          <w:i/>
          <w:iCs/>
        </w:rPr>
        <w:t>Data Breach Investigations Report</w:t>
      </w:r>
      <w:r>
        <w:t>. Verizon Business. Retrieved from https://www.verizon.com/business/resources/reports/dbir/ This annual report provides comprehensive analysis of security incidents and data breaches across industries.</w:t>
      </w:r>
    </w:p>
  </w:footnote>
  <w:footnote w:id="18">
    <w:p w14:paraId="276D92B5" w14:textId="77777777" w:rsidR="00DA5167" w:rsidRDefault="00000000">
      <w:pPr>
        <w:pStyle w:val="FootnoteText"/>
      </w:pPr>
      <w:r>
        <w:rPr>
          <w:rStyle w:val="FootnoteReference"/>
        </w:rPr>
        <w:footnoteRef/>
      </w:r>
      <w:r>
        <w:t xml:space="preserve"> Verizon. (2024). </w:t>
      </w:r>
      <w:r>
        <w:rPr>
          <w:i/>
          <w:iCs/>
        </w:rPr>
        <w:t>Data Breach Investigations Report</w:t>
      </w:r>
      <w:r>
        <w:t>. Verizon Business. Retrieved from https://www.verizon.com/business/resources/reports/dbir/ This annual report provides comprehensive analysis of security incidents and data breaches across industries.</w:t>
      </w:r>
    </w:p>
  </w:footnote>
  <w:footnote w:id="19">
    <w:p w14:paraId="31A1EBD8" w14:textId="77777777" w:rsidR="00DA5167" w:rsidRDefault="00000000">
      <w:pPr>
        <w:pStyle w:val="FootnoteText"/>
      </w:pPr>
      <w:r>
        <w:rPr>
          <w:rStyle w:val="FootnoteReference"/>
        </w:rPr>
        <w:footnoteRef/>
      </w:r>
      <w:r>
        <w:t xml:space="preserve"> National Security Agency. (2012). </w:t>
      </w:r>
      <w:r>
        <w:rPr>
          <w:i/>
          <w:iCs/>
        </w:rPr>
        <w:t>Defense in Depth: A Practical Strategy for Achieving Information Assurance in Today’s Highly Networked Environments</w:t>
      </w:r>
      <w:r>
        <w:t>. NSA Information Assurance Technical Framework. The principle posits that security requires multiple, overlapping protective layers such that compromise of any single layer does not result in complete system compromise.</w:t>
      </w:r>
    </w:p>
  </w:footnote>
  <w:footnote w:id="20">
    <w:p w14:paraId="2BE178E3" w14:textId="77777777" w:rsidR="00DA5167" w:rsidRDefault="00000000">
      <w:pPr>
        <w:pStyle w:val="FootnoteText"/>
      </w:pPr>
      <w:r>
        <w:rPr>
          <w:rStyle w:val="FootnoteReference"/>
        </w:rPr>
        <w:footnoteRef/>
      </w:r>
      <w:r>
        <w:t xml:space="preserve"> Schneier, B. (2000). </w:t>
      </w:r>
      <w:r>
        <w:rPr>
          <w:i/>
          <w:iCs/>
        </w:rPr>
        <w:t>Secrets and Lies: Digital Security in a Networked World</w:t>
      </w:r>
      <w:r>
        <w:t>. John Wiley &amp; Sons. Schneier’s foundational argument that “security is a process, not a product” remains central to understanding the distinction between compliance artifacts and genuine protective capabilities.</w:t>
      </w:r>
    </w:p>
  </w:footnote>
  <w:footnote w:id="21">
    <w:p w14:paraId="03E777E2" w14:textId="77777777" w:rsidR="00DA5167" w:rsidRDefault="00000000">
      <w:pPr>
        <w:pStyle w:val="FootnoteText"/>
      </w:pPr>
      <w:r>
        <w:rPr>
          <w:rStyle w:val="FootnoteReference"/>
        </w:rPr>
        <w:footnoteRef/>
      </w:r>
      <w:r>
        <w:t xml:space="preserve"> Buczak, A. L., &amp; Guven, E. (2016). A Survey of Data Mining and Machine Learning Methods for Cyber Security Intrusion Detection. </w:t>
      </w:r>
      <w:r>
        <w:rPr>
          <w:i/>
          <w:iCs/>
        </w:rPr>
        <w:t>IEEE Communications Surveys &amp; Tutorials</w:t>
      </w:r>
      <w:r>
        <w:t>, 18(2), 1153-1176. https://doi.org/10.1109/COMST.2015.2494502</w:t>
      </w:r>
    </w:p>
  </w:footnote>
  <w:footnote w:id="22">
    <w:p w14:paraId="61EEBD4A" w14:textId="77777777" w:rsidR="00DA5167" w:rsidRDefault="00000000">
      <w:pPr>
        <w:pStyle w:val="FootnoteText"/>
      </w:pPr>
      <w:r>
        <w:rPr>
          <w:rStyle w:val="FootnoteReference"/>
        </w:rPr>
        <w:footnoteRef/>
      </w:r>
      <w:r>
        <w:t xml:space="preserve"> Dasgupta, D., Akhtar, Z., &amp; Sen, S. (2022). Machine Learning in Cybersecurity: A Comprehensive Survey. </w:t>
      </w:r>
      <w:r>
        <w:rPr>
          <w:i/>
          <w:iCs/>
        </w:rPr>
        <w:t>Journal of Defense Modeling and Simulation</w:t>
      </w:r>
      <w:r>
        <w:t>, 19(1), 57-106. https://doi.org/10.1177/1548512920951275</w:t>
      </w:r>
    </w:p>
  </w:footnote>
  <w:footnote w:id="23">
    <w:p w14:paraId="1EE0B5D3" w14:textId="77777777" w:rsidR="00DA5167" w:rsidRDefault="00000000">
      <w:pPr>
        <w:pStyle w:val="FootnoteText"/>
      </w:pPr>
      <w:r>
        <w:rPr>
          <w:rStyle w:val="FootnoteReference"/>
        </w:rPr>
        <w:footnoteRef/>
      </w:r>
      <w:r>
        <w:t xml:space="preserve"> Estimates of hardware costs, software package counts, and technical implementation details are derived from the CyberHygiene Project’s reference implementation documentation available at https://github.com/dshannon46-jpg and https://cyberinabox.net. These figures represent the author’s research findings and are subject to verification through independent implementation. The specific numbers cited (110/110 controls, $5,000 hardware cost, 1,729 software packages) reflect the project’s proof-of-concept demonstration.</w:t>
      </w:r>
    </w:p>
  </w:footnote>
  <w:footnote w:id="24">
    <w:p w14:paraId="2DAC0F62" w14:textId="77777777" w:rsidR="00DA5167" w:rsidRDefault="00000000">
      <w:pPr>
        <w:pStyle w:val="FootnoteText"/>
      </w:pPr>
      <w:r>
        <w:rPr>
          <w:rStyle w:val="FootnoteReference"/>
        </w:rPr>
        <w:footnoteRef/>
      </w:r>
      <w:r>
        <w:t xml:space="preserve"> Federal Information Processing Standards (FIPS) Publication 140-2. (2001). </w:t>
      </w:r>
      <w:r>
        <w:rPr>
          <w:i/>
          <w:iCs/>
        </w:rPr>
        <w:t>Security Requirements for Cryptographic Modules</w:t>
      </w:r>
      <w:r>
        <w:t>. National Institute of Standards and Technology. FIPS 140-2 specifies requirements for cryptographic modules and validated algorithms used in federal information systems.</w:t>
      </w:r>
    </w:p>
  </w:footnote>
  <w:footnote w:id="25">
    <w:p w14:paraId="3CD6F120" w14:textId="77777777" w:rsidR="00DA5167" w:rsidRDefault="00000000">
      <w:pPr>
        <w:pStyle w:val="FootnoteText"/>
      </w:pPr>
      <w:r>
        <w:rPr>
          <w:rStyle w:val="FootnoteReference"/>
        </w:rPr>
        <w:footnoteRef/>
      </w:r>
      <w:r>
        <w:t xml:space="preserve"> Federal Information Processing Standards (FIPS) Publication 140-2. (2001). </w:t>
      </w:r>
      <w:r>
        <w:rPr>
          <w:i/>
          <w:iCs/>
        </w:rPr>
        <w:t>Security Requirements for Cryptographic Modules</w:t>
      </w:r>
      <w:r>
        <w:t>. National Institute of Standards and Technology. FIPS 140-2 specifies requirements for cryptographic modules and validated algorithms used in federal information systems.</w:t>
      </w:r>
    </w:p>
  </w:footnote>
  <w:footnote w:id="26">
    <w:p w14:paraId="1CED4041" w14:textId="77777777" w:rsidR="00DA5167" w:rsidRDefault="00000000">
      <w:pPr>
        <w:pStyle w:val="FootnoteText"/>
      </w:pPr>
      <w:r>
        <w:rPr>
          <w:rStyle w:val="FootnoteReference"/>
        </w:rPr>
        <w:footnoteRef/>
      </w:r>
      <w:r>
        <w:t xml:space="preserve"> E-N Computers. (2025). </w:t>
      </w:r>
      <w:r>
        <w:rPr>
          <w:i/>
          <w:iCs/>
        </w:rPr>
        <w:t>Managed IT Services Pricing Guide for Small Businesses in 2025</w:t>
      </w:r>
      <w:r>
        <w:t>. Retrieved from https://www.encomputers.com/2023/07/managed-it-services-pricing/</w:t>
      </w:r>
    </w:p>
  </w:footnote>
  <w:footnote w:id="27">
    <w:p w14:paraId="54C6B91B" w14:textId="77777777" w:rsidR="00DA5167" w:rsidRDefault="00000000" w:rsidP="00BB4BDA">
      <w:pPr>
        <w:pStyle w:val="FootnoteText"/>
      </w:pPr>
      <w:r>
        <w:rPr>
          <w:rStyle w:val="FootnoteReference"/>
        </w:rPr>
        <w:footnoteRef/>
      </w:r>
      <w:r>
        <w:t xml:space="preserve"> Cost estimates compiled from multiple sources including published CMMC C3PAO rate sheets, cybersecurity consultant fee schedules, and industry surveys conducted 2024-2025. Actual costs vary significantly based on organization size, complexity, existing security posture, and scope of services required. The ranges provided represent typical market rates but should not be construed as definitive pricing.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B0A3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009C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F0A9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2D00BA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EC96FF1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2044283338">
    <w:abstractNumId w:val="0"/>
  </w:num>
  <w:num w:numId="2" w16cid:durableId="1708720277">
    <w:abstractNumId w:val="1"/>
  </w:num>
  <w:num w:numId="3" w16cid:durableId="1963225460">
    <w:abstractNumId w:val="1"/>
  </w:num>
  <w:num w:numId="4" w16cid:durableId="124861129">
    <w:abstractNumId w:val="1"/>
  </w:num>
  <w:num w:numId="5" w16cid:durableId="1005858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646101">
    <w:abstractNumId w:val="1"/>
  </w:num>
  <w:num w:numId="7" w16cid:durableId="1740132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0858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586619">
    <w:abstractNumId w:val="1"/>
  </w:num>
  <w:num w:numId="10" w16cid:durableId="1170679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779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76489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1243471">
    <w:abstractNumId w:val="1"/>
  </w:num>
  <w:num w:numId="14" w16cid:durableId="1861310963">
    <w:abstractNumId w:val="1"/>
  </w:num>
  <w:num w:numId="15" w16cid:durableId="1754738825">
    <w:abstractNumId w:val="1"/>
  </w:num>
  <w:num w:numId="16" w16cid:durableId="1929996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4375410">
    <w:abstractNumId w:val="1"/>
  </w:num>
  <w:num w:numId="18" w16cid:durableId="1188909519">
    <w:abstractNumId w:val="1"/>
  </w:num>
  <w:num w:numId="19" w16cid:durableId="1035429296">
    <w:abstractNumId w:val="1"/>
  </w:num>
  <w:num w:numId="20" w16cid:durableId="1376613788">
    <w:abstractNumId w:val="1"/>
  </w:num>
  <w:num w:numId="21" w16cid:durableId="62404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8663310">
    <w:abstractNumId w:val="1"/>
  </w:num>
  <w:num w:numId="23" w16cid:durableId="99447616">
    <w:abstractNumId w:val="1"/>
  </w:num>
  <w:num w:numId="24" w16cid:durableId="1403600121">
    <w:abstractNumId w:val="1"/>
  </w:num>
  <w:num w:numId="25" w16cid:durableId="1840348271">
    <w:abstractNumId w:val="1"/>
  </w:num>
  <w:num w:numId="26" w16cid:durableId="1242638862">
    <w:abstractNumId w:val="1"/>
  </w:num>
  <w:num w:numId="27" w16cid:durableId="1848713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1385681">
    <w:abstractNumId w:val="1"/>
  </w:num>
  <w:num w:numId="29" w16cid:durableId="1904674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4163826">
    <w:abstractNumId w:val="1"/>
  </w:num>
  <w:num w:numId="31" w16cid:durableId="980426337">
    <w:abstractNumId w:val="1"/>
  </w:num>
  <w:num w:numId="32" w16cid:durableId="1412853284">
    <w:abstractNumId w:val="1"/>
  </w:num>
  <w:num w:numId="33" w16cid:durableId="1715157819">
    <w:abstractNumId w:val="1"/>
  </w:num>
  <w:num w:numId="34" w16cid:durableId="698432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652166">
    <w:abstractNumId w:val="1"/>
  </w:num>
  <w:num w:numId="36" w16cid:durableId="144009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7518906">
    <w:abstractNumId w:val="1"/>
  </w:num>
  <w:num w:numId="38" w16cid:durableId="1937710328">
    <w:abstractNumId w:val="1"/>
  </w:num>
  <w:num w:numId="39" w16cid:durableId="901797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1757565">
    <w:abstractNumId w:val="1"/>
  </w:num>
  <w:num w:numId="41" w16cid:durableId="252785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05362663">
    <w:abstractNumId w:val="0"/>
  </w:num>
  <w:num w:numId="43" w16cid:durableId="1818834554">
    <w:abstractNumId w:val="1"/>
  </w:num>
  <w:num w:numId="44" w16cid:durableId="319306638">
    <w:abstractNumId w:val="1"/>
  </w:num>
  <w:num w:numId="45" w16cid:durableId="660230228">
    <w:abstractNumId w:val="1"/>
  </w:num>
  <w:num w:numId="46" w16cid:durableId="76639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87333262">
    <w:abstractNumId w:val="1"/>
  </w:num>
  <w:num w:numId="48" w16cid:durableId="1023508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46312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70446058">
    <w:abstractNumId w:val="1"/>
  </w:num>
  <w:num w:numId="51" w16cid:durableId="49580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02520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10771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2838270">
    <w:abstractNumId w:val="1"/>
  </w:num>
  <w:num w:numId="55" w16cid:durableId="290600807">
    <w:abstractNumId w:val="1"/>
  </w:num>
  <w:num w:numId="56" w16cid:durableId="209923646">
    <w:abstractNumId w:val="1"/>
  </w:num>
  <w:num w:numId="57" w16cid:durableId="1092968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12817265">
    <w:abstractNumId w:val="1"/>
  </w:num>
  <w:num w:numId="59" w16cid:durableId="349990919">
    <w:abstractNumId w:val="1"/>
  </w:num>
  <w:num w:numId="60" w16cid:durableId="473108220">
    <w:abstractNumId w:val="1"/>
  </w:num>
  <w:num w:numId="61" w16cid:durableId="1539396351">
    <w:abstractNumId w:val="1"/>
  </w:num>
  <w:num w:numId="62" w16cid:durableId="865752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14726059">
    <w:abstractNumId w:val="1"/>
  </w:num>
  <w:num w:numId="64" w16cid:durableId="1153791670">
    <w:abstractNumId w:val="1"/>
  </w:num>
  <w:num w:numId="65" w16cid:durableId="29767828">
    <w:abstractNumId w:val="1"/>
  </w:num>
  <w:num w:numId="66" w16cid:durableId="132219960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 w16cid:durableId="206112457">
    <w:abstractNumId w:val="1"/>
  </w:num>
  <w:num w:numId="68" w16cid:durableId="787042800">
    <w:abstractNumId w:val="1"/>
  </w:num>
  <w:num w:numId="69" w16cid:durableId="1473792655">
    <w:abstractNumId w:val="1"/>
  </w:num>
  <w:num w:numId="70" w16cid:durableId="1950163181">
    <w:abstractNumId w:val="1"/>
  </w:num>
  <w:num w:numId="71" w16cid:durableId="568229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08138423">
    <w:abstractNumId w:val="1"/>
  </w:num>
  <w:num w:numId="73" w16cid:durableId="1190489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44481118">
    <w:abstractNumId w:val="1"/>
  </w:num>
  <w:num w:numId="75" w16cid:durableId="1086147340">
    <w:abstractNumId w:val="1"/>
  </w:num>
  <w:num w:numId="76" w16cid:durableId="6665190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7" w16cid:durableId="1634948702">
    <w:abstractNumId w:val="1"/>
  </w:num>
  <w:num w:numId="78" w16cid:durableId="1370108976">
    <w:abstractNumId w:val="1"/>
  </w:num>
  <w:num w:numId="79" w16cid:durableId="1500807101">
    <w:abstractNumId w:val="1"/>
  </w:num>
  <w:num w:numId="80" w16cid:durableId="946620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79612237">
    <w:abstractNumId w:val="1"/>
  </w:num>
  <w:num w:numId="82" w16cid:durableId="193929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30484045">
    <w:abstractNumId w:val="1"/>
  </w:num>
  <w:num w:numId="84" w16cid:durableId="1935046519">
    <w:abstractNumId w:val="1"/>
  </w:num>
  <w:num w:numId="85" w16cid:durableId="486479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24335151">
    <w:abstractNumId w:val="1"/>
  </w:num>
  <w:num w:numId="87" w16cid:durableId="149903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5167"/>
    <w:rsid w:val="00561105"/>
    <w:rsid w:val="00965823"/>
    <w:rsid w:val="00A05CFC"/>
    <w:rsid w:val="00BB4BDA"/>
    <w:rsid w:val="00C722D2"/>
    <w:rsid w:val="00DA5167"/>
    <w:rsid w:val="00F00EB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2EBF"/>
  <w15:docId w15:val="{3EEC82F2-EFDB-164D-BEDB-9E1DFFFB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autoRedefine/>
    <w:uiPriority w:val="9"/>
    <w:unhideWhenUsed/>
    <w:qFormat/>
    <w:rsid w:val="00BB4BDA"/>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C0CA0"/>
    <w:pPr>
      <w:spacing w:after="100"/>
    </w:pPr>
  </w:style>
  <w:style w:type="paragraph" w:styleId="TOC2">
    <w:name w:val="toc 2"/>
    <w:basedOn w:val="Normal"/>
    <w:next w:val="Normal"/>
    <w:autoRedefine/>
    <w:uiPriority w:val="39"/>
    <w:rsid w:val="00BC0CA0"/>
    <w:pPr>
      <w:spacing w:after="100"/>
      <w:ind w:left="240"/>
    </w:pPr>
  </w:style>
  <w:style w:type="paragraph" w:styleId="TOC3">
    <w:name w:val="toc 3"/>
    <w:basedOn w:val="Normal"/>
    <w:next w:val="Normal"/>
    <w:autoRedefine/>
    <w:uiPriority w:val="39"/>
    <w:rsid w:val="00BC0CA0"/>
    <w:pPr>
      <w:spacing w:after="100"/>
      <w:ind w:left="480"/>
    </w:pPr>
  </w:style>
  <w:style w:type="character" w:customStyle="1" w:styleId="ph">
    <w:name w:val="ph"/>
    <w:basedOn w:val="DefaultParagraphFont"/>
    <w:rsid w:val="00396DA1"/>
  </w:style>
  <w:style w:type="character" w:customStyle="1" w:styleId="apple-converted-space">
    <w:name w:val="apple-converted-space"/>
    <w:basedOn w:val="DefaultParagraphFont"/>
    <w:rsid w:val="00396DA1"/>
  </w:style>
  <w:style w:type="character" w:styleId="Emphasis">
    <w:name w:val="Emphasis"/>
    <w:basedOn w:val="DefaultParagraphFont"/>
    <w:uiPriority w:val="20"/>
    <w:qFormat/>
    <w:rsid w:val="00396D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31</Pages>
  <Words>11351</Words>
  <Characters>64705</Characters>
  <Application>Microsoft Office Word</Application>
  <DocSecurity>0</DocSecurity>
  <Lines>539</Lines>
  <Paragraphs>151</Paragraphs>
  <ScaleCrop>false</ScaleCrop>
  <Company/>
  <LinksUpToDate>false</LinksUpToDate>
  <CharactersWithSpaces>75905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Checkbox: Critical Analysis of Self-Assessment Bias and Defense-in-Depth Understanding in Open-Source NIST 800-171 Implementations</dc:title>
  <dc:creator>Donald E. Shannon</dc:creator>
  <cp:keywords/>
  <cp:lastModifiedBy>Don Shannon</cp:lastModifiedBy>
  <cp:revision>4</cp:revision>
  <dcterms:created xsi:type="dcterms:W3CDTF">2026-02-06T16:09:00Z</dcterms:created>
  <dcterms:modified xsi:type="dcterms:W3CDTF">2026-02-06T18:45:00Z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ies>
</file>