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plan-of-action-milestones-poam"/>
    <w:p>
      <w:pPr>
        <w:pStyle w:val="Heading1"/>
      </w:pPr>
      <w:r>
        <w:t xml:space="preserve">PLAN OF ACTION &amp; MILESTONES (POA&amp;M)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2.3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11, 2026</w:t>
      </w:r>
      <w:r>
        <w:t xml:space="preserve"> </w:t>
      </w:r>
      <w:r>
        <w:rPr>
          <w:bCs/>
          <w:b/>
        </w:rPr>
        <w:t xml:space="preserve">Organization:</w:t>
      </w:r>
      <w:r>
        <w:t xml:space="preserve"> </w:t>
      </w:r>
      <w:r>
        <w:t xml:space="preserve">The Contract Coach</w:t>
      </w:r>
      <w:r>
        <w:t xml:space="preserve"> </w:t>
      </w:r>
      <w:r>
        <w:rPr>
          <w:bCs/>
          <w:b/>
        </w:rPr>
        <w:t xml:space="preserve">System:</w:t>
      </w:r>
      <w:r>
        <w:t xml:space="preserve"> </w:t>
      </w:r>
      <w:r>
        <w:t xml:space="preserve">CyberHygiene Production Network (cyberinabox.net)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t xml:space="preserve">System Security Plan Version 2.0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SPRS Score Status:</w:t>
      </w:r>
      <w:r>
        <w:t xml:space="preserve"> </w:t>
      </w:r>
      <w:r>
        <w:t xml:space="preserve">- Current Score: 88/110 (80.0%)</w:t>
      </w:r>
      <w:r>
        <w:t xml:space="preserve"> </w:t>
      </w:r>
      <w:r>
        <w:t xml:space="preserve">- Target Score: 110/110 (100%)</w:t>
      </w:r>
      <w:r>
        <w:t xml:space="preserve"> </w:t>
      </w:r>
      <w:r>
        <w:t xml:space="preserve">- Target Completion: March 31, 2026 (most items), June 30, 2026 (IR testing)</w:t>
      </w:r>
    </w:p>
    <w:p>
      <w:pPr>
        <w:pStyle w:val="BodyText"/>
      </w:pPr>
      <w:r>
        <w:t xml:space="preserve">SPRS score revised per independent CMMC L2 Preliminary Gap Analysis (February 9, 2026). See Assessment Reference section below.</w:t>
      </w:r>
    </w:p>
    <w:p>
      <w:r>
        <w:pict>
          <v:rect style="width:0;height:1.5pt" o:hralign="center" o:hrstd="t" o:hr="t"/>
        </w:pict>
      </w:r>
    </w:p>
    <w:bookmarkEnd w:id="20"/>
    <w:bookmarkStart w:id="22" w:name="assessment-reference"/>
    <w:p>
      <w:pPr>
        <w:pStyle w:val="Heading2"/>
      </w:pPr>
      <w:r>
        <w:t xml:space="preserve">Assessment Reference</w: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CMMC Level 2 Preliminary Gap Analysis</w:t>
      </w:r>
      <w:r>
        <w:t xml:space="preserve"> </w:t>
      </w:r>
      <w:r>
        <w:rPr>
          <w:bCs/>
          <w:b/>
        </w:rPr>
        <w:t xml:space="preserve">Assessment Date:</w:t>
      </w:r>
      <w:r>
        <w:t xml:space="preserve"> </w:t>
      </w:r>
      <w:r>
        <w:t xml:space="preserve">February 9, 2026</w:t>
      </w:r>
      <w:r>
        <w:t xml:space="preserve"> </w:t>
      </w:r>
      <w:r>
        <w:rPr>
          <w:bCs/>
          <w:b/>
        </w:rPr>
        <w:t xml:space="preserve">Assessor:</w:t>
      </w:r>
      <w:r>
        <w:t xml:space="preserve"> </w:t>
      </w:r>
      <w:r>
        <w:t xml:space="preserve">Independent C3PAO Preliminary Reviewer</w:t>
      </w:r>
      <w:r>
        <w:t xml:space="preserve"> </w:t>
      </w:r>
      <w:r>
        <w:rPr>
          <w:bCs/>
          <w:b/>
        </w:rPr>
        <w:t xml:space="preserve">Methodology:</w:t>
      </w:r>
      <w:r>
        <w:t xml:space="preserve"> </w:t>
      </w:r>
      <w:r>
        <w:t xml:space="preserve">CMMC Assessment Guide Level 2, Version 2.13 (September 2024)</w:t>
      </w:r>
      <w:r>
        <w:t xml:space="preserve"> </w:t>
      </w:r>
      <w:r>
        <w:rPr>
          <w:bCs/>
          <w:b/>
        </w:rPr>
        <w:t xml:space="preserve">Reference Standard:</w:t>
      </w:r>
      <w:r>
        <w:t xml:space="preserve"> </w:t>
      </w:r>
      <w:r>
        <w:t xml:space="preserve">NIST SP 800-171 Rev 2 / 32 CFR 170.16 / 32 CFR 170.17</w:t>
      </w:r>
    </w:p>
    <w:bookmarkStart w:id="21" w:name="variance-summary"/>
    <w:p>
      <w:pPr>
        <w:pStyle w:val="Heading3"/>
      </w:pPr>
      <w:r>
        <w:t xml:space="preserve">Variance Summary</w:t>
      </w:r>
    </w:p>
    <w:p>
      <w:pPr>
        <w:pStyle w:val="FirstParagraph"/>
      </w:pPr>
      <w:r>
        <w:t xml:space="preserve">The independent assessment identified a</w:t>
      </w:r>
      <w:r>
        <w:t xml:space="preserve"> </w:t>
      </w:r>
      <w:r>
        <w:rPr>
          <w:bCs/>
          <w:b/>
        </w:rPr>
        <w:t xml:space="preserve">19-point SPRS variance</w:t>
      </w:r>
      <w:r>
        <w:t xml:space="preserve"> </w:t>
      </w:r>
      <w:r>
        <w:t xml:space="preserve">between the self-assessed score (107/110) and the independent score (88/110). The self-assessment has been corrected to align with the independent findings.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 (3.5.3)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Testing (3.6.3)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(3.2.1, 3.2.2, 3.2.3)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Assessment (3.11.1)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Assessment (3.12.1)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Lock (3.1.10)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Banners (3.1.9)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Removable Media (3.8.7)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-18.5</w:t>
            </w:r>
          </w:p>
        </w:tc>
      </w:tr>
    </w:tbl>
    <w:p>
      <w:pPr>
        <w:pStyle w:val="BodyText"/>
      </w:pPr>
      <w:r>
        <w:rPr>
          <w:bCs/>
          <w:b/>
        </w:rPr>
        <w:t xml:space="preserve">Root Causes of Variance:</w:t>
      </w:r>
      <w:r>
        <w:t xml:space="preserve"> </w:t>
      </w:r>
      <w:r>
        <w:t xml:space="preserve">1. DRAFT policies credited as MET (CMMC Guide v2.13 requires formally approved policies)</w:t>
      </w:r>
      <w:r>
        <w:t xml:space="preserve"> </w:t>
      </w:r>
      <w:r>
        <w:t xml:space="preserve">2. Planned implementations credited as MET (USBGuard, training, risk assessment)</w:t>
      </w:r>
      <w:r>
        <w:t xml:space="preserve"> </w:t>
      </w:r>
      <w:r>
        <w:t xml:space="preserve">3. MFA weight scored at -3 (IA-8 only) instead of -5 (full 3.5.3 weight)</w:t>
      </w:r>
      <w:r>
        <w:t xml:space="preserve"> </w:t>
      </w:r>
      <w:r>
        <w:t xml:space="preserve">4. Several NOT MET items not captured as SPRS deficits in POA&amp;M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oam-summary"/>
    <w:p>
      <w:pPr>
        <w:pStyle w:val="Heading2"/>
      </w:pPr>
      <w:r>
        <w:t xml:space="preserve">POA&amp;M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 (Risk Accepted)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Priority Distribution (items with assigned priority):</w:t>
      </w:r>
      <w:r>
        <w:t xml:space="preserve"> </w:t>
      </w:r>
      <w:r>
        <w:t xml:space="preserve">- High Priority: 9 items</w:t>
      </w:r>
      <w:r>
        <w:t xml:space="preserve"> </w:t>
      </w:r>
      <w:r>
        <w:t xml:space="preserve">- Medium Priority: 15 items</w:t>
      </w:r>
      <w:r>
        <w:t xml:space="preserve"> </w:t>
      </w:r>
      <w:r>
        <w:t xml:space="preserve">- Low Priority: 4 items</w:t>
      </w:r>
    </w:p>
    <w:p>
      <w:r>
        <w:pict>
          <v:rect style="width:0;height:1.5pt" o:hralign="center" o:hrstd="t" o:hr="t"/>
        </w:pict>
      </w:r>
    </w:p>
    <w:bookmarkEnd w:id="23"/>
    <w:bookmarkStart w:id="27" w:name="section-1-completed-poam-items"/>
    <w:p>
      <w:pPr>
        <w:pStyle w:val="Heading2"/>
      </w:pPr>
      <w:r>
        <w:t xml:space="preserve">Section 1: COMPLETED POA&amp;M Items</w:t>
      </w:r>
    </w:p>
    <w:p>
      <w:pPr>
        <w:pStyle w:val="FirstParagraph"/>
      </w:pPr>
      <w:r>
        <w:t xml:space="preserve">Items completed and verified as of February 3, 2026:</w:t>
      </w:r>
    </w:p>
    <w:bookmarkStart w:id="24" w:name="infrastructure-and-technical-controls"/>
    <w:p>
      <w:pPr>
        <w:pStyle w:val="Heading3"/>
      </w:pPr>
      <w:r>
        <w:t xml:space="preserve">Infrastructure and Technical Controls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Samba file sharing not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AC-3, AC-6, AU-2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Samba share operational at</w:t>
            </w:r>
            <w:r>
              <w:t xml:space="preserve"> </w:t>
            </w:r>
            <w:r>
              <w:rPr>
                <w:rStyle w:val="VerbatimChar"/>
              </w:rPr>
              <w:t xml:space="preserve">/srv/samba/shared</w:t>
            </w:r>
            <w:r>
              <w:t xml:space="preserve">, FreeIPA integration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server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 SC-13, 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 3.5.25 and Dovecot 2.3.16 operational with TLS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system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CP-9, 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backup system operational with weekly full backups and daily incremental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IDS/IPS not operational on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 v4.9.2 deployed with Suricata integration on pfSense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integrity monitoring not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 operational with 12-hour scan intervals on critical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certificate not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 SC-13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SSL.com wildcard certificate deployed, valid until October 28,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bookmarkEnd w:id="24"/>
    <w:bookmarkStart w:id="25" w:name="policy-documentation"/>
    <w:p>
      <w:pPr>
        <w:pStyle w:val="Heading3"/>
      </w:pPr>
      <w:r>
        <w:t xml:space="preserve">Policy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IR-1, IR-4, IR-6,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Procedures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 through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IR procedures in TCC-IRP-001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screening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TCC-PS-001, Section 2.3 documents TS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 through PS-8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security controls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 through PE-20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 Part 1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 procedures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MP-1 through MP-8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 Part 2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Section 2.6 (LUKS erase, shred)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RA-1, RA-2, RA-3,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scanning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TCC-RA-001, Section 2.5 (Wazuh, OpenSCAP)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Integrity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SI-1, SI-2, SI-4 through SI-12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Section 2.3 (YARA, Wazuh FIM)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 PS-6, PL-4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 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Framework not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RA-3, RA-5,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 with NIST SP 800-30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bookmarkEnd w:id="25"/>
    <w:bookmarkStart w:id="26" w:name="ai-security-controls-new---february-2026"/>
    <w:p>
      <w:pPr>
        <w:pStyle w:val="Heading3"/>
      </w:pPr>
      <w:r>
        <w:t xml:space="preserve">AI Security Controls (NEW - February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2053"/>
        <w:gridCol w:w="1466"/>
        <w:gridCol w:w="1662"/>
        <w:gridCol w:w="977"/>
        <w:gridCol w:w="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Gateway Security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3.1.1, 3.1.2, 3.5.2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gateway with token auth, loopback-only binding, tool allowlist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Defense (Citadel Guard)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3.13.1, 3.6.1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Citadel Guard with 20+ detection patterns, sanitize-and-flag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3.1.5, 3.1.7, 3.5.2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approval proxy with HMAC-signed responses, 120s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3.3.1, 3.3.2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logging at gateway, proxy, and agent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Network Confinement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3.1.7, 3.13.1, 3.13.8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nftables egress rules, UID-based filtering for openclaw-svc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Security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3.4.1, 3.4.5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OPENCLAW_AI_SECURITY_ARCHITECTURE.md, SBOM.json, SSP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POA&amp;M-SPRS-3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spam protection (SI-8)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OpenDKIM 2.11.0, SpamAssassin 3.4.6, spamass-milter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Xc5c0801e0312802cdd65cb86e49e6aae66b57b5"/>
    <w:p>
      <w:pPr>
        <w:pStyle w:val="Heading2"/>
      </w:pPr>
      <w:r>
        <w:t xml:space="preserve">Section 2: CLOSED POA&amp;M Items (Risk Accepted)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2053"/>
        <w:gridCol w:w="1466"/>
        <w:gridCol w:w="78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Acceptance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ClamAV antivirus FIPS incompatible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- Risk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Risk_Acceptance_ClamAV_FIPS_Incompatibility.md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Risk Acceptance Details:</w:t>
      </w:r>
      <w:r>
        <w:t xml:space="preserve"> </w:t>
      </w:r>
      <w:r>
        <w:t xml:space="preserve">- ClamAV 1.4.3 incompatible with FIPS mode due to OpenSSL 3 cryptographic restrictions</w:t>
      </w:r>
      <w:r>
        <w:t xml:space="preserve"> </w:t>
      </w:r>
      <w:r>
        <w:t xml:space="preserve">- Compensating controls: YARA 4.5.2 pattern detection (operational), Wazuh FIM, network IDS/IPS</w:t>
      </w:r>
      <w:r>
        <w:t xml:space="preserve"> </w:t>
      </w:r>
      <w:r>
        <w:t xml:space="preserve">- Risk level: LOW (with compensating controls)</w:t>
      </w:r>
      <w:r>
        <w:t xml:space="preserve"> </w:t>
      </w:r>
      <w:r>
        <w:t xml:space="preserve">- Annual review scheduled: December 31, 2026</w:t>
      </w:r>
    </w:p>
    <w:p>
      <w:r>
        <w:pict>
          <v:rect style="width:0;height:1.5pt" o:hralign="center" o:hrstd="t" o:hr="t"/>
        </w:pict>
      </w:r>
    </w:p>
    <w:bookmarkEnd w:id="28"/>
    <w:bookmarkStart w:id="29" w:name="section-2a-consolidated-poam-items"/>
    <w:p>
      <w:pPr>
        <w:pStyle w:val="Heading2"/>
      </w:pPr>
      <w:r>
        <w:t xml:space="preserve">Section 2A: CONSOLIDATED POA&amp;M Items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2315"/>
        <w:gridCol w:w="2315"/>
        <w:gridCol w:w="1340"/>
        <w:gridCol w:w="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POA&amp;M-SPRS-1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not implemented for non-organizational users (IA-8)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FreeIPA OTP deployment covers both organizational and non-organizational users. IA-8 requirement addressed by the same MFA implementation as 3.5.3.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02/11/2026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4" w:name="section-3-on-track-poam-items"/>
    <w:p>
      <w:pPr>
        <w:pStyle w:val="Heading2"/>
      </w:pPr>
      <w:r>
        <w:t xml:space="preserve">Section 3: ON TRACK POA&amp;M Items</w:t>
      </w:r>
    </w:p>
    <w:bookmarkStart w:id="30" w:name="immediate-priority-target-march-15-2026"/>
    <w:p>
      <w:pPr>
        <w:pStyle w:val="Heading3"/>
      </w:pPr>
      <w:r>
        <w:t xml:space="preserve">Immediate Priority (Target: March 15,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3"/>
        <w:gridCol w:w="1750"/>
        <w:gridCol w:w="1250"/>
        <w:gridCol w:w="1083"/>
        <w:gridCol w:w="1083"/>
        <w:gridCol w:w="833"/>
        <w:gridCol w:w="666"/>
        <w:gridCol w:w="4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SPRS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lock not configured (15-min 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3.1.10 (AC-11)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not implemented on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3.1.9 (AC-8)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POA&amp;M-029 Assessment Finding:</w:t>
      </w:r>
      <w:r>
        <w:t xml:space="preserve"> </w:t>
      </w:r>
      <w:r>
        <w:t xml:space="preserve">Independent assessment confirms 3.1.10 NOT MET. Policy exists (TCC-AUP-001 Section 2.3) but technical implementation incomplete. Configure GNOME/KDE screen lock at 15 minutes on all workstations.</w:t>
      </w:r>
    </w:p>
    <w:p>
      <w:pPr>
        <w:pStyle w:val="BodyText"/>
      </w:pPr>
      <w:r>
        <w:rPr>
          <w:bCs/>
          <w:b/>
        </w:rPr>
        <w:t xml:space="preserve">POA&amp;M-034 Assessment Finding:</w:t>
      </w:r>
      <w:r>
        <w:t xml:space="preserve"> </w:t>
      </w:r>
      <w:r>
        <w:t xml:space="preserve">Independent assessment confirms 3.1.9 NOT MET. Configure /etc/issue, /etc/issue.net, and SSH Banner directive on all systems.</w:t>
      </w:r>
    </w:p>
    <w:bookmarkEnd w:id="30"/>
    <w:bookmarkStart w:id="31" w:name="q1-end-target-march-31-2026"/>
    <w:p>
      <w:pPr>
        <w:pStyle w:val="Heading3"/>
      </w:pPr>
      <w:r>
        <w:t xml:space="preserve">Q1 End (Target: March 31,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3"/>
        <w:gridCol w:w="1750"/>
        <w:gridCol w:w="1250"/>
        <w:gridCol w:w="1083"/>
        <w:gridCol w:w="1083"/>
        <w:gridCol w:w="833"/>
        <w:gridCol w:w="666"/>
        <w:gridCol w:w="4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SPRS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authentication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3.5.3 (IA-2(1), IA-2(2))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-5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training program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3.2.1 (AT-2, AT-3)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-3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control assessment not formally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3.12.1 (CA-2)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-3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 Accountability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 through AU-12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Management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 through CM-11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and Training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3.2.2, 3.2.3 (AT-1 through AT-4)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-4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Authentication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 through IA-11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Removable media technical enforcement (USBGuard)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3.8.7 (MP.L2-3.8.7)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Communications Protection 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SC-1 through SC-16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POA&amp;M-004 (MFA) Assessment Finding:</w:t>
      </w:r>
      <w:r>
        <w:t xml:space="preserve"> </w:t>
      </w:r>
      <w:r>
        <w:t xml:space="preserve">Independent assessment scores 3.5.3 at full</w:t>
      </w:r>
      <w:r>
        <w:t xml:space="preserve"> </w:t>
      </w:r>
      <w:r>
        <w:rPr>
          <w:bCs/>
          <w:b/>
        </w:rPr>
        <w:t xml:space="preserve">-5 point</w:t>
      </w:r>
      <w:r>
        <w:t xml:space="preserve"> </w:t>
      </w:r>
      <w:r>
        <w:t xml:space="preserve">weight (not -3 as previously assessed for IA-8 only). FreeIPA natively supports OTP tokens; remediation is straightforward. This item now absorbs POA&amp;M-SPRS-1 (IA-8 for non-organizational users) — the same FreeIPA OTP deployment covers both organizational and non-organizational user MFA requirements.</w:t>
      </w:r>
    </w:p>
    <w:p>
      <w:pPr>
        <w:pStyle w:val="BodyText"/>
      </w:pPr>
      <w:r>
        <w:rPr>
          <w:bCs/>
          <w:b/>
        </w:rPr>
        <w:t xml:space="preserve">POA&amp;M-006 (Security Awareness Training) Assessment Finding:</w:t>
      </w:r>
      <w:r>
        <w:t xml:space="preserve"> </w:t>
      </w:r>
      <w:r>
        <w:t xml:space="preserve">Independent assessment identifies 3.2.1 (Role-Based Risk Awareness) as NOT MET with</w:t>
      </w:r>
      <w:r>
        <w:t xml:space="preserve"> </w:t>
      </w:r>
      <w:r>
        <w:rPr>
          <w:bCs/>
          <w:b/>
        </w:rPr>
        <w:t xml:space="preserve">-3 point</w:t>
      </w:r>
      <w:r>
        <w:t xml:space="preserve"> </w:t>
      </w:r>
      <w:r>
        <w:t xml:space="preserve">deficit. AUP acknowledgment does not constitute role-based training per CMMC Guide v2.13. Must establish a formal security awareness training program with documented completion records.</w:t>
      </w:r>
    </w:p>
    <w:p>
      <w:pPr>
        <w:pStyle w:val="BodyText"/>
      </w:pPr>
      <w:r>
        <w:rPr>
          <w:bCs/>
          <w:b/>
        </w:rPr>
        <w:t xml:space="preserve">POA&amp;M-011 (Security Control Assessment) Assessment Finding:</w:t>
      </w:r>
      <w:r>
        <w:t xml:space="preserve"> </w:t>
      </w:r>
      <w:r>
        <w:t xml:space="preserve">Independent assessment identifies 3.12.1 as NOT MET with</w:t>
      </w:r>
      <w:r>
        <w:t xml:space="preserve"> </w:t>
      </w:r>
      <w:r>
        <w:rPr>
          <w:bCs/>
          <w:b/>
        </w:rPr>
        <w:t xml:space="preserve">-3 point</w:t>
      </w:r>
      <w:r>
        <w:t xml:space="preserve"> </w:t>
      </w:r>
      <w:r>
        <w:t xml:space="preserve">deficit. Scope broadened from SSP quarterly review to comprehensive security control assessment covering all 110 NIST 800-171 requirements. Must include formal assessment per NIST SP 800-53A methodology. Note: the February 9, 2026 preliminary gap analysis itself contributes toward satisfying 3.12.1.</w:t>
      </w:r>
    </w:p>
    <w:p>
      <w:pPr>
        <w:pStyle w:val="BodyText"/>
      </w:pPr>
      <w:r>
        <w:rPr>
          <w:bCs/>
          <w:b/>
        </w:rPr>
        <w:t xml:space="preserve">POA&amp;M-032 (AT Policy) Assessment Finding:</w:t>
      </w:r>
      <w:r>
        <w:t xml:space="preserve"> </w:t>
      </w:r>
      <w:r>
        <w:t xml:space="preserve">Independent assessment identifies 3.2.2 (Role-Based Training, -3) and 3.2.3 (Insider Threat Awareness, -1) as NOT MET, combined</w:t>
      </w:r>
      <w:r>
        <w:t xml:space="preserve"> </w:t>
      </w:r>
      <w:r>
        <w:rPr>
          <w:bCs/>
          <w:b/>
        </w:rPr>
        <w:t xml:space="preserve">-4 point</w:t>
      </w:r>
      <w:r>
        <w:t xml:space="preserve"> </w:t>
      </w:r>
      <w:r>
        <w:t xml:space="preserve">deficit. Policy must include insider threat awareness training component. TCC-AT-001 currently in DRAFT status; must be formally approved and initial training conducted and documented.</w:t>
      </w:r>
    </w:p>
    <w:p>
      <w:pPr>
        <w:pStyle w:val="BodyText"/>
      </w:pPr>
      <w:r>
        <w:rPr>
          <w:bCs/>
          <w:b/>
        </w:rPr>
        <w:t xml:space="preserve">POA&amp;M-044 (Removable Media — NEW):</w:t>
      </w:r>
      <w:r>
        <w:t xml:space="preserve"> </w:t>
      </w:r>
      <w:r>
        <w:t xml:space="preserve">Independent assessment identifies 3.8.7 as NOT MET with</w:t>
      </w:r>
      <w:r>
        <w:t xml:space="preserve"> </w:t>
      </w:r>
      <w:r>
        <w:rPr>
          <w:bCs/>
          <w:b/>
        </w:rPr>
        <w:t xml:space="preserve">-1 point</w:t>
      </w:r>
      <w:r>
        <w:t xml:space="preserve"> </w:t>
      </w:r>
      <w:r>
        <w:t xml:space="preserve">deficit. Policy exists (TCC-PE-MP-001 Section 2.7) but no technical enforcement mechanism. Deploy USBGuard on all systems, create device whitelist for authorized USB storage, configure Wazuh monitoring for USBGuard events.</w:t>
      </w:r>
    </w:p>
    <w:p>
      <w:pPr>
        <w:pStyle w:val="BodyText"/>
      </w:pPr>
      <w:r>
        <w:rPr>
          <w:bCs/>
          <w:b/>
        </w:rPr>
        <w:t xml:space="preserve">POA&amp;M-045 (SC Policy — NEW):</w:t>
      </w:r>
      <w:r>
        <w:t xml:space="preserve"> </w:t>
      </w:r>
      <w:r>
        <w:t xml:space="preserve">Finalize TCC-SC-001 (currently PLANNED status). Assessment notes 5 of 11 policy families lack approved documentation. SC is the only family with no draft started. SPRS impact: 0 (maturity improvement — all SC controls technically MET). All 16 SC requirements scored MET by independent assessment.</w:t>
      </w:r>
    </w:p>
    <w:bookmarkEnd w:id="31"/>
    <w:bookmarkStart w:id="32" w:name="q2-target-april-30-2026"/>
    <w:p>
      <w:pPr>
        <w:pStyle w:val="Heading3"/>
      </w:pPr>
      <w:r>
        <w:t xml:space="preserve">Q2 (Target: April 30,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3"/>
        <w:gridCol w:w="1750"/>
        <w:gridCol w:w="1250"/>
        <w:gridCol w:w="1083"/>
        <w:gridCol w:w="1083"/>
        <w:gridCol w:w="833"/>
        <w:gridCol w:w="666"/>
        <w:gridCol w:w="4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SPRS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testing 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risk assessment not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3.11.1 (RA-3)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-3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POA&amp;M-035 (Risk Assessment) Assessment Finding:</w:t>
      </w:r>
      <w:r>
        <w:t xml:space="preserve"> </w:t>
      </w:r>
      <w:r>
        <w:t xml:space="preserve">Independent assessment identifies 3.11.1 as NOT MET with</w:t>
      </w:r>
      <w:r>
        <w:t xml:space="preserve"> </w:t>
      </w:r>
      <w:r>
        <w:rPr>
          <w:bCs/>
          <w:b/>
        </w:rPr>
        <w:t xml:space="preserve">-3 point</w:t>
      </w:r>
      <w:r>
        <w:t xml:space="preserve"> </w:t>
      </w:r>
      <w:r>
        <w:t xml:space="preserve">deficit. Risk Management Policy (TCC-RA-001) is approved with NIST SP 800-30 methodology established, but the first formal periodic risk assessment has not been conducted. Risk identification through POA&amp;M and Wazuh monitoring does not substitute for a formal risk assessment.</w:t>
      </w:r>
    </w:p>
    <w:bookmarkEnd w:id="32"/>
    <w:bookmarkStart w:id="33" w:name="q2-end-target-june-30-2026"/>
    <w:p>
      <w:pPr>
        <w:pStyle w:val="Heading3"/>
      </w:pPr>
      <w:r>
        <w:t xml:space="preserve">Q2 End (Target: June 30,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3"/>
        <w:gridCol w:w="1750"/>
        <w:gridCol w:w="1250"/>
        <w:gridCol w:w="1083"/>
        <w:gridCol w:w="1083"/>
        <w:gridCol w:w="833"/>
        <w:gridCol w:w="666"/>
        <w:gridCol w:w="4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SPRS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POA&amp;M-SPRS-2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tabletop exercise not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3.6.3 (IR-3)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POA&amp;M-SPRS-2 (IR Testing) Assessment Finding:</w:t>
      </w:r>
      <w:r>
        <w:t xml:space="preserve"> </w:t>
      </w:r>
      <w:r>
        <w:t xml:space="preserve">Independent assessment scores 3.6.3 at</w:t>
      </w:r>
      <w:r>
        <w:t xml:space="preserve"> </w:t>
      </w:r>
      <w:r>
        <w:rPr>
          <w:bCs/>
          <w:b/>
        </w:rPr>
        <w:t xml:space="preserve">-1 point</w:t>
      </w:r>
      <w:r>
        <w:t xml:space="preserve"> </w:t>
      </w:r>
      <w:r>
        <w:t xml:space="preserve">(updated from -0.5 per assessment weight). Annual tabletop exercise requirement documented in TCC-IRP-001 but first exercise not yet performed.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ection-4-ongoing-poam-items"/>
    <w:p>
      <w:pPr>
        <w:pStyle w:val="Heading2"/>
      </w:pPr>
      <w:r>
        <w:t xml:space="preserve">Section 4: ONGOING POA&amp;M Items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376"/>
        <w:gridCol w:w="1697"/>
        <w:gridCol w:w="1244"/>
        <w:gridCol w:w="90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3.3.4, 3.6.1, 3.12.3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Daily/Weekly/Monthly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Citadel Guard Pattern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3.14.1, 3.14.6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POA&amp;M-042 Milestones:</w:t>
      </w:r>
      <w:r>
        <w:t xml:space="preserve"> </w:t>
      </w:r>
      <w:r>
        <w:t xml:space="preserve">- Daily: Citadel Guard log review</w:t>
      </w:r>
      <w:r>
        <w:t xml:space="preserve"> </w:t>
      </w:r>
      <w:r>
        <w:t xml:space="preserve">- Weekly: Approval request analysis</w:t>
      </w:r>
      <w:r>
        <w:t xml:space="preserve"> </w:t>
      </w:r>
      <w:r>
        <w:t xml:space="preserve">- Monthly: HITL flow testing</w:t>
      </w:r>
      <w:r>
        <w:t xml:space="preserve"> </w:t>
      </w:r>
      <w:r>
        <w:t xml:space="preserve">- Quarterly: Penetration testing</w:t>
      </w:r>
    </w:p>
    <w:p>
      <w:pPr>
        <w:pStyle w:val="BodyText"/>
      </w:pPr>
      <w:r>
        <w:rPr>
          <w:bCs/>
          <w:b/>
        </w:rPr>
        <w:t xml:space="preserve">POA&amp;M-043 Milestones:</w:t>
      </w:r>
      <w:r>
        <w:t xml:space="preserve"> </w:t>
      </w:r>
      <w:r>
        <w:t xml:space="preserve">- Q1 2026: Review emerging injection techniques</w:t>
      </w:r>
      <w:r>
        <w:t xml:space="preserve"> </w:t>
      </w:r>
      <w:r>
        <w:t xml:space="preserve">- Q1 2026: Update pattern database</w:t>
      </w:r>
      <w:r>
        <w:t xml:space="preserve"> </w:t>
      </w:r>
      <w:r>
        <w:t xml:space="preserve">- Q1 2026: Test against new payloads</w:t>
      </w:r>
    </w:p>
    <w:p>
      <w:r>
        <w:pict>
          <v:rect style="width:0;height:1.5pt" o:hralign="center" o:hrstd="t" o:hr="t"/>
        </w:pict>
      </w:r>
    </w:p>
    <w:bookmarkEnd w:id="35"/>
    <w:bookmarkStart w:id="36" w:name="section-5-planned-poam-items"/>
    <w:p>
      <w:pPr>
        <w:pStyle w:val="Heading2"/>
      </w:pPr>
      <w:r>
        <w:t xml:space="preserve">Section 5: PLANNED POA&amp;M Items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5"/>
        <w:gridCol w:w="2028"/>
        <w:gridCol w:w="1448"/>
        <w:gridCol w:w="1255"/>
        <w:gridCol w:w="965"/>
        <w:gridCol w:w="772"/>
        <w:gridCol w:w="4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Dashboard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 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with MFA for remote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AC-17, IA-2(1)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1" w:name="poam-metrics"/>
    <w:p>
      <w:pPr>
        <w:pStyle w:val="Heading2"/>
      </w:pPr>
      <w:r>
        <w:t xml:space="preserve">POA&amp;M Metrics</w:t>
      </w:r>
    </w:p>
    <w:bookmarkStart w:id="37" w:name="by-status"/>
    <w:p>
      <w:pPr>
        <w:pStyle w:val="Heading3"/>
      </w:pPr>
      <w:r>
        <w:t xml:space="preserve">By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(Risk Accepted)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</w:tbl>
    <w:bookmarkEnd w:id="37"/>
    <w:bookmarkStart w:id="38" w:name="by-priority"/>
    <w:p>
      <w:pPr>
        <w:pStyle w:val="Heading3"/>
      </w:pPr>
      <w:r>
        <w:t xml:space="preserve">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Planned/Closed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8"/>
    <w:bookmarkStart w:id="39" w:name="by-target-date"/>
    <w:p>
      <w:pPr>
        <w:pStyle w:val="Heading3"/>
      </w:pPr>
      <w:r>
        <w:t xml:space="preserve">By Target Date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3550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2026 (Jan-Mar)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focus: MFA, training, session lock, banners, USBGuard,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2026 (Apr-Jun)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testing, risk assessment, DR testing, VPN, Wazuh dashboard</w:t>
            </w:r>
          </w:p>
        </w:tc>
      </w:tr>
    </w:tbl>
    <w:bookmarkEnd w:id="39"/>
    <w:bookmarkStart w:id="40" w:name="by-control-family"/>
    <w:p>
      <w:pPr>
        <w:pStyle w:val="Heading3"/>
      </w:pPr>
      <w:r>
        <w:t xml:space="preserve">By Control Family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SPRS Deficit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Control (AC)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 &amp; Training (AT)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&amp; Accountability (AU)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Assessment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Management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Planning (CP)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 &amp; Authentication (IA)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 (IR)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Protection (MP)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Protection (PE)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Security (PS)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Assessment (RA)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&amp; Communications Protection (SC)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&amp; Information Integrity (SI)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Security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Items assigned to primary control family. Total: 45 items, 26 completed, 19 open. SPRS deficit: -22.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pletion-trend"/>
    <w:p>
      <w:pPr>
        <w:pStyle w:val="Heading2"/>
      </w:pPr>
      <w:r>
        <w:t xml:space="preserve">Completion Trend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9"/>
        <w:gridCol w:w="2101"/>
        <w:gridCol w:w="1777"/>
        <w:gridCol w:w="1939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Backup, IDS/IPS, FIM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POA&amp;M-014 advanced to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documentation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SPRS gaps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01/26/2026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Samba, Email, SSL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controls integrated, POA&amp;M-014 closed, POA&amp;M-SPRS-3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02/11/2026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v2.3: Reconciled with independent assessment. SPRS revised 107→88. Added POA&amp;M-044, 045. Consolidated SPRS-1 into 004.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items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sprs-impact-summary"/>
    <w:p>
      <w:pPr>
        <w:pStyle w:val="Heading2"/>
      </w:pPr>
      <w:r>
        <w:t xml:space="preserve">SPRS Impact Summary</w:t>
      </w:r>
    </w:p>
    <w:bookmarkStart w:id="43" w:name="X8797291283913b52394f262a5025c1da0e43b1c"/>
    <w:p>
      <w:pPr>
        <w:pStyle w:val="Heading3"/>
      </w:pPr>
      <w:r>
        <w:t xml:space="preserve">Current Deficits (per Independent Assessment, February 9,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Multifactor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Risk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Insider Threat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Control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POA&amp;M-SPRS-2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Removable Media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Current SPRS:</w:t>
      </w:r>
      <w:r>
        <w:t xml:space="preserve"> </w:t>
      </w:r>
      <w:r>
        <w:t xml:space="preserve">88/110 (80.0%)</w:t>
      </w:r>
      <w:r>
        <w:t xml:space="preserve"> </w:t>
      </w:r>
      <w:r>
        <w:rPr>
          <w:bCs/>
          <w:b/>
        </w:rPr>
        <w:t xml:space="preserve">Target SPRS Upon Completion:</w:t>
      </w:r>
      <w:r>
        <w:t xml:space="preserve"> </w:t>
      </w:r>
      <w:r>
        <w:t xml:space="preserve">110/110 (100%)</w:t>
      </w:r>
    </w:p>
    <w:bookmarkEnd w:id="43"/>
    <w:bookmarkStart w:id="44" w:name="previously-completed-sprs-items"/>
    <w:p>
      <w:pPr>
        <w:pStyle w:val="Heading3"/>
      </w:pPr>
      <w:r>
        <w:t xml:space="preserve">Previously Completed SPRS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Recovered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POA&amp;M-SPRS-3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SI-8 (Spam Protection)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02/03/2026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evidence-storage"/>
    <w:p>
      <w:pPr>
        <w:pStyle w:val="Heading2"/>
      </w:pPr>
      <w:r>
        <w:t xml:space="preserve">Evidence Storage</w:t>
      </w:r>
    </w:p>
    <w:p>
      <w:pPr>
        <w:pStyle w:val="FirstParagraph"/>
      </w:pPr>
      <w:r>
        <w:t xml:space="preserve">All completed POA&amp;M items have evidence stored 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Policies:</w:t>
      </w:r>
      <w:r>
        <w:t xml:space="preserve"> </w:t>
      </w:r>
      <w:r>
        <w:rPr>
          <w:rStyle w:val="VerbatimChar"/>
        </w:rPr>
        <w:t xml:space="preserve">/home/dshannon/cyberhygiene-documentation/Certification and Compliance Evidence/Policies/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 Documentation:</w:t>
      </w:r>
      <w:r>
        <w:t xml:space="preserve"> </w:t>
      </w:r>
      <w:r>
        <w:rPr>
          <w:rStyle w:val="VerbatimChar"/>
        </w:rPr>
        <w:t xml:space="preserve">/home/dshannon/cyberhygiene-documentation/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Configuration Files:</w:t>
      </w:r>
      <w:r>
        <w:t xml:space="preserve"> </w:t>
      </w:r>
      <w:r>
        <w:t xml:space="preserve">System configuration directories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Security Documentation:</w:t>
      </w:r>
      <w:r>
        <w:t xml:space="preserve"> </w:t>
      </w:r>
      <w:r>
        <w:rPr>
          <w:rStyle w:val="VerbatimChar"/>
        </w:rPr>
        <w:t xml:space="preserve">/data/ai-workspace/sysadmin-agent/docs/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 Reports:</w:t>
      </w:r>
      <w:r>
        <w:t xml:space="preserve"> </w:t>
      </w:r>
      <w:r>
        <w:rPr>
          <w:rStyle w:val="VerbatimChar"/>
        </w:rPr>
        <w:t xml:space="preserve">/backup/compliance-scans/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Assessment Reports:</w:t>
      </w:r>
      <w:r>
        <w:t xml:space="preserve"> </w:t>
      </w:r>
      <w:r>
        <w:rPr>
          <w:rStyle w:val="VerbatimChar"/>
        </w:rPr>
        <w:t xml:space="preserve">/home/dshannon/CyberSecurity/Current/Assessments/</w:t>
      </w:r>
    </w:p>
    <w:p>
      <w:r>
        <w:pict>
          <v:rect style="width:0;height:1.5pt" o:hralign="center" o:hrstd="t" o:hr="t"/>
        </w:pict>
      </w:r>
    </w:p>
    <w:bookmarkEnd w:id="46"/>
    <w:bookmarkStart w:id="47" w:name="review-schedule"/>
    <w:p>
      <w:pPr>
        <w:pStyle w:val="Heading2"/>
      </w:pPr>
      <w:r>
        <w:t xml:space="preserve">Review Schedule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Quarterly POA&amp;M Review:</w:t>
      </w:r>
      <w:r>
        <w:t xml:space="preserve"> </w:t>
      </w:r>
      <w:r>
        <w:t xml:space="preserve">January, April, July, October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Next Review:</w:t>
      </w:r>
      <w:r>
        <w:t xml:space="preserve"> </w:t>
      </w:r>
      <w:r>
        <w:t xml:space="preserve">April 30, 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POA&amp;M Owner:</w:t>
      </w:r>
      <w:r>
        <w:t xml:space="preserve"> </w:t>
      </w:r>
      <w:r>
        <w:t xml:space="preserve">Donald E. Shannon, ISSO</w:t>
      </w:r>
    </w:p>
    <w:p>
      <w:r>
        <w:pict>
          <v:rect style="width:0;height:1.5pt" o:hralign="center" o:hrstd="t" o:hr="t"/>
        </w:pict>
      </w:r>
    </w:p>
    <w:bookmarkEnd w:id="47"/>
    <w:bookmarkStart w:id="49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Donald E. Shannon, ISSO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Owner/ISSO, Authorized Auditors, C3PAO Assessors</w:t>
      </w:r>
    </w:p>
    <w:bookmarkStart w:id="48" w:name="revision-history"/>
    <w:p>
      <w:pPr>
        <w:pStyle w:val="Heading3"/>
      </w:pPr>
      <w:r>
        <w:t xml:space="preserve">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32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POA&amp;M with 14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POA&amp;M-003, 008, 009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POA&amp;M-014 advanced to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POA&amp;M: Marked 13 policy items complete, added 8 new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3 SPRS assessment gaps (POA&amp;M-SPRS-1, SPRS-2, SPRS-3)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verification: Completed POA&amp;M-001 (Samba), POA&amp;M-010 (SSL), POA&amp;M-SPRS-3 (SpamAssassin). Updated POA&amp;M-014 to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 Update:</w:t>
            </w:r>
            <w:r>
              <w:t xml:space="preserve"> </w:t>
            </w:r>
            <w:r>
              <w:t xml:space="preserve">SSP reference updated v1.9→v2.0. Integrated 8 AI POA&amp;M items (POA&amp;M-036 through POA&amp;M-043). Closed POA&amp;M-014 with risk acceptance. Rescheduled all overdue items. Updated POA&amp;M-SPRS-3 status (OpenDKIM/SpamAssassin not functional). Completed POA&amp;M-002 (Email operational). Total items: 31→43. Metrics recalculated.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Reconciled with independent CMMC L2 Preliminary Gap Analysis (02/09/2026). SPRS score revised from 107 to 88 per independent assessment. Added 10 SPRS deficit items. New: POA&amp;M-044 (USBGuard), POA&amp;M-045 (SC Policy). Consolidated POA&amp;M-SPRS-1 into POA&amp;M-004. Corrected item counts (v2.2 understated total by 1). Updated all metrics and control family assignments.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UNIFIED POA&amp;M v2.3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2026-02-11T17:05:58Z</dcterms:created>
  <dcterms:modified xsi:type="dcterms:W3CDTF">2026-02-11T17:05:58Z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