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40"/>
        <w:jc w:val="center"/>
      </w:pPr>
      <w:r>
        <w:rPr>
          <w:rFonts w:ascii="Arial" w:cs="Arial" w:eastAsia="Arial" w:hAnsi="Arial"/>
          <w:b/>
          <w:bCs/>
          <w:color w:val="1B2845"/>
          <w:sz w:val="40"/>
          <w:szCs w:val="40"/>
        </w:rPr>
        <w:t xml:space="preserve">OpenClaw Deployment</w:t>
      </w:r>
    </w:p>
    <w:p>
      <w:pPr>
        <w:spacing w:after="40"/>
        <w:jc w:val="center"/>
      </w:pPr>
      <w:r>
        <w:rPr>
          <w:rFonts w:ascii="Arial" w:cs="Arial" w:eastAsia="Arial" w:hAnsi="Arial"/>
          <w:color w:val="2E5090"/>
          <w:sz w:val="28"/>
          <w:szCs w:val="28"/>
        </w:rPr>
        <w:t xml:space="preserve">on Domain Controller Infrastructure</w:t>
      </w:r>
    </w:p>
    <w:p>
      <w:pPr>
        <w:spacing w:after="200"/>
        <w:jc w:val="center"/>
      </w:pPr>
      <w:r>
        <w:rPr>
          <w:rFonts w:ascii="Arial" w:cs="Arial" w:eastAsia="Arial" w:hAnsi="Arial"/>
          <w:b/>
          <w:bCs/>
          <w:color w:val="3A7CB8"/>
          <w:sz w:val="24"/>
          <w:szCs w:val="24"/>
        </w:rPr>
        <w:t xml:space="preserve">Additional Safeguards &amp; NIST Alignment Guide</w:t>
      </w:r>
    </w:p>
    <w:p>
      <w:pPr>
        <w:spacing w:after="40"/>
        <w:jc w:val="center"/>
      </w:pPr>
      <w:r>
        <w:rPr>
          <w:rFonts w:ascii="Arial" w:cs="Arial" w:eastAsia="Arial" w:hAnsi="Arial"/>
          <w:color w:val="666666"/>
          <w:sz w:val="20"/>
          <w:szCs w:val="20"/>
        </w:rPr>
        <w:t xml:space="preserve">Version 1.1  |  February 2026</w:t>
      </w:r>
    </w:p>
    <w:p>
      <w:pPr>
        <w:spacing w:after="40"/>
        <w:jc w:val="center"/>
      </w:pPr>
      <w:r>
        <w:rPr>
          <w:rFonts w:ascii="Arial" w:cs="Arial" w:eastAsia="Arial" w:hAnsi="Arial"/>
          <w:b/>
          <w:bCs/>
          <w:color w:val="B71C1C"/>
          <w:sz w:val="18"/>
          <w:szCs w:val="18"/>
        </w:rPr>
        <w:t xml:space="preserve">CONFIDENTIAL — Internal Use Only</w:t>
      </w:r>
    </w:p>
    <w:p>
      <w:pPr>
        <w:spacing w:after="60"/>
      </w:pPr>
    </w:p>
    <w:p>
      <w:pPr>
        <w:spacing w:after="60"/>
      </w:pPr>
    </w:p>
    <w:p>
      <w:r>
        <w:br w:type="page"/>
      </w:r>
    </w:p>
    <w:p>
      <w:pPr>
        <w:pStyle w:val="Heading1"/>
      </w:pPr>
      <w:r>
        <w:rPr>
          <w:rFonts w:ascii="Arial" w:cs="Arial" w:eastAsia="Arial" w:hAnsi="Arial"/>
          <w:b/>
          <w:bCs/>
          <w:color w:val="1B2845"/>
          <w:sz w:val="28"/>
          <w:szCs w:val="28"/>
        </w:rPr>
        <w:t xml:space="preserve">1. Architecture Summary &amp; Assumptions</w:t>
      </w:r>
    </w:p>
    <w:p>
      <w:pPr>
        <w:spacing w:after="120"/>
      </w:pPr>
      <w:r>
        <w:rPr>
          <w:rFonts w:ascii="Arial" w:cs="Arial" w:eastAsia="Arial" w:hAnsi="Arial"/>
          <w:color w:val="333333"/>
          <w:sz w:val="20"/>
          <w:szCs w:val="20"/>
        </w:rPr>
        <w:t xml:space="preserve">This document is scoped to the specific deployment architecture described below. Recommendations are layered: some harden OpenClaw itself, some harden the OS and network perimeter, and some address NIST AI RMF governance requirements that exist independently of the technical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845"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B2845" w:val="clear"/>
            <w:tcMar>
              <w:top w:type="dxa" w:w="100"/>
              <w:left w:type="dxa" w:w="120"/>
              <w:bottom w:type="dxa" w:w="100"/>
              <w:right w:type="dxa" w:w="120"/>
            </w:tcMar>
          </w:tcPr>
          <w:p>
            <w:r>
              <w:rPr>
                <w:rFonts w:ascii="Arial" w:cs="Arial" w:eastAsia="Arial" w:hAnsi="Arial"/>
                <w:b/>
                <w:bCs/>
                <w:color w:val="FFFFFF"/>
                <w:sz w:val="20"/>
                <w:szCs w:val="20"/>
              </w:rPr>
              <w:t xml:space="preserve">Configuration</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845"/>
                <w:sz w:val="20"/>
                <w:szCs w:val="20"/>
              </w:rPr>
              <w:t xml:space="preserve">AI Inference Host</w:t>
            </w:r>
          </w:p>
        </w:tc>
        <w:tc>
          <w:tcPr>
            <w:tcW w:type="dxa" w:w="62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333333"/>
                <w:sz w:val="20"/>
                <w:szCs w:val="20"/>
              </w:rPr>
              <w:t xml:space="preserve">Mac mini M4 Pro — 64 GB RAM, 14 cores. Air-gapped. No internet connectivity.</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845"/>
                <w:sz w:val="20"/>
                <w:szCs w:val="20"/>
              </w:rPr>
              <w:t xml:space="preserve">Local Model</w:t>
            </w:r>
          </w:p>
        </w:tc>
        <w:tc>
          <w:tcPr>
            <w:tcW w:type="dxa" w:w="62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333333"/>
                <w:sz w:val="20"/>
                <w:szCs w:val="20"/>
              </w:rPr>
              <w:t xml:space="preserve">Ollama serving a 70B parameter model (~35 GB). Inference API on segmented VLAN only.</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845"/>
                <w:sz w:val="20"/>
                <w:szCs w:val="20"/>
              </w:rPr>
              <w:t xml:space="preserve">OpenClaw Gateway</w:t>
            </w:r>
          </w:p>
        </w:tc>
        <w:tc>
          <w:tcPr>
            <w:tcW w:type="dxa" w:w="62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333333"/>
                <w:sz w:val="20"/>
                <w:szCs w:val="20"/>
              </w:rPr>
              <w:t xml:space="preserve">Runs on Domain Controller. Requires sudo for admin tasks. Communicates with Ollama over segmented network.</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845"/>
                <w:sz w:val="20"/>
                <w:szCs w:val="20"/>
              </w:rPr>
              <w:t xml:space="preserve">Log Sources</w:t>
            </w:r>
          </w:p>
        </w:tc>
        <w:tc>
          <w:tcPr>
            <w:tcW w:type="dxa" w:w="62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333333"/>
                <w:sz w:val="20"/>
                <w:szCs w:val="20"/>
              </w:rPr>
              <w:t xml:space="preserve">Wazuh, Prometheus, Suricata, Graylog. Read-only ingestion by OpenClaw for review and analysis.</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845"/>
                <w:sz w:val="20"/>
                <w:szCs w:val="20"/>
              </w:rPr>
              <w:t xml:space="preserve">Human-in-the-Loop</w:t>
            </w:r>
          </w:p>
        </w:tc>
        <w:tc>
          <w:tcPr>
            <w:tcW w:type="dxa" w:w="62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333333"/>
                <w:sz w:val="20"/>
                <w:szCs w:val="20"/>
              </w:rPr>
              <w:t xml:space="preserve">All actions requiring sudo gated behind explicit operator approval. Configured via allow/deny lists.</w:t>
            </w:r>
          </w:p>
        </w:tc>
      </w:tr>
      <w:t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845"/>
                <w:sz w:val="20"/>
                <w:szCs w:val="20"/>
              </w:rPr>
              <w:t xml:space="preserve">NIST Alignment</w:t>
            </w:r>
          </w:p>
        </w:tc>
        <w:tc>
          <w:tcPr>
            <w:tcW w:type="dxa" w:w="624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color w:val="333333"/>
                <w:sz w:val="20"/>
                <w:szCs w:val="20"/>
              </w:rPr>
              <w:t xml:space="preserve">Target: NIST AI RMF 1.0 (Govern, Map, Measure, Manage) + emerging NIST CSF AI Profile.</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80"/>
            </w:pPr>
            <w:r>
              <w:rPr>
                <w:rFonts w:ascii="Arial" w:cs="Arial" w:eastAsia="Arial" w:hAnsi="Arial"/>
                <w:b/>
                <w:bCs/>
                <w:color w:val="E65100"/>
                <w:sz w:val="22"/>
                <w:szCs w:val="22"/>
              </w:rPr>
              <w:t xml:space="preserve">⚠  Critical Baseline Observation</w:t>
            </w:r>
          </w:p>
          <w:p>
            <w:pPr>
              <w:spacing w:after="60"/>
            </w:pPr>
            <w:r>
              <w:rPr>
                <w:rFonts w:ascii="Arial" w:cs="Arial" w:eastAsia="Arial" w:hAnsi="Arial"/>
                <w:color w:val="333333"/>
                <w:sz w:val="20"/>
                <w:szCs w:val="20"/>
              </w:rPr>
              <w:t xml:space="preserve">OpenClaw's own documentation states there is no "perfectly secure" setup. Running it on a Domain Controller with sudo — even with HITL controls — places it in the highest-risk tier of deployment targets. Every recommendation in this document should be treated as mandatory, not optional, for this use case.</w:t>
            </w:r>
          </w:p>
        </w:tc>
      </w:tr>
    </w:tbl>
    <w:p>
      <w:r>
        <w:br w:type="page"/>
      </w:r>
    </w:p>
    <w:p>
      <w:pPr>
        <w:pStyle w:val="Heading1"/>
      </w:pPr>
      <w:r>
        <w:rPr>
          <w:rFonts w:ascii="Arial" w:cs="Arial" w:eastAsia="Arial" w:hAnsi="Arial"/>
          <w:b/>
          <w:bCs/>
          <w:color w:val="1B2845"/>
          <w:sz w:val="28"/>
          <w:szCs w:val="28"/>
        </w:rPr>
        <w:t xml:space="preserve">2. Sudo &amp; Privilege Escalation Controls</w:t>
      </w:r>
    </w:p>
    <w:p>
      <w:pPr>
        <w:spacing w:after="120"/>
      </w:pPr>
      <w:r>
        <w:rPr>
          <w:rFonts w:ascii="Arial" w:cs="Arial" w:eastAsia="Arial" w:hAnsi="Arial"/>
          <w:color w:val="333333"/>
          <w:sz w:val="20"/>
          <w:szCs w:val="20"/>
        </w:rPr>
        <w:t xml:space="preserve">This is the single highest-risk surface in the deployment. OpenClaw running with sudo on a DC is equivalent to giving an autonomous agent root-level access to your most critical server. The goal is not to eliminate sudo entirely (it is required for the use case), but to constrain it so tightly that the blast radius of any compromise, hallucination, or prompt injection is minimized.</w:t>
      </w:r>
    </w:p>
    <w:p>
      <w:pPr>
        <w:spacing w:before="160" w:after="80"/>
      </w:pPr>
      <w:r>
        <w:rPr>
          <w:rFonts w:ascii="Arial" w:cs="Arial" w:eastAsia="Arial" w:hAnsi="Arial"/>
          <w:b/>
          <w:bCs/>
          <w:color w:val="3A7CB8"/>
          <w:sz w:val="22"/>
          <w:szCs w:val="22"/>
        </w:rPr>
        <w:t xml:space="preserve">2.1  Create a Dedicated, Narrowly-Scoped Service Account</w:t>
      </w:r>
    </w:p>
    <w:p>
      <w:pPr>
        <w:pStyle w:val="ListParagraph"/>
        <w:numPr>
          <w:ilvl w:val="0"/>
          <w:numId w:val="2"/>
        </w:numPr>
        <w:spacing w:after="80"/>
      </w:pPr>
      <w:r>
        <w:rPr>
          <w:rFonts w:ascii="Arial" w:cs="Arial" w:eastAsia="Arial" w:hAnsi="Arial"/>
          <w:color w:val="333333"/>
          <w:sz w:val="20"/>
          <w:szCs w:val="20"/>
        </w:rPr>
        <w:t xml:space="preserve">Create a non-interactive service account (e.g., openclaw-svc) that OpenClaw runs as. This account must never be used for interactive login.</w:t>
      </w:r>
    </w:p>
    <w:p>
      <w:pPr>
        <w:pStyle w:val="ListParagraph"/>
        <w:numPr>
          <w:ilvl w:val="0"/>
          <w:numId w:val="2"/>
        </w:numPr>
        <w:spacing w:after="80"/>
      </w:pPr>
      <w:r>
        <w:rPr>
          <w:rFonts w:ascii="Arial" w:cs="Arial" w:eastAsia="Arial" w:hAnsi="Arial"/>
          <w:color w:val="333333"/>
          <w:sz w:val="20"/>
          <w:szCs w:val="20"/>
        </w:rPr>
        <w:t xml:space="preserve">Disable password authentication and shell access for this account. It should only be invocable by the OpenClaw process.</w:t>
      </w:r>
    </w:p>
    <w:p>
      <w:pPr>
        <w:pStyle w:val="ListParagraph"/>
        <w:numPr>
          <w:ilvl w:val="0"/>
          <w:numId w:val="2"/>
        </w:numPr>
        <w:spacing w:after="80"/>
      </w:pPr>
      <w:r>
        <w:rPr>
          <w:rFonts w:ascii="Arial" w:cs="Arial" w:eastAsia="Arial" w:hAnsi="Arial"/>
          <w:color w:val="333333"/>
          <w:sz w:val="20"/>
          <w:szCs w:val="20"/>
        </w:rPr>
        <w:t xml:space="preserve">Set the home directory to a hardened, isolated path (e.g., /opt/openclaw) with strict permissions: 750 on the directory, 600 on all config files.</w:t>
      </w:r>
    </w:p>
    <w:p>
      <w:pPr>
        <w:spacing w:before="160" w:after="80"/>
      </w:pPr>
      <w:r>
        <w:rPr>
          <w:rFonts w:ascii="Arial" w:cs="Arial" w:eastAsia="Arial" w:hAnsi="Arial"/>
          <w:b/>
          <w:bCs/>
          <w:color w:val="3A7CB8"/>
          <w:sz w:val="22"/>
          <w:szCs w:val="22"/>
        </w:rPr>
        <w:t xml:space="preserve">2.2  Whitelist-Only sudoers Configuration</w:t>
      </w:r>
    </w:p>
    <w:p>
      <w:pPr>
        <w:spacing w:after="120"/>
      </w:pPr>
      <w:r>
        <w:rPr>
          <w:rFonts w:ascii="Arial" w:cs="Arial" w:eastAsia="Arial" w:hAnsi="Arial"/>
          <w:color w:val="333333"/>
          <w:sz w:val="20"/>
          <w:szCs w:val="20"/>
        </w:rPr>
        <w:t xml:space="preserve">Never grant ALL or NOPASSWD broadly. Define a sudoers drop-in file that explicitly enumerates every permitted command, with exact paths and no wildcard arguments.</w:t>
      </w:r>
    </w:p>
    <w:p>
      <w:pPr>
        <w:shd w:fill="F0F4F8" w:val="clear"/>
        <w:spacing w:after="60"/>
      </w:pPr>
      <w:r>
        <w:rPr>
          <w:rFonts w:ascii="Courier New" w:cs="Courier New" w:eastAsia="Courier New" w:hAnsi="Courier New"/>
          <w:color w:val="2D5A8E"/>
          <w:sz w:val="18"/>
          <w:szCs w:val="18"/>
        </w:rPr>
        <w:t xml:space="preserve"># /etc/sudoers.d/openclaw-svc</w:t>
      </w:r>
    </w:p>
    <w:p>
      <w:pPr>
        <w:shd w:fill="F0F4F8" w:val="clear"/>
        <w:spacing w:after="60"/>
      </w:pPr>
      <w:r>
        <w:rPr>
          <w:rFonts w:ascii="Courier New" w:cs="Courier New" w:eastAsia="Courier New" w:hAnsi="Courier New"/>
          <w:color w:val="2D5A8E"/>
          <w:sz w:val="18"/>
          <w:szCs w:val="18"/>
        </w:rPr>
        <w:t xml:space="preserve">openclaw-svc ALL=(root) NOPASSWD: /usr/sbin/systemctl restart wazuh-agent</w:t>
      </w:r>
    </w:p>
    <w:p>
      <w:pPr>
        <w:shd w:fill="F0F4F8" w:val="clear"/>
        <w:spacing w:after="60"/>
      </w:pPr>
      <w:r>
        <w:rPr>
          <w:rFonts w:ascii="Courier New" w:cs="Courier New" w:eastAsia="Courier New" w:hAnsi="Courier New"/>
          <w:color w:val="2D5A8E"/>
          <w:sz w:val="18"/>
          <w:szCs w:val="18"/>
        </w:rPr>
        <w:t xml:space="preserve">openclaw-svc ALL=(root) NOPASSWD: /usr/sbin/systemctl restart prometheus</w:t>
      </w:r>
    </w:p>
    <w:p>
      <w:pPr>
        <w:shd w:fill="F0F4F8" w:val="clear"/>
        <w:spacing w:after="60"/>
      </w:pPr>
      <w:r>
        <w:rPr>
          <w:rFonts w:ascii="Courier New" w:cs="Courier New" w:eastAsia="Courier New" w:hAnsi="Courier New"/>
          <w:color w:val="2D5A8E"/>
          <w:sz w:val="18"/>
          <w:szCs w:val="18"/>
        </w:rPr>
        <w:t xml:space="preserve">openclaw-svc ALL=(root) NOPASSWD: /usr/bin/journalctl --no-pager -u *</w:t>
      </w:r>
    </w:p>
    <w:p>
      <w:pPr>
        <w:shd w:fill="F0F4F8" w:val="clear"/>
        <w:spacing w:after="60"/>
      </w:pPr>
      <w:r>
        <w:rPr>
          <w:rFonts w:ascii="Courier New" w:cs="Courier New" w:eastAsia="Courier New" w:hAnsi="Courier New"/>
          <w:color w:val="2D5A8E"/>
          <w:sz w:val="18"/>
          <w:szCs w:val="18"/>
        </w:rPr>
        <w:t xml:space="preserve"># Explicitly deny everything else — no fallback</w:t>
      </w:r>
    </w:p>
    <w:p>
      <w:pPr>
        <w:spacing w:after="60"/>
      </w:pPr>
    </w:p>
    <w:p>
      <w:pPr>
        <w:pStyle w:val="ListParagraph"/>
        <w:numPr>
          <w:ilvl w:val="0"/>
          <w:numId w:val="3"/>
        </w:numPr>
        <w:spacing w:after="80"/>
      </w:pPr>
      <w:r>
        <w:rPr>
          <w:rFonts w:ascii="Arial" w:cs="Arial" w:eastAsia="Arial" w:hAnsi="Arial"/>
          <w:color w:val="333333"/>
          <w:sz w:val="20"/>
          <w:szCs w:val="20"/>
        </w:rPr>
        <w:t xml:space="preserve">Audit this file with every OpenClaw update or configuration change.</w:t>
      </w:r>
    </w:p>
    <w:p>
      <w:pPr>
        <w:pStyle w:val="ListParagraph"/>
        <w:numPr>
          <w:ilvl w:val="0"/>
          <w:numId w:val="3"/>
        </w:numPr>
        <w:spacing w:after="80"/>
      </w:pPr>
      <w:r>
        <w:rPr>
          <w:rFonts w:ascii="Arial" w:cs="Arial" w:eastAsia="Arial" w:hAnsi="Arial"/>
          <w:color w:val="333333"/>
          <w:sz w:val="20"/>
          <w:szCs w:val="20"/>
        </w:rPr>
        <w:t xml:space="preserve">Use sudo's per-command logging (Defaults log_output) to capture every invocation with full arguments, timestamps, and exit codes.</w:t>
      </w:r>
    </w:p>
    <w:p>
      <w:pPr>
        <w:pStyle w:val="ListParagraph"/>
        <w:numPr>
          <w:ilvl w:val="0"/>
          <w:numId w:val="3"/>
        </w:numPr>
        <w:spacing w:after="80"/>
      </w:pPr>
      <w:r>
        <w:rPr>
          <w:rFonts w:ascii="Arial" w:cs="Arial" w:eastAsia="Arial" w:hAnsi="Arial"/>
          <w:color w:val="333333"/>
          <w:sz w:val="20"/>
          <w:szCs w:val="20"/>
        </w:rPr>
        <w:t xml:space="preserve">Set sudo token timeout to 0 (no credential caching) so every privileged command is a discrete, logged event.</w:t>
      </w:r>
    </w:p>
    <w:p>
      <w:pPr>
        <w:spacing w:before="160" w:after="80"/>
      </w:pPr>
      <w:r>
        <w:rPr>
          <w:rFonts w:ascii="Arial" w:cs="Arial" w:eastAsia="Arial" w:hAnsi="Arial"/>
          <w:b/>
          <w:bCs/>
          <w:color w:val="3A7CB8"/>
          <w:sz w:val="22"/>
          <w:szCs w:val="22"/>
        </w:rPr>
        <w:t xml:space="preserve">2.3  Implement a Sudo Proxy / Approval Gate</w:t>
      </w:r>
    </w:p>
    <w:p>
      <w:pPr>
        <w:spacing w:after="120"/>
      </w:pPr>
      <w:r>
        <w:rPr>
          <w:rFonts w:ascii="Arial" w:cs="Arial" w:eastAsia="Arial" w:hAnsi="Arial"/>
          <w:color w:val="333333"/>
          <w:sz w:val="20"/>
          <w:szCs w:val="20"/>
        </w:rPr>
        <w:t xml:space="preserve">Do not let OpenClaw call sudo directly. Instead, route all privileged operations through a lightweight approval proxy that enforces the HITL requirement at the kernel boundary:</w:t>
      </w:r>
    </w:p>
    <w:p>
      <w:pPr>
        <w:pStyle w:val="ListParagraph"/>
        <w:numPr>
          <w:ilvl w:val="0"/>
          <w:numId w:val="4"/>
        </w:numPr>
        <w:spacing w:after="80"/>
      </w:pPr>
      <w:r>
        <w:rPr>
          <w:rFonts w:ascii="Arial" w:cs="Arial" w:eastAsia="Arial" w:hAnsi="Arial"/>
          <w:color w:val="333333"/>
          <w:sz w:val="20"/>
          <w:szCs w:val="20"/>
        </w:rPr>
        <w:t xml:space="preserve">OpenClaw generates a proposed command and submits it to the proxy as a structured request (not a raw shell string).</w:t>
      </w:r>
    </w:p>
    <w:p>
      <w:pPr>
        <w:pStyle w:val="ListParagraph"/>
        <w:numPr>
          <w:ilvl w:val="0"/>
          <w:numId w:val="4"/>
        </w:numPr>
        <w:spacing w:after="80"/>
      </w:pPr>
      <w:r>
        <w:rPr>
          <w:rFonts w:ascii="Arial" w:cs="Arial" w:eastAsia="Arial" w:hAnsi="Arial"/>
          <w:color w:val="333333"/>
          <w:sz w:val="20"/>
          <w:szCs w:val="20"/>
        </w:rPr>
        <w:t xml:space="preserve">The proxy validates the command against the whitelist, logs the full request context, and flags it for operator approval via a notification channel (e.g., a secure webhook to your SOC dashboard).</w:t>
      </w:r>
    </w:p>
    <w:p>
      <w:pPr>
        <w:pStyle w:val="ListParagraph"/>
        <w:numPr>
          <w:ilvl w:val="0"/>
          <w:numId w:val="4"/>
        </w:numPr>
        <w:spacing w:after="80"/>
      </w:pPr>
      <w:r>
        <w:rPr>
          <w:rFonts w:ascii="Arial" w:cs="Arial" w:eastAsia="Arial" w:hAnsi="Arial"/>
          <w:color w:val="333333"/>
          <w:sz w:val="20"/>
          <w:szCs w:val="20"/>
        </w:rPr>
        <w:t xml:space="preserve">The proxy only executes the command after receiving a cryptographically signed approval from an authorized operator within a configurable timeout window.</w:t>
      </w:r>
    </w:p>
    <w:p>
      <w:pPr>
        <w:pStyle w:val="ListParagraph"/>
        <w:numPr>
          <w:ilvl w:val="0"/>
          <w:numId w:val="4"/>
        </w:numPr>
        <w:spacing w:after="80"/>
      </w:pPr>
      <w:r>
        <w:rPr>
          <w:rFonts w:ascii="Arial" w:cs="Arial" w:eastAsia="Arial" w:hAnsi="Arial"/>
          <w:color w:val="333333"/>
          <w:sz w:val="20"/>
          <w:szCs w:val="20"/>
        </w:rPr>
        <w:t xml:space="preserve">If approval is not received within the timeout, the request is automatically denied and logged as a pending-expired event.</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60"/>
              <w:bottom w:type="dxa" w:w="120"/>
              <w:right w:type="dxa" w:w="160"/>
            </w:tcMar>
          </w:tcPr>
          <w:p>
            <w:pPr>
              <w:spacing w:after="80"/>
            </w:pPr>
            <w:r>
              <w:rPr>
                <w:rFonts w:ascii="Arial" w:cs="Arial" w:eastAsia="Arial" w:hAnsi="Arial"/>
                <w:b/>
                <w:bCs/>
                <w:color w:val="3A7CB8"/>
                <w:sz w:val="22"/>
                <w:szCs w:val="22"/>
              </w:rPr>
              <w:t xml:space="preserve">🔒  Why a Proxy Instead of OpenClaw's Built-in HITL?</w:t>
            </w:r>
          </w:p>
          <w:p>
            <w:pPr>
              <w:spacing w:after="60"/>
            </w:pPr>
            <w:r>
              <w:rPr>
                <w:rFonts w:ascii="Arial" w:cs="Arial" w:eastAsia="Arial" w:hAnsi="Arial"/>
                <w:color w:val="333333"/>
                <w:sz w:val="20"/>
                <w:szCs w:val="20"/>
              </w:rPr>
              <w:t xml:space="preserve">OpenClaw's native confirmation prompts operate within its own process. A compromised or manipulated agent can bypass its own HITL. An external proxy enforces approval at a boundary the agent cannot reach. This is defense-in-depth applied to the trust boundary.</w:t>
            </w:r>
          </w:p>
        </w:tc>
      </w:tr>
    </w:tbl>
    <w:p>
      <w:pPr>
        <w:spacing w:before="160" w:after="80"/>
      </w:pPr>
      <w:r>
        <w:rPr>
          <w:rFonts w:ascii="Arial" w:cs="Arial" w:eastAsia="Arial" w:hAnsi="Arial"/>
          <w:b/>
          <w:bCs/>
          <w:color w:val="3A7CB8"/>
          <w:sz w:val="22"/>
          <w:szCs w:val="22"/>
        </w:rPr>
        <w:t xml:space="preserve">2.4  Native Defense-in-Depth Layer (Exec Approvals + Lobster + Citadel Guard)</w:t>
      </w:r>
    </w:p>
    <w:p>
      <w:pPr>
        <w:spacing w:after="120"/>
      </w:pPr>
      <w:r>
        <w:rPr>
          <w:rFonts w:ascii="Arial" w:cs="Arial" w:eastAsia="Arial" w:hAnsi="Arial"/>
          <w:color w:val="333333"/>
          <w:sz w:val="20"/>
          <w:szCs w:val="20"/>
        </w:rPr>
        <w:t xml:space="preserve">Research into OpenClaw's plugin and approval ecosystem identified three native components that materially narrow the attack surface without requiring custom software. They do not replace the external sudo proxy — they all execute inside the agent's process space — but together they form a redundant catch that hardens against accidental execution, prompt-injection-driven commands, and adversarial log content. All three are configured in openclaw_dc_hardened.json.</w:t>
      </w:r>
    </w:p>
    <w:p>
      <w:pPr>
        <w:spacing w:before="160" w:after="80"/>
      </w:pPr>
      <w:r>
        <w:rPr>
          <w:rFonts w:ascii="Arial" w:cs="Arial" w:eastAsia="Arial" w:hAnsi="Arial"/>
          <w:b/>
          <w:bCs/>
          <w:color w:val="3A7CB8"/>
          <w:sz w:val="22"/>
          <w:szCs w:val="22"/>
        </w:rPr>
        <w:t xml:space="preserve">Layer 1: Exec Approvals</w:t>
      </w:r>
    </w:p>
    <w:p>
      <w:pPr>
        <w:spacing w:after="120"/>
      </w:pPr>
      <w:r>
        <w:rPr>
          <w:rFonts w:ascii="Arial" w:cs="Arial" w:eastAsia="Arial" w:hAnsi="Arial"/>
          <w:color w:val="333333"/>
          <w:sz w:val="20"/>
          <w:szCs w:val="20"/>
        </w:rPr>
        <w:t xml:space="preserve">OpenClaw's built-in exec approval system provides command-level gating on the execution host. In this deployment it is configured as a fail-closed redundant catch:</w:t>
      </w:r>
    </w:p>
    <w:p>
      <w:pPr>
        <w:pStyle w:val="ListParagraph"/>
        <w:numPr>
          <w:ilvl w:val="0"/>
          <w:numId w:val="5"/>
        </w:numPr>
        <w:spacing w:after="80"/>
      </w:pPr>
      <w:r>
        <w:rPr>
          <w:rFonts w:ascii="Arial" w:cs="Arial" w:eastAsia="Arial" w:hAnsi="Arial"/>
          <w:color w:val="333333"/>
          <w:sz w:val="20"/>
          <w:szCs w:val="20"/>
        </w:rPr>
        <w:t xml:space="preserve">security: "allowlist" with an empty allowlist means no command is pre-authorized. Every exec attempt triggers the approval flow.</w:t>
      </w:r>
    </w:p>
    <w:p>
      <w:pPr>
        <w:pStyle w:val="ListParagraph"/>
        <w:numPr>
          <w:ilvl w:val="0"/>
          <w:numId w:val="5"/>
        </w:numPr>
        <w:spacing w:after="80"/>
      </w:pPr>
      <w:r>
        <w:rPr>
          <w:rFonts w:ascii="Arial" w:cs="Arial" w:eastAsia="Arial" w:hAnsi="Arial"/>
          <w:color w:val="333333"/>
          <w:sz w:val="20"/>
          <w:szCs w:val="20"/>
        </w:rPr>
        <w:t xml:space="preserve">ask: "on-miss" combined with askFallback: "deny" means that if the approval UI is unreachable (e.g., due to container isolation or network partition), the command is automatically denied.</w:t>
      </w:r>
    </w:p>
    <w:p>
      <w:pPr>
        <w:pStyle w:val="ListParagraph"/>
        <w:numPr>
          <w:ilvl w:val="0"/>
          <w:numId w:val="5"/>
        </w:numPr>
        <w:spacing w:after="80"/>
      </w:pPr>
      <w:r>
        <w:rPr>
          <w:rFonts w:ascii="Arial" w:cs="Arial" w:eastAsia="Arial" w:hAnsi="Arial"/>
          <w:color w:val="333333"/>
          <w:sz w:val="20"/>
          <w:szCs w:val="20"/>
        </w:rPr>
        <w:t xml:space="preserve">autoAllowSkills: false prevents skill CLIs from being implicitly trusted. Every binary must be explicitly listed.</w:t>
      </w:r>
    </w:p>
    <w:p>
      <w:pPr>
        <w:pStyle w:val="ListParagraph"/>
        <w:numPr>
          <w:ilvl w:val="0"/>
          <w:numId w:val="5"/>
        </w:numPr>
        <w:spacing w:after="80"/>
      </w:pPr>
      <w:r>
        <w:rPr>
          <w:rFonts w:ascii="Arial" w:cs="Arial" w:eastAsia="Arial" w:hAnsi="Arial"/>
          <w:color w:val="333333"/>
          <w:sz w:val="20"/>
          <w:szCs w:val="20"/>
        </w:rPr>
        <w:t xml:space="preserve">forwardTo routes approval prompts to the SOC channel, giving operators an out-of-band view independent of the agent's own session.</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80"/>
            </w:pPr>
            <w:r>
              <w:rPr>
                <w:rFonts w:ascii="Arial" w:cs="Arial" w:eastAsia="Arial" w:hAnsi="Arial"/>
                <w:b/>
                <w:bCs/>
                <w:color w:val="E65100"/>
                <w:sz w:val="22"/>
                <w:szCs w:val="22"/>
              </w:rPr>
              <w:t xml:space="preserve">⚠  Version Prerequisite</w:t>
            </w:r>
          </w:p>
          <w:p>
            <w:pPr>
              <w:spacing w:after="60"/>
            </w:pPr>
            <w:r>
              <w:rPr>
                <w:rFonts w:ascii="Arial" w:cs="Arial" w:eastAsia="Arial" w:hAnsi="Arial"/>
                <w:color w:val="333333"/>
                <w:sz w:val="20"/>
                <w:szCs w:val="20"/>
              </w:rPr>
              <w:t xml:space="preserve">Verify that PR #3357 (fix for issue #2402) is present in your build before trusting exec approvals. Pre-fix versions were fire-and-forget: the tool returned immediately without blocking for approval, making the gate effectively a no-op.</w:t>
            </w:r>
          </w:p>
        </w:tc>
      </w:tr>
    </w:tbl>
    <w:p>
      <w:pPr>
        <w:spacing w:before="160" w:after="80"/>
      </w:pPr>
      <w:r>
        <w:rPr>
          <w:rFonts w:ascii="Arial" w:cs="Arial" w:eastAsia="Arial" w:hAnsi="Arial"/>
          <w:b/>
          <w:bCs/>
          <w:color w:val="3A7CB8"/>
          <w:sz w:val="22"/>
          <w:szCs w:val="22"/>
        </w:rPr>
        <w:t xml:space="preserve">Layer 2: Lobster Plugin</w:t>
      </w:r>
    </w:p>
    <w:p>
      <w:pPr>
        <w:spacing w:after="120"/>
      </w:pPr>
      <w:r>
        <w:rPr>
          <w:rFonts w:ascii="Arial" w:cs="Arial" w:eastAsia="Arial" w:hAnsi="Arial"/>
          <w:color w:val="333333"/>
          <w:sz w:val="20"/>
          <w:szCs w:val="20"/>
        </w:rPr>
        <w:t xml:space="preserve">Lobster structures multi-step operations as deterministic, resumable pipelines with explicit approval checkpoints enforced by its runtime, not the agent:</w:t>
      </w:r>
    </w:p>
    <w:p>
      <w:pPr>
        <w:pStyle w:val="ListParagraph"/>
        <w:numPr>
          <w:ilvl w:val="0"/>
          <w:numId w:val="6"/>
        </w:numPr>
        <w:spacing w:after="80"/>
      </w:pPr>
      <w:r>
        <w:rPr>
          <w:rFonts w:ascii="Arial" w:cs="Arial" w:eastAsia="Arial" w:hAnsi="Arial"/>
          <w:color w:val="333333"/>
          <w:sz w:val="20"/>
          <w:szCs w:val="20"/>
        </w:rPr>
        <w:t xml:space="preserve">Side-effect steps (restart, send, modify) require an approval checkpoint before proceeding. The Lobster runtime enforces this constraint, not the agent's prompt.</w:t>
      </w:r>
    </w:p>
    <w:p>
      <w:pPr>
        <w:pStyle w:val="ListParagraph"/>
        <w:numPr>
          <w:ilvl w:val="0"/>
          <w:numId w:val="6"/>
        </w:numPr>
        <w:spacing w:after="80"/>
      </w:pPr>
      <w:r>
        <w:rPr>
          <w:rFonts w:ascii="Arial" w:cs="Arial" w:eastAsia="Arial" w:hAnsi="Arial"/>
          <w:color w:val="333333"/>
          <w:sz w:val="20"/>
          <w:szCs w:val="20"/>
        </w:rPr>
        <w:t xml:space="preserve">Pipelines are data (JSON/YAML), making them loggable, diffable, and replayable — a significant improvement over free-form shell commands for audit purposes.</w:t>
      </w:r>
    </w:p>
    <w:p>
      <w:pPr>
        <w:pStyle w:val="ListParagraph"/>
        <w:numPr>
          <w:ilvl w:val="0"/>
          <w:numId w:val="6"/>
        </w:numPr>
        <w:spacing w:after="80"/>
      </w:pPr>
      <w:r>
        <w:rPr>
          <w:rFonts w:ascii="Arial" w:cs="Arial" w:eastAsia="Arial" w:hAnsi="Arial"/>
          <w:color w:val="333333"/>
          <w:sz w:val="20"/>
          <w:szCs w:val="20"/>
        </w:rPr>
        <w:t xml:space="preserve">Resumable workflows mean that if an approval is delayed, the pipeline halts and returns a token. When approval arrives, it resumes exactly where it stopped without re-executing prior steps.</w:t>
      </w:r>
    </w:p>
    <w:p>
      <w:pPr>
        <w:pStyle w:val="ListParagraph"/>
        <w:numPr>
          <w:ilvl w:val="0"/>
          <w:numId w:val="6"/>
        </w:numPr>
        <w:spacing w:after="80"/>
      </w:pPr>
      <w:r>
        <w:rPr>
          <w:rFonts w:ascii="Arial" w:cs="Arial" w:eastAsia="Arial" w:hAnsi="Arial"/>
          <w:color w:val="333333"/>
          <w:sz w:val="20"/>
          <w:szCs w:val="20"/>
        </w:rPr>
        <w:t xml:space="preserve">Runtime safety policy (timeouts, output caps, sandbox enforcement) is baked into the config block, not the agent prompt.</w:t>
      </w:r>
    </w:p>
    <w:p>
      <w:pPr>
        <w:spacing w:before="160" w:after="80"/>
      </w:pPr>
      <w:r>
        <w:rPr>
          <w:rFonts w:ascii="Arial" w:cs="Arial" w:eastAsia="Arial" w:hAnsi="Arial"/>
          <w:b/>
          <w:bCs/>
          <w:color w:val="3A7CB8"/>
          <w:sz w:val="22"/>
          <w:szCs w:val="22"/>
        </w:rPr>
        <w:t xml:space="preserve">Layer 3: Citadel Guard Plugin</w:t>
      </w:r>
    </w:p>
    <w:p>
      <w:pPr>
        <w:spacing w:after="120"/>
      </w:pPr>
      <w:r>
        <w:rPr>
          <w:rFonts w:ascii="Arial" w:cs="Arial" w:eastAsia="Arial" w:hAnsi="Arial"/>
          <w:color w:val="333333"/>
          <w:sz w:val="20"/>
          <w:szCs w:val="20"/>
        </w:rPr>
        <w:t xml:space="preserve">Citadel Guard addresses §8.1 (prompt injection via log content) at the tool-output boundary, before adversarial content can reach the model's context window:</w:t>
      </w:r>
    </w:p>
    <w:p>
      <w:pPr>
        <w:pStyle w:val="ListParagraph"/>
        <w:numPr>
          <w:ilvl w:val="0"/>
          <w:numId w:val="6"/>
        </w:numPr>
        <w:spacing w:after="80"/>
      </w:pPr>
      <w:r>
        <w:rPr>
          <w:rFonts w:ascii="Arial" w:cs="Arial" w:eastAsia="Arial" w:hAnsi="Arial"/>
          <w:color w:val="333333"/>
          <w:sz w:val="20"/>
          <w:szCs w:val="20"/>
        </w:rPr>
        <w:t xml:space="preserve">The after_tool_call hook scans every tool result asynchronously. This is the point where crafted log entries — e.g., a Suricata-logged packet payload containing adversarial instructions — would first become visible to the model.</w:t>
      </w:r>
    </w:p>
    <w:p>
      <w:pPr>
        <w:pStyle w:val="ListParagraph"/>
        <w:numPr>
          <w:ilvl w:val="0"/>
          <w:numId w:val="6"/>
        </w:numPr>
        <w:spacing w:after="80"/>
      </w:pPr>
      <w:r>
        <w:rPr>
          <w:rFonts w:ascii="Arial" w:cs="Arial" w:eastAsia="Arial" w:hAnsi="Arial"/>
          <w:color w:val="333333"/>
          <w:sz w:val="20"/>
          <w:szCs w:val="20"/>
        </w:rPr>
        <w:t xml:space="preserve">The tool_result_persist hook performs synchronous sanitization on results that are written to persistent storage, preventing injection payloads from surviving across sessions.</w:t>
      </w:r>
    </w:p>
    <w:p>
      <w:pPr>
        <w:pStyle w:val="ListParagraph"/>
        <w:numPr>
          <w:ilvl w:val="0"/>
          <w:numId w:val="6"/>
        </w:numPr>
        <w:spacing w:after="80"/>
      </w:pPr>
      <w:r>
        <w:rPr>
          <w:rFonts w:ascii="Arial" w:cs="Arial" w:eastAsia="Arial" w:hAnsi="Arial"/>
          <w:color w:val="333333"/>
          <w:sz w:val="20"/>
          <w:szCs w:val="20"/>
        </w:rPr>
        <w:t xml:space="preserve">Multi-layer detection (heuristic patterns, ML classifier, semantic similarity to known injection templates) reduces false negatives.</w:t>
      </w:r>
    </w:p>
    <w:p>
      <w:pPr>
        <w:pStyle w:val="ListParagraph"/>
        <w:numPr>
          <w:ilvl w:val="0"/>
          <w:numId w:val="6"/>
        </w:numPr>
        <w:spacing w:after="80"/>
      </w:pPr>
      <w:r>
        <w:rPr>
          <w:rFonts w:ascii="Arial" w:cs="Arial" w:eastAsia="Arial" w:hAnsi="Arial"/>
          <w:color w:val="333333"/>
          <w:sz w:val="20"/>
          <w:szCs w:val="20"/>
        </w:rPr>
        <w:t xml:space="preserve">action: "sanitize_and_flag" strips adversarial content and surfaces a warning to the operator. It does not silently pass or silently drop.</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60"/>
              <w:bottom w:type="dxa" w:w="120"/>
              <w:right w:type="dxa" w:w="160"/>
            </w:tcMar>
          </w:tcPr>
          <w:p>
            <w:pPr>
              <w:spacing w:after="80"/>
            </w:pPr>
            <w:r>
              <w:rPr>
                <w:rFonts w:ascii="Arial" w:cs="Arial" w:eastAsia="Arial" w:hAnsi="Arial"/>
                <w:b/>
                <w:bCs/>
                <w:color w:val="3A7CB8"/>
                <w:sz w:val="22"/>
                <w:szCs w:val="22"/>
              </w:rPr>
              <w:t xml:space="preserve">🔒  Critical: Disable the HTTP API</w:t>
            </w:r>
          </w:p>
          <w:p>
            <w:pPr>
              <w:spacing w:after="60"/>
            </w:pPr>
            <w:r>
              <w:rPr>
                <w:rFonts w:ascii="Arial" w:cs="Arial" w:eastAsia="Arial" w:hAnsi="Arial"/>
                <w:color w:val="333333"/>
                <w:sz w:val="20"/>
                <w:szCs w:val="20"/>
              </w:rPr>
              <w:t xml:space="preserve">Citadel Guard's HTTP API path (/v1/chat/completions) bypasses all hooks entirely. Set httpApi: false in the config. If any component re-enables it, the injection defense is void for that path.</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60"/>
              <w:bottom w:type="dxa" w:w="120"/>
              <w:right w:type="dxa" w:w="160"/>
            </w:tcMar>
          </w:tcPr>
          <w:p>
            <w:pPr>
              <w:spacing w:after="80"/>
            </w:pPr>
            <w:r>
              <w:rPr>
                <w:rFonts w:ascii="Arial" w:cs="Arial" w:eastAsia="Arial" w:hAnsi="Arial"/>
                <w:b/>
                <w:bCs/>
                <w:color w:val="3A7CB8"/>
                <w:sz w:val="22"/>
                <w:szCs w:val="22"/>
              </w:rPr>
              <w:t xml:space="preserve">📌  Residual Gap</w:t>
            </w:r>
          </w:p>
          <w:p>
            <w:pPr>
              <w:spacing w:after="60"/>
            </w:pPr>
            <w:r>
              <w:rPr>
                <w:rFonts w:ascii="Arial" w:cs="Arial" w:eastAsia="Arial" w:hAnsi="Arial"/>
                <w:color w:val="333333"/>
                <w:sz w:val="20"/>
                <w:szCs w:val="20"/>
              </w:rPr>
              <w:t xml:space="preserve">All three layers run inside the OpenClaw gateway process. The exec approvals socket and plugin state are theoretically reachable by a fully compromised agent. This is why the external sudo proxy (§2.3) remains the primary privilege escalation control. The native layer reduces the surface area for accidents and catches prompt injection before it reaches the model — the external proxy prevents a compromised agent from actually executing privileged commands.</w:t>
            </w:r>
          </w:p>
        </w:tc>
      </w:tr>
    </w:tbl>
    <w:p>
      <w:r>
        <w:br w:type="page"/>
      </w:r>
    </w:p>
    <w:p>
      <w:pPr>
        <w:pStyle w:val="Heading1"/>
      </w:pPr>
      <w:r>
        <w:rPr>
          <w:rFonts w:ascii="Arial" w:cs="Arial" w:eastAsia="Arial" w:hAnsi="Arial"/>
          <w:b/>
          <w:bCs/>
          <w:color w:val="1B2845"/>
          <w:sz w:val="28"/>
          <w:szCs w:val="28"/>
        </w:rPr>
        <w:t xml:space="preserve">3. OpenClaw Configuration Hardening</w:t>
      </w:r>
    </w:p>
    <w:p>
      <w:pPr>
        <w:spacing w:after="120"/>
      </w:pPr>
      <w:r>
        <w:rPr>
          <w:rFonts w:ascii="Arial" w:cs="Arial" w:eastAsia="Arial" w:hAnsi="Arial"/>
          <w:color w:val="333333"/>
          <w:sz w:val="20"/>
          <w:szCs w:val="20"/>
        </w:rPr>
        <w:t xml:space="preserve">Beyond what your earlier research covered, the following configuration controls are specific to a DC deployment with sudo and log-review tasks.</w:t>
      </w:r>
    </w:p>
    <w:p>
      <w:pPr>
        <w:spacing w:before="160" w:after="80"/>
      </w:pPr>
      <w:r>
        <w:rPr>
          <w:rFonts w:ascii="Arial" w:cs="Arial" w:eastAsia="Arial" w:hAnsi="Arial"/>
          <w:b/>
          <w:bCs/>
          <w:color w:val="3A7CB8"/>
          <w:sz w:val="22"/>
          <w:szCs w:val="22"/>
        </w:rPr>
        <w:t xml:space="preserve">3.1  Gateway Binding &amp; Auth</w:t>
      </w:r>
    </w:p>
    <w:p>
      <w:pPr>
        <w:pStyle w:val="ListParagraph"/>
        <w:numPr>
          <w:ilvl w:val="0"/>
          <w:numId w:val="7"/>
        </w:numPr>
        <w:spacing w:after="80"/>
      </w:pPr>
      <w:r>
        <w:rPr>
          <w:rFonts w:ascii="Arial" w:cs="Arial" w:eastAsia="Arial" w:hAnsi="Arial"/>
          <w:color w:val="333333"/>
          <w:sz w:val="20"/>
          <w:szCs w:val="20"/>
        </w:rPr>
        <w:t xml:space="preserve">Bind the gateway exclusively to loopback (127.0.0.1). The gateway must never listen on any LAN, domain, or external interface.</w:t>
      </w:r>
    </w:p>
    <w:p>
      <w:pPr>
        <w:pStyle w:val="ListParagraph"/>
        <w:numPr>
          <w:ilvl w:val="0"/>
          <w:numId w:val="7"/>
        </w:numPr>
        <w:spacing w:after="80"/>
      </w:pPr>
      <w:r>
        <w:rPr>
          <w:rFonts w:ascii="Arial" w:cs="Arial" w:eastAsia="Arial" w:hAnsi="Arial"/>
          <w:color w:val="333333"/>
          <w:sz w:val="20"/>
          <w:szCs w:val="20"/>
        </w:rPr>
        <w:t xml:space="preserve">Enable token-based auth with a cryptographically generated token (minimum 256 bits of entropy). Rotate this token on a defined schedule.</w:t>
      </w:r>
    </w:p>
    <w:p>
      <w:pPr>
        <w:pStyle w:val="ListParagraph"/>
        <w:numPr>
          <w:ilvl w:val="0"/>
          <w:numId w:val="7"/>
        </w:numPr>
        <w:spacing w:after="80"/>
      </w:pPr>
      <w:r>
        <w:rPr>
          <w:rFonts w:ascii="Arial" w:cs="Arial" w:eastAsia="Arial" w:hAnsi="Arial"/>
          <w:color w:val="333333"/>
          <w:sz w:val="20"/>
          <w:szCs w:val="20"/>
        </w:rPr>
        <w:t xml:space="preserve">Disable mDNS broadcasting entirely (set OPENCLAW_DISABLE_BONJOUR=1). There is no discovery requirement on a DC.</w:t>
      </w:r>
    </w:p>
    <w:p>
      <w:pPr>
        <w:spacing w:before="160" w:after="80"/>
      </w:pPr>
      <w:r>
        <w:rPr>
          <w:rFonts w:ascii="Arial" w:cs="Arial" w:eastAsia="Arial" w:hAnsi="Arial"/>
          <w:b/>
          <w:bCs/>
          <w:color w:val="3A7CB8"/>
          <w:sz w:val="22"/>
          <w:szCs w:val="22"/>
        </w:rPr>
        <w:t xml:space="preserve">3.2  Tool Allow/Deny Lists</w:t>
      </w:r>
    </w:p>
    <w:p>
      <w:pPr>
        <w:spacing w:after="120"/>
      </w:pPr>
      <w:r>
        <w:rPr>
          <w:rFonts w:ascii="Arial" w:cs="Arial" w:eastAsia="Arial" w:hAnsi="Arial"/>
          <w:color w:val="333333"/>
          <w:sz w:val="20"/>
          <w:szCs w:val="20"/>
        </w:rPr>
        <w:t xml:space="preserve">For this use case, the tool surface should be limited to read operations on log sources and the narrowly-defined sudo commands above. Everything else is denied by default.</w:t>
      </w:r>
    </w:p>
    <w:p>
      <w:pPr>
        <w:shd w:fill="F0F4F8" w:val="clear"/>
        <w:spacing w:after="60"/>
      </w:pPr>
      <w:r>
        <w:rPr>
          <w:rFonts w:ascii="Courier New" w:cs="Courier New" w:eastAsia="Courier New" w:hAnsi="Courier New"/>
          <w:color w:val="2D5A8E"/>
          <w:sz w:val="18"/>
          <w:szCs w:val="18"/>
        </w:rPr>
        <w:t xml:space="preserve"># Allowed tools (read-only log access + approved admin commands)</w:t>
      </w:r>
    </w:p>
    <w:p>
      <w:pPr>
        <w:shd w:fill="F0F4F8" w:val="clear"/>
        <w:spacing w:after="60"/>
      </w:pPr>
      <w:r>
        <w:rPr>
          <w:rFonts w:ascii="Courier New" w:cs="Courier New" w:eastAsia="Courier New" w:hAnsi="Courier New"/>
          <w:color w:val="2D5A8E"/>
          <w:sz w:val="18"/>
          <w:szCs w:val="18"/>
        </w:rPr>
        <w:t xml:space="preserve">allowlist: [read, sessions_list, sessions_history]</w:t>
      </w:r>
    </w:p>
    <w:p>
      <w:pPr>
        <w:shd w:fill="F0F4F8" w:val="clear"/>
        <w:spacing w:after="60"/>
      </w:pPr>
      <w:r>
        <w:rPr>
          <w:rFonts w:ascii="Courier New" w:cs="Courier New" w:eastAsia="Courier New" w:hAnsi="Courier New"/>
          <w:color w:val="2D5A8E"/>
          <w:sz w:val="18"/>
          <w:szCs w:val="18"/>
        </w:rPr>
        <w:t xml:space="preserve"># Denied tools (everything destructive or unnecessary)</w:t>
      </w:r>
    </w:p>
    <w:p>
      <w:pPr>
        <w:shd w:fill="F0F4F8" w:val="clear"/>
        <w:spacing w:after="60"/>
      </w:pPr>
      <w:r>
        <w:rPr>
          <w:rFonts w:ascii="Courier New" w:cs="Courier New" w:eastAsia="Courier New" w:hAnsi="Courier New"/>
          <w:color w:val="2D5A8E"/>
          <w:sz w:val="18"/>
          <w:szCs w:val="18"/>
        </w:rPr>
        <w:t xml:space="preserve">denylist: [write, edit, apply_patch, exec, process, browser, canvas, cron, nodes]</w:t>
      </w:r>
    </w:p>
    <w:p>
      <w:pPr>
        <w:spacing w:after="60"/>
      </w:pPr>
    </w:p>
    <w:p>
      <w:pPr>
        <w:spacing w:after="120"/>
      </w:pPr>
      <w:r>
        <w:rPr>
          <w:rFonts w:ascii="Arial" w:cs="Arial" w:eastAsia="Arial" w:hAnsi="Arial"/>
          <w:color w:val="333333"/>
          <w:sz w:val="20"/>
          <w:szCs w:val="20"/>
        </w:rPr>
        <w:t xml:space="preserve">The exec and process tools must remain on the denylist. All command execution must flow through the sudo proxy described in Section 2.3. OpenClaw should never be able to run arbitrary shell commands directly.</w:t>
      </w:r>
    </w:p>
    <w:p>
      <w:pPr>
        <w:spacing w:before="160" w:after="80"/>
      </w:pPr>
      <w:r>
        <w:rPr>
          <w:rFonts w:ascii="Arial" w:cs="Arial" w:eastAsia="Arial" w:hAnsi="Arial"/>
          <w:b/>
          <w:bCs/>
          <w:color w:val="3A7CB8"/>
          <w:sz w:val="22"/>
          <w:szCs w:val="22"/>
        </w:rPr>
        <w:t xml:space="preserve">3.3  Sandbox Enforcement</w:t>
      </w:r>
    </w:p>
    <w:p>
      <w:pPr>
        <w:pStyle w:val="ListParagraph"/>
        <w:numPr>
          <w:ilvl w:val="0"/>
          <w:numId w:val="8"/>
        </w:numPr>
        <w:spacing w:after="80"/>
      </w:pPr>
      <w:r>
        <w:rPr>
          <w:rFonts w:ascii="Arial" w:cs="Arial" w:eastAsia="Arial" w:hAnsi="Arial"/>
          <w:color w:val="333333"/>
          <w:sz w:val="20"/>
          <w:szCs w:val="20"/>
        </w:rPr>
        <w:t xml:space="preserve">Run OpenClaw's main session inside a Docker container with a read-only root filesystem, dropped capabilities, and no host network access except the segmented VLAN to Ollama.</w:t>
      </w:r>
    </w:p>
    <w:p>
      <w:pPr>
        <w:pStyle w:val="ListParagraph"/>
        <w:numPr>
          <w:ilvl w:val="0"/>
          <w:numId w:val="8"/>
        </w:numPr>
        <w:spacing w:after="80"/>
      </w:pPr>
      <w:r>
        <w:rPr>
          <w:rFonts w:ascii="Arial" w:cs="Arial" w:eastAsia="Arial" w:hAnsi="Arial"/>
          <w:color w:val="333333"/>
          <w:sz w:val="20"/>
          <w:szCs w:val="20"/>
        </w:rPr>
        <w:t xml:space="preserve">Mount only the specific log directories it needs to read (Wazuh, Prometheus, Suricata, Graylog output paths) as read-only bind mounts.</w:t>
      </w:r>
    </w:p>
    <w:p>
      <w:pPr>
        <w:pStyle w:val="ListParagraph"/>
        <w:numPr>
          <w:ilvl w:val="0"/>
          <w:numId w:val="8"/>
        </w:numPr>
        <w:spacing w:after="80"/>
      </w:pPr>
      <w:r>
        <w:rPr>
          <w:rFonts w:ascii="Arial" w:cs="Arial" w:eastAsia="Arial" w:hAnsi="Arial"/>
          <w:color w:val="333333"/>
          <w:sz w:val="20"/>
          <w:szCs w:val="20"/>
        </w:rPr>
        <w:t xml:space="preserve">The sudo proxy runs outside the container on the host, so the container cannot bypass it.</w:t>
      </w:r>
    </w:p>
    <w:p>
      <w:pPr>
        <w:spacing w:before="160" w:after="80"/>
      </w:pPr>
      <w:r>
        <w:rPr>
          <w:rFonts w:ascii="Arial" w:cs="Arial" w:eastAsia="Arial" w:hAnsi="Arial"/>
          <w:b/>
          <w:bCs/>
          <w:color w:val="3A7CB8"/>
          <w:sz w:val="22"/>
          <w:szCs w:val="22"/>
        </w:rPr>
        <w:t xml:space="preserve">3.4  Disable All Messaging / Channel Integrations</w:t>
      </w:r>
    </w:p>
    <w:p>
      <w:pPr>
        <w:spacing w:after="120"/>
      </w:pPr>
      <w:r>
        <w:rPr>
          <w:rFonts w:ascii="Arial" w:cs="Arial" w:eastAsia="Arial" w:hAnsi="Arial"/>
          <w:color w:val="333333"/>
          <w:sz w:val="20"/>
          <w:szCs w:val="20"/>
        </w:rPr>
        <w:t xml:space="preserve">OpenClaw's attack surface expands dramatically when connected to messaging platforms. For a DC deployment, there is no justification for WhatsApp, Telegram, Signal, or any other inbound channel. Operator interaction should occur exclusively through a local, authenticated management console or a dedicated SOC interface.</w:t>
      </w:r>
    </w:p>
    <w:p>
      <w:r>
        <w:br w:type="page"/>
      </w:r>
    </w:p>
    <w:p>
      <w:pPr>
        <w:pStyle w:val="Heading1"/>
      </w:pPr>
      <w:r>
        <w:rPr>
          <w:rFonts w:ascii="Arial" w:cs="Arial" w:eastAsia="Arial" w:hAnsi="Arial"/>
          <w:b/>
          <w:bCs/>
          <w:color w:val="1B2845"/>
          <w:sz w:val="28"/>
          <w:szCs w:val="28"/>
        </w:rPr>
        <w:t xml:space="preserve">4. Network &amp; Infrastructure Controls</w:t>
      </w:r>
    </w:p>
    <w:p>
      <w:pPr>
        <w:spacing w:before="160" w:after="80"/>
      </w:pPr>
      <w:r>
        <w:rPr>
          <w:rFonts w:ascii="Arial" w:cs="Arial" w:eastAsia="Arial" w:hAnsi="Arial"/>
          <w:b/>
          <w:bCs/>
          <w:color w:val="3A7CB8"/>
          <w:sz w:val="22"/>
          <w:szCs w:val="22"/>
        </w:rPr>
        <w:t xml:space="preserve">4.1  Ollama API Hardening on the Mac Mini</w:t>
      </w:r>
    </w:p>
    <w:p>
      <w:pPr>
        <w:pStyle w:val="ListParagraph"/>
        <w:numPr>
          <w:ilvl w:val="0"/>
          <w:numId w:val="9"/>
        </w:numPr>
        <w:spacing w:after="80"/>
      </w:pPr>
      <w:r>
        <w:rPr>
          <w:rFonts w:ascii="Arial" w:cs="Arial" w:eastAsia="Arial" w:hAnsi="Arial"/>
          <w:color w:val="333333"/>
          <w:sz w:val="20"/>
          <w:szCs w:val="20"/>
        </w:rPr>
        <w:t xml:space="preserve">Bind Ollama to listen only on the segmented VLAN interface, not 0.0.0.0 or localhost (unless localhost is sufficient and you tunnel).</w:t>
      </w:r>
    </w:p>
    <w:p>
      <w:pPr>
        <w:pStyle w:val="ListParagraph"/>
        <w:numPr>
          <w:ilvl w:val="0"/>
          <w:numId w:val="9"/>
        </w:numPr>
        <w:spacing w:after="80"/>
      </w:pPr>
      <w:r>
        <w:rPr>
          <w:rFonts w:ascii="Arial" w:cs="Arial" w:eastAsia="Arial" w:hAnsi="Arial"/>
          <w:color w:val="333333"/>
          <w:sz w:val="20"/>
          <w:szCs w:val="20"/>
        </w:rPr>
        <w:t xml:space="preserve">Enable TLS on the Ollama API endpoint. Self-signed certs are acceptable on a segmented network, but the DC must validate the cert (no skip-verify).</w:t>
      </w:r>
    </w:p>
    <w:p>
      <w:pPr>
        <w:pStyle w:val="ListParagraph"/>
        <w:numPr>
          <w:ilvl w:val="0"/>
          <w:numId w:val="9"/>
        </w:numPr>
        <w:spacing w:after="80"/>
      </w:pPr>
      <w:r>
        <w:rPr>
          <w:rFonts w:ascii="Arial" w:cs="Arial" w:eastAsia="Arial" w:hAnsi="Arial"/>
          <w:color w:val="333333"/>
          <w:sz w:val="20"/>
          <w:szCs w:val="20"/>
        </w:rPr>
        <w:t xml:space="preserve">Implement API-key authentication on Ollama. The key should be stored in a secrets manager or encrypted vault on the DC, not in a plaintext config file.</w:t>
      </w:r>
    </w:p>
    <w:p>
      <w:pPr>
        <w:pStyle w:val="ListParagraph"/>
        <w:numPr>
          <w:ilvl w:val="0"/>
          <w:numId w:val="9"/>
        </w:numPr>
        <w:spacing w:after="80"/>
      </w:pPr>
      <w:r>
        <w:rPr>
          <w:rFonts w:ascii="Arial" w:cs="Arial" w:eastAsia="Arial" w:hAnsi="Arial"/>
          <w:color w:val="333333"/>
          <w:sz w:val="20"/>
          <w:szCs w:val="20"/>
        </w:rPr>
        <w:t xml:space="preserve">Rate-limit the Ollama API to prevent runaway inference loops (e.g., a prompt injection causing repeated, escalating API calls).</w:t>
      </w:r>
    </w:p>
    <w:p>
      <w:pPr>
        <w:pStyle w:val="ListParagraph"/>
        <w:numPr>
          <w:ilvl w:val="0"/>
          <w:numId w:val="9"/>
        </w:numPr>
        <w:spacing w:after="80"/>
      </w:pPr>
      <w:r>
        <w:rPr>
          <w:rFonts w:ascii="Arial" w:cs="Arial" w:eastAsia="Arial" w:hAnsi="Arial"/>
          <w:color w:val="333333"/>
          <w:sz w:val="20"/>
          <w:szCs w:val="20"/>
        </w:rPr>
        <w:t xml:space="preserve">Log all API requests to Ollama — prompt content (truncated if needed), token counts, latency, and response status. Forward these logs to Graylog.</w:t>
      </w:r>
    </w:p>
    <w:p>
      <w:pPr>
        <w:spacing w:before="160" w:after="80"/>
      </w:pPr>
      <w:r>
        <w:rPr>
          <w:rFonts w:ascii="Arial" w:cs="Arial" w:eastAsia="Arial" w:hAnsi="Arial"/>
          <w:b/>
          <w:bCs/>
          <w:color w:val="3A7CB8"/>
          <w:sz w:val="22"/>
          <w:szCs w:val="22"/>
        </w:rPr>
        <w:t xml:space="preserve">4.2  Firewall Rules on the DC</w:t>
      </w:r>
    </w:p>
    <w:p>
      <w:pPr>
        <w:pStyle w:val="ListParagraph"/>
        <w:numPr>
          <w:ilvl w:val="0"/>
          <w:numId w:val="10"/>
        </w:numPr>
        <w:spacing w:after="80"/>
      </w:pPr>
      <w:r>
        <w:rPr>
          <w:rFonts w:ascii="Arial" w:cs="Arial" w:eastAsia="Arial" w:hAnsi="Arial"/>
          <w:color w:val="333333"/>
          <w:sz w:val="20"/>
          <w:szCs w:val="20"/>
        </w:rPr>
        <w:t xml:space="preserve">Allow outbound from the OpenClaw container only to the Ollama API IP and port on the segmented VLAN. Block all other outbound.</w:t>
      </w:r>
    </w:p>
    <w:p>
      <w:pPr>
        <w:pStyle w:val="ListParagraph"/>
        <w:numPr>
          <w:ilvl w:val="0"/>
          <w:numId w:val="10"/>
        </w:numPr>
        <w:spacing w:after="80"/>
      </w:pPr>
      <w:r>
        <w:rPr>
          <w:rFonts w:ascii="Arial" w:cs="Arial" w:eastAsia="Arial" w:hAnsi="Arial"/>
          <w:color w:val="333333"/>
          <w:sz w:val="20"/>
          <w:szCs w:val="20"/>
        </w:rPr>
        <w:t xml:space="preserve">Block all inbound to the OpenClaw gateway port from any source outside the local machine (it is bound to loopback, but defense-in-depth applies).</w:t>
      </w:r>
    </w:p>
    <w:p>
      <w:pPr>
        <w:pStyle w:val="ListParagraph"/>
        <w:numPr>
          <w:ilvl w:val="0"/>
          <w:numId w:val="10"/>
        </w:numPr>
        <w:spacing w:after="80"/>
      </w:pPr>
      <w:r>
        <w:rPr>
          <w:rFonts w:ascii="Arial" w:cs="Arial" w:eastAsia="Arial" w:hAnsi="Arial"/>
          <w:color w:val="333333"/>
          <w:sz w:val="20"/>
          <w:szCs w:val="20"/>
        </w:rPr>
        <w:t xml:space="preserve">Ensure Suricata is monitoring traffic on the segmented VLAN for any unexpected lateral movement or data exfiltration patterns.</w:t>
      </w:r>
    </w:p>
    <w:p>
      <w:pPr>
        <w:spacing w:before="160" w:after="80"/>
      </w:pPr>
      <w:r>
        <w:rPr>
          <w:rFonts w:ascii="Arial" w:cs="Arial" w:eastAsia="Arial" w:hAnsi="Arial"/>
          <w:b/>
          <w:bCs/>
          <w:color w:val="3A7CB8"/>
          <w:sz w:val="22"/>
          <w:szCs w:val="22"/>
        </w:rPr>
        <w:t xml:space="preserve">4.3  Air-Gap Integrity Verification</w:t>
      </w:r>
    </w:p>
    <w:p>
      <w:pPr>
        <w:spacing w:after="120"/>
      </w:pPr>
      <w:r>
        <w:rPr>
          <w:rFonts w:ascii="Arial" w:cs="Arial" w:eastAsia="Arial" w:hAnsi="Arial"/>
          <w:color w:val="333333"/>
          <w:sz w:val="20"/>
          <w:szCs w:val="20"/>
        </w:rPr>
        <w:t xml:space="preserve">The air-gap on the Mac Mini is one of your strongest controls. Protect it operationally:</w:t>
      </w:r>
    </w:p>
    <w:p>
      <w:pPr>
        <w:pStyle w:val="ListParagraph"/>
        <w:numPr>
          <w:ilvl w:val="0"/>
          <w:numId w:val="11"/>
        </w:numPr>
        <w:spacing w:after="80"/>
      </w:pPr>
      <w:r>
        <w:rPr>
          <w:rFonts w:ascii="Arial" w:cs="Arial" w:eastAsia="Arial" w:hAnsi="Arial"/>
          <w:color w:val="333333"/>
          <w:sz w:val="20"/>
          <w:szCs w:val="20"/>
        </w:rPr>
        <w:t xml:space="preserve">Conduct periodic network interface audits on the Mac Mini to confirm no new adapters or connections have been introduced.</w:t>
      </w:r>
    </w:p>
    <w:p>
      <w:pPr>
        <w:pStyle w:val="ListParagraph"/>
        <w:numPr>
          <w:ilvl w:val="0"/>
          <w:numId w:val="11"/>
        </w:numPr>
        <w:spacing w:after="80"/>
      </w:pPr>
      <w:r>
        <w:rPr>
          <w:rFonts w:ascii="Arial" w:cs="Arial" w:eastAsia="Arial" w:hAnsi="Arial"/>
          <w:color w:val="333333"/>
          <w:sz w:val="20"/>
          <w:szCs w:val="20"/>
        </w:rPr>
        <w:t xml:space="preserve">Document the physical access controls for the Mac Mini. Air-gap integrity is a physical security control as much as a network one.</w:t>
      </w:r>
    </w:p>
    <w:p>
      <w:pPr>
        <w:pStyle w:val="ListParagraph"/>
        <w:numPr>
          <w:ilvl w:val="0"/>
          <w:numId w:val="11"/>
        </w:numPr>
        <w:spacing w:after="80"/>
      </w:pPr>
      <w:r>
        <w:rPr>
          <w:rFonts w:ascii="Arial" w:cs="Arial" w:eastAsia="Arial" w:hAnsi="Arial"/>
          <w:color w:val="333333"/>
          <w:sz w:val="20"/>
          <w:szCs w:val="20"/>
        </w:rPr>
        <w:t xml:space="preserve">If USB ports are not needed, disable them at the BIOS/UEFI level or physically block them.</w:t>
      </w:r>
    </w:p>
    <w:p>
      <w:r>
        <w:br w:type="page"/>
      </w:r>
    </w:p>
    <w:p>
      <w:pPr>
        <w:pStyle w:val="Heading1"/>
      </w:pPr>
      <w:r>
        <w:rPr>
          <w:rFonts w:ascii="Arial" w:cs="Arial" w:eastAsia="Arial" w:hAnsi="Arial"/>
          <w:b/>
          <w:bCs/>
          <w:color w:val="1B2845"/>
          <w:sz w:val="28"/>
          <w:szCs w:val="28"/>
        </w:rPr>
        <w:t xml:space="preserve">5. Human-in-the-Loop (HITL) Design for DC Admin Tasks</w:t>
      </w:r>
    </w:p>
    <w:p>
      <w:pPr>
        <w:spacing w:after="120"/>
      </w:pPr>
      <w:r>
        <w:rPr>
          <w:rFonts w:ascii="Arial" w:cs="Arial" w:eastAsia="Arial" w:hAnsi="Arial"/>
          <w:color w:val="333333"/>
          <w:sz w:val="20"/>
          <w:szCs w:val="20"/>
        </w:rPr>
        <w:t xml:space="preserve">HITL is your primary safety net. But as OWASP's Agentic Top 10 (ASI09) documents, agents can present malicious or erroneous actions with confident, polished justifications that cause human operators to approve them without scrutiny. Your HITL design must account for this.</w:t>
      </w:r>
    </w:p>
    <w:p>
      <w:pPr>
        <w:spacing w:before="160" w:after="80"/>
      </w:pPr>
      <w:r>
        <w:rPr>
          <w:rFonts w:ascii="Arial" w:cs="Arial" w:eastAsia="Arial" w:hAnsi="Arial"/>
          <w:b/>
          <w:bCs/>
          <w:color w:val="3A7CB8"/>
          <w:sz w:val="22"/>
          <w:szCs w:val="22"/>
        </w:rPr>
        <w:t xml:space="preserve">5.1  Structured Approval Workflow</w:t>
      </w:r>
    </w:p>
    <w:p>
      <w:pPr>
        <w:pStyle w:val="ListParagraph"/>
        <w:numPr>
          <w:ilvl w:val="0"/>
          <w:numId w:val="6"/>
        </w:numPr>
        <w:spacing w:after="80"/>
      </w:pPr>
      <w:r>
        <w:rPr>
          <w:rFonts w:ascii="Arial" w:cs="Arial" w:eastAsia="Arial" w:hAnsi="Arial"/>
          <w:color w:val="333333"/>
          <w:sz w:val="20"/>
          <w:szCs w:val="20"/>
        </w:rPr>
        <w:t xml:space="preserve">OpenClaw must present proposed actions as structured, parseable objects — not free-form text. The operator approval interface should display the exact command, the exact arguments, the log context that triggered the proposal, and a confidence/reasoning summary separately from the recommendation.</w:t>
      </w:r>
    </w:p>
    <w:p>
      <w:pPr>
        <w:pStyle w:val="ListParagraph"/>
        <w:numPr>
          <w:ilvl w:val="0"/>
          <w:numId w:val="6"/>
        </w:numPr>
        <w:spacing w:after="80"/>
      </w:pPr>
      <w:r>
        <w:rPr>
          <w:rFonts w:ascii="Arial" w:cs="Arial" w:eastAsia="Arial" w:hAnsi="Arial"/>
          <w:color w:val="333333"/>
          <w:sz w:val="20"/>
          <w:szCs w:val="20"/>
        </w:rPr>
        <w:t xml:space="preserve">Never allow a single approval to authorize more than one privileged command. Each command is a discrete approval event.</w:t>
      </w:r>
    </w:p>
    <w:p>
      <w:pPr>
        <w:pStyle w:val="ListParagraph"/>
        <w:numPr>
          <w:ilvl w:val="0"/>
          <w:numId w:val="6"/>
        </w:numPr>
        <w:spacing w:after="80"/>
      </w:pPr>
      <w:r>
        <w:rPr>
          <w:rFonts w:ascii="Arial" w:cs="Arial" w:eastAsia="Arial" w:hAnsi="Arial"/>
          <w:color w:val="333333"/>
          <w:sz w:val="20"/>
          <w:szCs w:val="20"/>
        </w:rPr>
        <w:t xml:space="preserve">For any command that modifies service state (restart, stop, config change), require a two-step approval: first a "review" acknowledgment, then an "execute" confirmation after a mandatory cooling-off window (e.g., 5 minutes).</w:t>
      </w:r>
    </w:p>
    <w:p>
      <w:pPr>
        <w:spacing w:before="160" w:after="80"/>
      </w:pPr>
      <w:r>
        <w:rPr>
          <w:rFonts w:ascii="Arial" w:cs="Arial" w:eastAsia="Arial" w:hAnsi="Arial"/>
          <w:b/>
          <w:bCs/>
          <w:color w:val="3A7CB8"/>
          <w:sz w:val="22"/>
          <w:szCs w:val="22"/>
        </w:rPr>
        <w:t xml:space="preserve">5.2  Anomaly Flagging in the Approval Interface</w:t>
      </w:r>
    </w:p>
    <w:p>
      <w:pPr>
        <w:pStyle w:val="ListParagraph"/>
        <w:numPr>
          <w:ilvl w:val="0"/>
          <w:numId w:val="6"/>
        </w:numPr>
        <w:spacing w:after="80"/>
      </w:pPr>
      <w:r>
        <w:rPr>
          <w:rFonts w:ascii="Arial" w:cs="Arial" w:eastAsia="Arial" w:hAnsi="Arial"/>
          <w:color w:val="333333"/>
          <w:sz w:val="20"/>
          <w:szCs w:val="20"/>
        </w:rPr>
        <w:t xml:space="preserve">Highlight any proposed action that deviates from historical baselines — e.g., a command targeting a service that OpenClaw has never previously recommended acting on.</w:t>
      </w:r>
    </w:p>
    <w:p>
      <w:pPr>
        <w:pStyle w:val="ListParagraph"/>
        <w:numPr>
          <w:ilvl w:val="0"/>
          <w:numId w:val="6"/>
        </w:numPr>
        <w:spacing w:after="80"/>
      </w:pPr>
      <w:r>
        <w:rPr>
          <w:rFonts w:ascii="Arial" w:cs="Arial" w:eastAsia="Arial" w:hAnsi="Arial"/>
          <w:color w:val="333333"/>
          <w:sz w:val="20"/>
          <w:szCs w:val="20"/>
        </w:rPr>
        <w:t xml:space="preserve">Flag any proposal where OpenClaw's reasoning references information not present in the provided log context (a potential hallucination indicator).</w:t>
      </w:r>
    </w:p>
    <w:p>
      <w:pPr>
        <w:pStyle w:val="ListParagraph"/>
        <w:numPr>
          <w:ilvl w:val="0"/>
          <w:numId w:val="6"/>
        </w:numPr>
        <w:spacing w:after="80"/>
      </w:pPr>
      <w:r>
        <w:rPr>
          <w:rFonts w:ascii="Arial" w:cs="Arial" w:eastAsia="Arial" w:hAnsi="Arial"/>
          <w:color w:val="333333"/>
          <w:sz w:val="20"/>
          <w:szCs w:val="20"/>
        </w:rPr>
        <w:t xml:space="preserve">Display a running history of recent approvals and outcomes so the operator has context, not just the current request in isolation.</w:t>
      </w:r>
    </w:p>
    <w:p>
      <w:pPr>
        <w:spacing w:before="160" w:after="80"/>
      </w:pPr>
      <w:r>
        <w:rPr>
          <w:rFonts w:ascii="Arial" w:cs="Arial" w:eastAsia="Arial" w:hAnsi="Arial"/>
          <w:b/>
          <w:bCs/>
          <w:color w:val="3A7CB8"/>
          <w:sz w:val="22"/>
          <w:szCs w:val="22"/>
        </w:rPr>
        <w:t xml:space="preserve">5.3  Kill Switch &amp; Emergency Controls</w:t>
      </w:r>
    </w:p>
    <w:p>
      <w:pPr>
        <w:pStyle w:val="ListParagraph"/>
        <w:numPr>
          <w:ilvl w:val="0"/>
          <w:numId w:val="6"/>
        </w:numPr>
        <w:spacing w:after="80"/>
      </w:pPr>
      <w:r>
        <w:rPr>
          <w:rFonts w:ascii="Arial" w:cs="Arial" w:eastAsia="Arial" w:hAnsi="Arial"/>
          <w:color w:val="333333"/>
          <w:sz w:val="20"/>
          <w:szCs w:val="20"/>
        </w:rPr>
        <w:t xml:space="preserve">Implement a hardware or out-of-band kill switch that immediately terminates the OpenClaw container and revokes the sudo proxy's authorization. This must be operable without requiring access to the DC itself.</w:t>
      </w:r>
    </w:p>
    <w:p>
      <w:pPr>
        <w:pStyle w:val="ListParagraph"/>
        <w:numPr>
          <w:ilvl w:val="0"/>
          <w:numId w:val="6"/>
        </w:numPr>
        <w:spacing w:after="80"/>
      </w:pPr>
      <w:r>
        <w:rPr>
          <w:rFonts w:ascii="Arial" w:cs="Arial" w:eastAsia="Arial" w:hAnsi="Arial"/>
          <w:color w:val="333333"/>
          <w:sz w:val="20"/>
          <w:szCs w:val="20"/>
        </w:rPr>
        <w:t xml:space="preserve">Define and document an incident response runbook for scenarios where OpenClaw takes or recommends an unauthorized action. This is a NIST requirement under the Manage function.</w:t>
      </w:r>
    </w:p>
    <w:p>
      <w:r>
        <w:br w:type="page"/>
      </w:r>
    </w:p>
    <w:p>
      <w:pPr>
        <w:pStyle w:val="Heading1"/>
      </w:pPr>
      <w:r>
        <w:rPr>
          <w:rFonts w:ascii="Arial" w:cs="Arial" w:eastAsia="Arial" w:hAnsi="Arial"/>
          <w:b/>
          <w:bCs/>
          <w:color w:val="1B2845"/>
          <w:sz w:val="28"/>
          <w:szCs w:val="28"/>
        </w:rPr>
        <w:t xml:space="preserve">6. Logging, Monitoring &amp; Audit Trail</w:t>
      </w:r>
    </w:p>
    <w:p>
      <w:pPr>
        <w:spacing w:after="120"/>
      </w:pPr>
      <w:r>
        <w:rPr>
          <w:rFonts w:ascii="Arial" w:cs="Arial" w:eastAsia="Arial" w:hAnsi="Arial"/>
          <w:color w:val="333333"/>
          <w:sz w:val="20"/>
          <w:szCs w:val="20"/>
        </w:rPr>
        <w:t xml:space="preserve">NIST AI RMF and the emerging NIST CSF AI Profile both emphasize continuous monitoring as a core control. For an agentic system with privileged access, the audit trail must be comprehensive enough to reconstruct any incident.</w:t>
      </w:r>
    </w:p>
    <w:p>
      <w:pPr>
        <w:spacing w:before="160" w:after="80"/>
      </w:pPr>
      <w:r>
        <w:rPr>
          <w:rFonts w:ascii="Arial" w:cs="Arial" w:eastAsia="Arial" w:hAnsi="Arial"/>
          <w:b/>
          <w:bCs/>
          <w:color w:val="3A7CB8"/>
          <w:sz w:val="22"/>
          <w:szCs w:val="22"/>
        </w:rPr>
        <w:t xml:space="preserve">6.1  What to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Event Category</w:t>
            </w:r>
          </w:p>
        </w:tc>
        <w:tc>
          <w:tcPr>
            <w:tcW w:type="dxa" w:w="586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Details Required</w:t>
            </w:r>
          </w:p>
        </w:tc>
      </w:tr>
      <w:tr>
        <w:tc>
          <w:tcPr>
            <w:tcW w:type="dxa" w:w="35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845"/>
                <w:sz w:val="20"/>
                <w:szCs w:val="20"/>
              </w:rPr>
              <w:t xml:space="preserve">Ollama API Calls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 prompt (truncated to N tokens), response summary, token counts, latency, source IP</w:t>
            </w:r>
          </w:p>
        </w:tc>
      </w:tr>
      <w:tr>
        <w:tc>
          <w:tcPr>
            <w:tcW w:type="dxa" w:w="35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845"/>
                <w:sz w:val="20"/>
                <w:szCs w:val="20"/>
              </w:rPr>
              <w:t xml:space="preserve">Sudo Proxy Events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command + args, requesting process ID, operator approval/denial + operator ID, timestamp, outcome, exit code</w:t>
            </w:r>
          </w:p>
        </w:tc>
      </w:tr>
      <w:tr>
        <w:tc>
          <w:tcPr>
            <w:tcW w:type="dxa" w:w="35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845"/>
                <w:sz w:val="20"/>
                <w:szCs w:val="20"/>
              </w:rPr>
              <w:t xml:space="preserve">HITL Decisions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Proposed action, OpenClaw's reasoning, operator decision, any operator notes, time-to-decision</w:t>
            </w:r>
          </w:p>
        </w:tc>
      </w:tr>
      <w:tr>
        <w:tc>
          <w:tcPr>
            <w:tcW w:type="dxa" w:w="35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845"/>
                <w:sz w:val="20"/>
                <w:szCs w:val="20"/>
              </w:rPr>
              <w:t xml:space="preserve">Container Events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Container start/stop, any capability exceptions, network I/O, file access attempts outside mounted volumes</w:t>
            </w:r>
          </w:p>
        </w:tc>
      </w:tr>
      <w:tr>
        <w:tc>
          <w:tcPr>
            <w:tcW w:type="dxa" w:w="35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B2845"/>
                <w:sz w:val="20"/>
                <w:szCs w:val="20"/>
              </w:rPr>
              <w:t xml:space="preserve">Anomalies / Denials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 denied tool call, any command rejected by the whitelist, any timeout-expired approvals, any network connection attempts blocked by firewall</w:t>
            </w:r>
          </w:p>
        </w:tc>
      </w:tr>
    </w:tbl>
    <w:p>
      <w:pPr>
        <w:spacing w:after="60"/>
      </w:pPr>
    </w:p>
    <w:p>
      <w:pPr>
        <w:spacing w:before="160" w:after="80"/>
      </w:pPr>
      <w:r>
        <w:rPr>
          <w:rFonts w:ascii="Arial" w:cs="Arial" w:eastAsia="Arial" w:hAnsi="Arial"/>
          <w:b/>
          <w:bCs/>
          <w:color w:val="3A7CB8"/>
          <w:sz w:val="22"/>
          <w:szCs w:val="22"/>
        </w:rPr>
        <w:t xml:space="preserve">6.2  Log Integrity &amp; Forwarding</w:t>
      </w:r>
    </w:p>
    <w:p>
      <w:pPr>
        <w:pStyle w:val="ListParagraph"/>
        <w:numPr>
          <w:ilvl w:val="0"/>
          <w:numId w:val="6"/>
        </w:numPr>
        <w:spacing w:after="80"/>
      </w:pPr>
      <w:r>
        <w:rPr>
          <w:rFonts w:ascii="Arial" w:cs="Arial" w:eastAsia="Arial" w:hAnsi="Arial"/>
          <w:color w:val="333333"/>
          <w:sz w:val="20"/>
          <w:szCs w:val="20"/>
        </w:rPr>
        <w:t xml:space="preserve">All logs must be forwarded to Graylog in real-time. OpenClaw must not have write access to its own log files — logs must be captured by a sidecar or host agent outside the container.</w:t>
      </w:r>
    </w:p>
    <w:p>
      <w:pPr>
        <w:pStyle w:val="ListParagraph"/>
        <w:numPr>
          <w:ilvl w:val="0"/>
          <w:numId w:val="6"/>
        </w:numPr>
        <w:spacing w:after="80"/>
      </w:pPr>
      <w:r>
        <w:rPr>
          <w:rFonts w:ascii="Arial" w:cs="Arial" w:eastAsia="Arial" w:hAnsi="Arial"/>
          <w:color w:val="333333"/>
          <w:sz w:val="20"/>
          <w:szCs w:val="20"/>
        </w:rPr>
        <w:t xml:space="preserve">Implement tamper-evident logging. If logs are stored locally before forwarding, use append-only storage (e.g., WORM or immutable object storage).</w:t>
      </w:r>
    </w:p>
    <w:p>
      <w:pPr>
        <w:pStyle w:val="ListParagraph"/>
        <w:numPr>
          <w:ilvl w:val="0"/>
          <w:numId w:val="6"/>
        </w:numPr>
        <w:spacing w:after="80"/>
      </w:pPr>
      <w:r>
        <w:rPr>
          <w:rFonts w:ascii="Arial" w:cs="Arial" w:eastAsia="Arial" w:hAnsi="Arial"/>
          <w:color w:val="333333"/>
          <w:sz w:val="20"/>
          <w:szCs w:val="20"/>
        </w:rPr>
        <w:t xml:space="preserve">Retain logs for a minimum period consistent with your incident response requirements (typically 90–365 days for privileged system events).</w:t>
      </w:r>
    </w:p>
    <w:p>
      <w:r>
        <w:br w:type="page"/>
      </w:r>
    </w:p>
    <w:p>
      <w:pPr>
        <w:pStyle w:val="Heading1"/>
      </w:pPr>
      <w:r>
        <w:rPr>
          <w:rFonts w:ascii="Arial" w:cs="Arial" w:eastAsia="Arial" w:hAnsi="Arial"/>
          <w:b/>
          <w:bCs/>
          <w:color w:val="1B2845"/>
          <w:sz w:val="28"/>
          <w:szCs w:val="28"/>
        </w:rPr>
        <w:t xml:space="preserve">7. NIST AI RMF Alignment Mapping</w:t>
      </w:r>
    </w:p>
    <w:p>
      <w:pPr>
        <w:spacing w:after="120"/>
      </w:pPr>
      <w:r>
        <w:rPr>
          <w:rFonts w:ascii="Arial" w:cs="Arial" w:eastAsia="Arial" w:hAnsi="Arial"/>
          <w:color w:val="333333"/>
          <w:sz w:val="20"/>
          <w:szCs w:val="20"/>
        </w:rPr>
        <w:t xml:space="preserve">The NIST AI Risk Management Framework (AI RMF 1.0) organizes risk management into four functions. The table below maps each function to the specific controls recommended in this document and identifies any residual gaps that require additional organizational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80"/>
        <w:gridCol w:w="3980"/>
      </w:tblGrid>
      <w:tr>
        <w:tc>
          <w:tcPr>
            <w:tcW w:type="dxa" w:w="18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RMF Function</w:t>
            </w:r>
          </w:p>
        </w:tc>
        <w:tc>
          <w:tcPr>
            <w:tcW w:type="dxa" w:w="358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Controls in This Document</w:t>
            </w:r>
          </w:p>
        </w:tc>
        <w:tc>
          <w:tcPr>
            <w:tcW w:type="dxa" w:w="398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Residual / Organizational Actions</w:t>
            </w:r>
          </w:p>
        </w:tc>
      </w:tr>
      <w:tr>
        <w:tc>
          <w:tcPr>
            <w:tcW w:type="dxa" w:w="1800"/>
            <w:tcBorders>
              <w:top w:val="single" w:color="CCCCCC" w:sz="1"/>
              <w:left w:val="single" w:color="CCCCCC" w:sz="1"/>
              <w:bottom w:val="single" w:color="CCCCCC" w:sz="1"/>
              <w:right w:val="single" w:color="CCCCCC" w:sz="1"/>
            </w:tcBorders>
            <w:shd w:fill="2E5090" w:val="clear"/>
            <w:tcMar>
              <w:top w:type="dxa" w:w="100"/>
              <w:left w:type="dxa" w:w="120"/>
              <w:bottom w:type="dxa" w:w="100"/>
              <w:right w:type="dxa" w:w="120"/>
            </w:tcMar>
          </w:tcPr>
          <w:p>
            <w:r>
              <w:rPr>
                <w:rFonts w:ascii="Arial" w:cs="Arial" w:eastAsia="Arial" w:hAnsi="Arial"/>
                <w:b/>
                <w:bCs/>
                <w:color w:val="FFFFFF"/>
                <w:sz w:val="20"/>
                <w:szCs w:val="20"/>
              </w:rPr>
              <w:t xml:space="preserve">GOVERN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Dedicated service account (§2.1). Defined roles for operator approval (§5). Kill switch and incident runbook (§5.3).</w:t>
            </w:r>
          </w:p>
        </w:tc>
        <w:tc>
          <w:tcPr>
            <w:tcW w:type="dxa" w:w="3980"/>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r>
              <w:rPr>
                <w:rFonts w:ascii="Arial" w:cs="Arial" w:eastAsia="Arial" w:hAnsi="Arial"/>
                <w:color w:val="333333"/>
                <w:sz w:val="20"/>
                <w:szCs w:val="20"/>
              </w:rPr>
              <w:t xml:space="preserve">Formal AI use policy. Designated AI risk owner. AI Bill of Materials (AI-BOM) documenting the 70B model provenance and training data lineage.</w:t>
            </w:r>
          </w:p>
        </w:tc>
      </w:tr>
      <w:tr>
        <w:tc>
          <w:tcPr>
            <w:tcW w:type="dxa" w:w="1800"/>
            <w:tcBorders>
              <w:top w:val="single" w:color="CCCCCC" w:sz="1"/>
              <w:left w:val="single" w:color="CCCCCC" w:sz="1"/>
              <w:bottom w:val="single" w:color="CCCCCC" w:sz="1"/>
              <w:right w:val="single" w:color="CCCCCC" w:sz="1"/>
            </w:tcBorders>
            <w:shd w:fill="2E5090" w:val="clear"/>
            <w:tcMar>
              <w:top w:type="dxa" w:w="100"/>
              <w:left w:type="dxa" w:w="120"/>
              <w:bottom w:type="dxa" w:w="100"/>
              <w:right w:type="dxa" w:w="120"/>
            </w:tcMar>
          </w:tcPr>
          <w:p>
            <w:r>
              <w:rPr>
                <w:rFonts w:ascii="Arial" w:cs="Arial" w:eastAsia="Arial" w:hAnsi="Arial"/>
                <w:b/>
                <w:bCs/>
                <w:color w:val="FFFFFF"/>
                <w:sz w:val="20"/>
                <w:szCs w:val="20"/>
              </w:rPr>
              <w:t xml:space="preserve">MAP</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Architecture summary (§1). Tool allow/deny scope (§3.2). Network isolation documentation (§4). Log source enumeration (§6.1). Native defense-in-depth layer (§2.4).</w:t>
            </w:r>
          </w:p>
        </w:tc>
        <w:tc>
          <w:tcPr>
            <w:tcW w:type="dxa" w:w="3980"/>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r>
              <w:rPr>
                <w:rFonts w:ascii="Arial" w:cs="Arial" w:eastAsia="Arial" w:hAnsi="Arial"/>
                <w:color w:val="333333"/>
                <w:sz w:val="20"/>
                <w:szCs w:val="20"/>
              </w:rPr>
              <w:t xml:space="preserve">Formal risk assessment documenting the specific threat model for an agentic system on a DC. Map all data flows including what log content the model "sees."</w:t>
            </w:r>
          </w:p>
        </w:tc>
      </w:tr>
      <w:tr>
        <w:tc>
          <w:tcPr>
            <w:tcW w:type="dxa" w:w="1800"/>
            <w:tcBorders>
              <w:top w:val="single" w:color="CCCCCC" w:sz="1"/>
              <w:left w:val="single" w:color="CCCCCC" w:sz="1"/>
              <w:bottom w:val="single" w:color="CCCCCC" w:sz="1"/>
              <w:right w:val="single" w:color="CCCCCC" w:sz="1"/>
            </w:tcBorders>
            <w:shd w:fill="2E5090" w:val="clear"/>
            <w:tcMar>
              <w:top w:type="dxa" w:w="100"/>
              <w:left w:type="dxa" w:w="120"/>
              <w:bottom w:type="dxa" w:w="100"/>
              <w:right w:type="dxa" w:w="120"/>
            </w:tcMar>
          </w:tcPr>
          <w:p>
            <w:r>
              <w:rPr>
                <w:rFonts w:ascii="Arial" w:cs="Arial" w:eastAsia="Arial" w:hAnsi="Arial"/>
                <w:b/>
                <w:bCs/>
                <w:color w:val="FFFFFF"/>
                <w:sz w:val="20"/>
                <w:szCs w:val="20"/>
              </w:rPr>
              <w:t xml:space="preserve">MEASURE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Comprehensive logging (§6). Anomaly flagging in HITL (§5.2). Sudo proxy audit trail (§2.2–2.3). Container event monitoring (§6.1). Citadel Guard sanitization events (§2.4).</w:t>
            </w:r>
          </w:p>
        </w:tc>
        <w:tc>
          <w:tcPr>
            <w:tcW w:type="dxa" w:w="3980"/>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r>
              <w:rPr>
                <w:rFonts w:ascii="Arial" w:cs="Arial" w:eastAsia="Arial" w:hAnsi="Arial"/>
                <w:color w:val="333333"/>
                <w:sz w:val="20"/>
                <w:szCs w:val="20"/>
              </w:rPr>
              <w:t xml:space="preserve">Periodic red-team exercises against the agent (prompt injection, goal hijacking). Baseline behavioral metrics for drift detection. Hallucination rate tracking on log-review outputs.</w:t>
            </w:r>
          </w:p>
        </w:tc>
      </w:tr>
      <w:tr>
        <w:tc>
          <w:tcPr>
            <w:tcW w:type="dxa" w:w="1800"/>
            <w:tcBorders>
              <w:top w:val="single" w:color="CCCCCC" w:sz="1"/>
              <w:left w:val="single" w:color="CCCCCC" w:sz="1"/>
              <w:bottom w:val="single" w:color="CCCCCC" w:sz="1"/>
              <w:right w:val="single" w:color="CCCCCC" w:sz="1"/>
            </w:tcBorders>
            <w:shd w:fill="2E5090" w:val="clear"/>
            <w:tcMar>
              <w:top w:type="dxa" w:w="100"/>
              <w:left w:type="dxa" w:w="120"/>
              <w:bottom w:type="dxa" w:w="100"/>
              <w:right w:type="dxa" w:w="120"/>
            </w:tcMar>
          </w:tcPr>
          <w:p>
            <w:r>
              <w:rPr>
                <w:rFonts w:ascii="Arial" w:cs="Arial" w:eastAsia="Arial" w:hAnsi="Arial"/>
                <w:b/>
                <w:bCs/>
                <w:color w:val="FFFFFF"/>
                <w:sz w:val="20"/>
                <w:szCs w:val="20"/>
              </w:rPr>
              <w:t xml:space="preserve">MANAGE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Kill switch (§5.3). Incident runbook (§5.3). Sudo whitelist review cadence (§2.2). Container isolation for blast radius containment (§3.3).</w:t>
            </w:r>
          </w:p>
        </w:tc>
        <w:tc>
          <w:tcPr>
            <w:tcW w:type="dxa" w:w="3980"/>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r>
              <w:rPr>
                <w:rFonts w:ascii="Arial" w:cs="Arial" w:eastAsia="Arial" w:hAnsi="Arial"/>
                <w:color w:val="333333"/>
                <w:sz w:val="20"/>
                <w:szCs w:val="20"/>
              </w:rPr>
              <w:t xml:space="preserve">Defined escalation paths and responsible parties. Regular review cycle (quarterly minimum) of the full deployment posture. Integration of AI incidents into existing IR workflows.</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60"/>
              <w:bottom w:type="dxa" w:w="120"/>
              <w:right w:type="dxa" w:w="160"/>
            </w:tcMar>
          </w:tcPr>
          <w:p>
            <w:pPr>
              <w:spacing w:after="80"/>
            </w:pPr>
            <w:r>
              <w:rPr>
                <w:rFonts w:ascii="Arial" w:cs="Arial" w:eastAsia="Arial" w:hAnsi="Arial"/>
                <w:b/>
                <w:bCs/>
                <w:color w:val="3A7CB8"/>
                <w:sz w:val="22"/>
                <w:szCs w:val="22"/>
              </w:rPr>
              <w:t xml:space="preserve">📋  NIST CSF AI Profile (Dec 2025 Draft)</w:t>
            </w:r>
          </w:p>
          <w:p>
            <w:pPr>
              <w:spacing w:after="60"/>
            </w:pPr>
            <w:r>
              <w:rPr>
                <w:rFonts w:ascii="Arial" w:cs="Arial" w:eastAsia="Arial" w:hAnsi="Arial"/>
                <w:color w:val="333333"/>
                <w:sz w:val="20"/>
                <w:szCs w:val="20"/>
              </w:rPr>
              <w:t xml:space="preserve">NIST's preliminary Cybersecurity Framework Profile for AI (published December 2025) adds three AI Focus Areas: Secure, Detect, and Thwart. Of particular relevance to this deployment: defining conditions for disabling AI autonomy during risk response, integrating AI-specific procedures for containment during incident response, and incorporating AI-specific attacks into vulnerability management. These map directly to §5.3 (kill switch) and §6 (monitoring) in this document. Monitor this profile as it moves from draft to final — it will likely become a reference standard.</w:t>
            </w:r>
          </w:p>
        </w:tc>
      </w:tr>
    </w:tbl>
    <w:p>
      <w:r>
        <w:br w:type="page"/>
      </w:r>
    </w:p>
    <w:p>
      <w:pPr>
        <w:pStyle w:val="Heading1"/>
      </w:pPr>
      <w:r>
        <w:rPr>
          <w:rFonts w:ascii="Arial" w:cs="Arial" w:eastAsia="Arial" w:hAnsi="Arial"/>
          <w:b/>
          <w:bCs/>
          <w:color w:val="1B2845"/>
          <w:sz w:val="28"/>
          <w:szCs w:val="28"/>
        </w:rPr>
        <w:t xml:space="preserve">8. Residual Risks Specific to This Architecture</w:t>
      </w:r>
    </w:p>
    <w:p>
      <w:pPr>
        <w:spacing w:after="120"/>
      </w:pPr>
      <w:r>
        <w:rPr>
          <w:rFonts w:ascii="Arial" w:cs="Arial" w:eastAsia="Arial" w:hAnsi="Arial"/>
          <w:color w:val="333333"/>
          <w:sz w:val="20"/>
          <w:szCs w:val="20"/>
        </w:rPr>
        <w:t xml:space="preserve">Even with all recommended controls in place, the following risks remain and should be explicitly accepted, documented, and mitigated as far as possible:</w:t>
      </w:r>
    </w:p>
    <w:p>
      <w:pPr>
        <w:spacing w:before="160" w:after="80"/>
      </w:pPr>
      <w:r>
        <w:rPr>
          <w:rFonts w:ascii="Arial" w:cs="Arial" w:eastAsia="Arial" w:hAnsi="Arial"/>
          <w:b/>
          <w:bCs/>
          <w:color w:val="3A7CB8"/>
          <w:sz w:val="22"/>
          <w:szCs w:val="22"/>
        </w:rPr>
        <w:t xml:space="preserve">8.1  Prompt Injection via Log Content</w:t>
      </w:r>
    </w:p>
    <w:p>
      <w:pPr>
        <w:spacing w:after="120"/>
      </w:pPr>
      <w:r>
        <w:rPr>
          <w:rFonts w:ascii="Arial" w:cs="Arial" w:eastAsia="Arial" w:hAnsi="Arial"/>
          <w:color w:val="333333"/>
          <w:sz w:val="20"/>
          <w:szCs w:val="20"/>
        </w:rPr>
        <w:t xml:space="preserve">OpenClaw will be reading log files from Wazuh, Suricata, and other security tools. Adversaries aware of this pipeline could attempt to inject instructions into log entries that get surfaced to the model — for example, a crafted network packet payload that, when logged by Suricata, contains instructions to the AI.</w:t>
      </w:r>
    </w:p>
    <w:p>
      <w:pPr>
        <w:pStyle w:val="ListParagraph"/>
        <w:numPr>
          <w:ilvl w:val="0"/>
          <w:numId w:val="6"/>
        </w:numPr>
        <w:spacing w:after="80"/>
      </w:pPr>
      <w:r>
        <w:rPr>
          <w:rFonts w:ascii="Arial" w:cs="Arial" w:eastAsia="Arial" w:hAnsi="Arial"/>
          <w:color w:val="333333"/>
          <w:sz w:val="20"/>
          <w:szCs w:val="20"/>
        </w:rPr>
        <w:t xml:space="preserve">Primary mitigation: Citadel Guard (§2.4, Layer 3) now scans all tool outputs at the after_tool_call boundary before they reach the model context. This catches adversarial content in log results at the point of ingestion. Sanitized entries are flagged for operator review.</w:t>
      </w:r>
    </w:p>
    <w:p>
      <w:pPr>
        <w:pStyle w:val="ListParagraph"/>
        <w:numPr>
          <w:ilvl w:val="0"/>
          <w:numId w:val="6"/>
        </w:numPr>
        <w:spacing w:after="80"/>
      </w:pPr>
      <w:r>
        <w:rPr>
          <w:rFonts w:ascii="Arial" w:cs="Arial" w:eastAsia="Arial" w:hAnsi="Arial"/>
          <w:color w:val="333333"/>
          <w:sz w:val="20"/>
          <w:szCs w:val="20"/>
        </w:rPr>
        <w:t xml:space="preserve">Belt-and-suspenders: Retain the custom pre-processing middleware between log sources and OpenClaw for content that enters via non-tool paths (e.g., session context injection, workspace files). Strip or escape content matching prompt injection patterns (e.g., "ignore previous instructions", directive-style imperative sentences).</w:t>
      </w:r>
    </w:p>
    <w:p>
      <w:pPr>
        <w:pStyle w:val="ListParagraph"/>
        <w:numPr>
          <w:ilvl w:val="0"/>
          <w:numId w:val="6"/>
        </w:numPr>
        <w:spacing w:after="80"/>
      </w:pPr>
      <w:r>
        <w:rPr>
          <w:rFonts w:ascii="Arial" w:cs="Arial" w:eastAsia="Arial" w:hAnsi="Arial"/>
          <w:color w:val="333333"/>
          <w:sz w:val="20"/>
          <w:szCs w:val="20"/>
        </w:rPr>
        <w:t xml:space="preserve">Note: Citadel Guard's HTTP API path bypasses hooks entirely. Confirm httpApi: false is set and monitor for any re-enablement.</w:t>
      </w:r>
    </w:p>
    <w:p>
      <w:pPr>
        <w:spacing w:before="160" w:after="80"/>
      </w:pPr>
      <w:r>
        <w:rPr>
          <w:rFonts w:ascii="Arial" w:cs="Arial" w:eastAsia="Arial" w:hAnsi="Arial"/>
          <w:b/>
          <w:bCs/>
          <w:color w:val="3A7CB8"/>
          <w:sz w:val="22"/>
          <w:szCs w:val="22"/>
        </w:rPr>
        <w:t xml:space="preserve">8.2  Model Hallucination on Security-Critical Recommendations</w:t>
      </w:r>
    </w:p>
    <w:p>
      <w:pPr>
        <w:spacing w:after="120"/>
      </w:pPr>
      <w:r>
        <w:rPr>
          <w:rFonts w:ascii="Arial" w:cs="Arial" w:eastAsia="Arial" w:hAnsi="Arial"/>
          <w:color w:val="333333"/>
          <w:sz w:val="20"/>
          <w:szCs w:val="20"/>
        </w:rPr>
        <w:t xml:space="preserve">A 70B local model, while capable, will hallucinate. In a security context, a hallucinated recommendation (e.g., "restart the authentication service" when no such issue exists) could cause an outage or mask a real incident.</w:t>
      </w:r>
    </w:p>
    <w:p>
      <w:pPr>
        <w:pStyle w:val="ListParagraph"/>
        <w:numPr>
          <w:ilvl w:val="0"/>
          <w:numId w:val="6"/>
        </w:numPr>
        <w:spacing w:after="80"/>
      </w:pPr>
      <w:r>
        <w:rPr>
          <w:rFonts w:ascii="Arial" w:cs="Arial" w:eastAsia="Arial" w:hAnsi="Arial"/>
          <w:color w:val="333333"/>
          <w:sz w:val="20"/>
          <w:szCs w:val="20"/>
        </w:rPr>
        <w:t xml:space="preserve">Mitigation: OpenClaw's log-review outputs should always include explicit citation of the log entries that informed the recommendation. The HITL approval interface should make it easy for operators to verify these citations. Implement a post-action review process where actual outcomes are compared to predicted outcomes.</w:t>
      </w:r>
    </w:p>
    <w:p>
      <w:pPr>
        <w:spacing w:before="160" w:after="80"/>
      </w:pPr>
      <w:r>
        <w:rPr>
          <w:rFonts w:ascii="Arial" w:cs="Arial" w:eastAsia="Arial" w:hAnsi="Arial"/>
          <w:b/>
          <w:bCs/>
          <w:color w:val="3A7CB8"/>
          <w:sz w:val="22"/>
          <w:szCs w:val="22"/>
        </w:rPr>
        <w:t xml:space="preserve">8.3  Supply Chain Risk on the 70B Model</w:t>
      </w:r>
    </w:p>
    <w:p>
      <w:pPr>
        <w:spacing w:after="120"/>
      </w:pPr>
      <w:r>
        <w:rPr>
          <w:rFonts w:ascii="Arial" w:cs="Arial" w:eastAsia="Arial" w:hAnsi="Arial"/>
          <w:color w:val="333333"/>
          <w:sz w:val="20"/>
          <w:szCs w:val="20"/>
        </w:rPr>
        <w:t xml:space="preserve">The provenance and integrity of the model weights is a supply chain risk. A compromised model could behave subtly differently under specific conditions.</w:t>
      </w:r>
    </w:p>
    <w:p>
      <w:pPr>
        <w:pStyle w:val="ListParagraph"/>
        <w:numPr>
          <w:ilvl w:val="0"/>
          <w:numId w:val="6"/>
        </w:numPr>
        <w:spacing w:after="80"/>
      </w:pPr>
      <w:r>
        <w:rPr>
          <w:rFonts w:ascii="Arial" w:cs="Arial" w:eastAsia="Arial" w:hAnsi="Arial"/>
          <w:color w:val="333333"/>
          <w:sz w:val="20"/>
          <w:szCs w:val="20"/>
        </w:rPr>
        <w:t xml:space="preserve">Mitigation: Document the exact source, version, and SHA-256 hash of the model weights at download time. Verify the hash before each deployment or update. Never update the model over the network — transfer via verified, air-gapped media.</w:t>
      </w:r>
    </w:p>
    <w:p>
      <w:pPr>
        <w:spacing w:before="160" w:after="80"/>
      </w:pPr>
      <w:r>
        <w:rPr>
          <w:rFonts w:ascii="Arial" w:cs="Arial" w:eastAsia="Arial" w:hAnsi="Arial"/>
          <w:b/>
          <w:bCs/>
          <w:color w:val="3A7CB8"/>
          <w:sz w:val="22"/>
          <w:szCs w:val="22"/>
        </w:rPr>
        <w:t xml:space="preserve">8.4  Operator Trust Bias (ASI09)</w:t>
      </w:r>
    </w:p>
    <w:p>
      <w:pPr>
        <w:spacing w:after="120"/>
      </w:pPr>
      <w:r>
        <w:rPr>
          <w:rFonts w:ascii="Arial" w:cs="Arial" w:eastAsia="Arial" w:hAnsi="Arial"/>
          <w:color w:val="333333"/>
          <w:sz w:val="20"/>
          <w:szCs w:val="20"/>
        </w:rPr>
        <w:t xml:space="preserve">As OWASP's Agentic Top 10 identifies, humans tend to over-trust AI-generated recommendations, especially when they are presented confidently. Over time, operators may rubber-stamp approvals without genuine review.</w:t>
      </w:r>
    </w:p>
    <w:p>
      <w:pPr>
        <w:pStyle w:val="ListParagraph"/>
        <w:numPr>
          <w:ilvl w:val="0"/>
          <w:numId w:val="6"/>
        </w:numPr>
        <w:spacing w:after="80"/>
      </w:pPr>
      <w:r>
        <w:rPr>
          <w:rFonts w:ascii="Arial" w:cs="Arial" w:eastAsia="Arial" w:hAnsi="Arial"/>
          <w:color w:val="333333"/>
          <w:sz w:val="20"/>
          <w:szCs w:val="20"/>
        </w:rPr>
        <w:t xml:space="preserve">Mitigation: Rotate operators. Conduct periodic "trust audits" where the approval history is reviewed for patterns of uncritical approval. Inject synthetic anomalous requests into the queue to test whether operators are actively reviewing.</w:t>
      </w:r>
    </w:p>
    <w:p>
      <w:r>
        <w:br w:type="page"/>
      </w:r>
    </w:p>
    <w:p>
      <w:pPr>
        <w:pStyle w:val="Heading1"/>
      </w:pPr>
      <w:r>
        <w:rPr>
          <w:rFonts w:ascii="Arial" w:cs="Arial" w:eastAsia="Arial" w:hAnsi="Arial"/>
          <w:b/>
          <w:bCs/>
          <w:color w:val="1B2845"/>
          <w:sz w:val="28"/>
          <w:szCs w:val="28"/>
        </w:rPr>
        <w:t xml:space="preserve">9. Implementation Priority Checklist</w:t>
      </w:r>
    </w:p>
    <w:p>
      <w:pPr>
        <w:spacing w:after="120"/>
      </w:pPr>
      <w:r>
        <w:rPr>
          <w:rFonts w:ascii="Arial" w:cs="Arial" w:eastAsia="Arial" w:hAnsi="Arial"/>
          <w:color w:val="333333"/>
          <w:sz w:val="20"/>
          <w:szCs w:val="20"/>
        </w:rPr>
        <w:t xml:space="preserve">Controls are grouped by priority. P1 items should be in place before any production use. P2 items should be completed within the first operational cycle. P3 items are ongoing governance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Control</w:t>
            </w:r>
          </w:p>
        </w:tc>
      </w:tr>
      <w:tr>
        <w:tc>
          <w:tcPr>
            <w:tcW w:type="dxa" w:w="12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b/>
                <w:bCs/>
                <w:color w:val="B71C1C"/>
                <w:sz w:val="20"/>
                <w:szCs w:val="20"/>
              </w:rPr>
              <w:t xml:space="preserve">P1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§2.1–2.3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Dedicated service account + whitelist-only sudoers + external sudo approval proxy</w:t>
            </w:r>
          </w:p>
        </w:tc>
      </w:tr>
      <w:tr>
        <w:tc>
          <w:tcPr>
            <w:tcW w:type="dxa" w:w="12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b/>
                <w:bCs/>
                <w:color w:val="B71C1C"/>
                <w:sz w:val="20"/>
                <w:szCs w:val="20"/>
              </w:rPr>
              <w:t xml:space="preserve">P1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§3.2–3.3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Deny exec/process/write tools. Docker sandbox with read-only FS and minimal bind mounts.</w:t>
            </w:r>
          </w:p>
        </w:tc>
      </w:tr>
      <w:tr>
        <w:tc>
          <w:tcPr>
            <w:tcW w:type="dxa" w:w="12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b/>
                <w:bCs/>
                <w:color w:val="B71C1C"/>
                <w:sz w:val="20"/>
                <w:szCs w:val="20"/>
              </w:rPr>
              <w:t xml:space="preserve">P1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Disable all messaging/channel integrations. No WhatsApp, Telegram, Signal, or any inbound channel.</w:t>
            </w:r>
          </w:p>
        </w:tc>
      </w:tr>
      <w:tr>
        <w:tc>
          <w:tcPr>
            <w:tcW w:type="dxa" w:w="12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b/>
                <w:bCs/>
                <w:color w:val="B71C1C"/>
                <w:sz w:val="20"/>
                <w:szCs w:val="20"/>
              </w:rPr>
              <w:t xml:space="preserve">P1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Out-of-band kill switch operational before first run. Incident response runbook drafted and reviewed.</w:t>
            </w:r>
          </w:p>
        </w:tc>
      </w:tr>
      <w:tr>
        <w:tc>
          <w:tcPr>
            <w:tcW w:type="dxa" w:w="12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b/>
                <w:bCs/>
                <w:color w:val="B71C1C"/>
                <w:sz w:val="20"/>
                <w:szCs w:val="20"/>
              </w:rPr>
              <w:t xml:space="preserve">P1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weight SHA-256 verification. Document provenance before deployment.</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Enable exec approvals (fail-closed), Lobster plugin (approval gates), and Citadel Guard (prompt injection defense). Verify PR #3357 fix is present. Disable Citadel Guard HTTP API.</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Ollama TLS + API key auth + rate limiting + request logging</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§5.1–5.2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HITL approval interface with citation verification, two-step approval for state-changing commands, and anomaly flagging</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logging pipeline to Graylog with tamper-evident storage. Sidecar-based log capture (agent cannot write its own logs).</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0"/>
                <w:szCs w:val="20"/>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 content sanitization: Citadel Guard covers tool-output boundary; retain custom middleware for non-tool paths.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NIST residual actions: AI use policy, AI-BOM, formal risk assessment, red-team exercises, quarterly posture review</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Operator rotation schedule. Periodic trust audits. Synthetic anomaly injection testing.</w:t>
            </w:r>
          </w:p>
        </w:tc>
      </w:tr>
    </w:tbl>
    <w:p>
      <w:r>
        <w:br w:type="page"/>
      </w:r>
    </w:p>
    <w:p>
      <w:pPr>
        <w:pStyle w:val="Heading1"/>
      </w:pPr>
      <w:r>
        <w:rPr>
          <w:rFonts w:ascii="Arial" w:cs="Arial" w:eastAsia="Arial" w:hAnsi="Arial"/>
          <w:b/>
          <w:bCs/>
          <w:color w:val="1B2845"/>
          <w:sz w:val="28"/>
          <w:szCs w:val="28"/>
        </w:rPr>
        <w:t xml:space="preserve">References</w:t>
      </w:r>
    </w:p>
    <w:p>
      <w:pPr>
        <w:spacing w:after="120"/>
      </w:pPr>
      <w:r>
        <w:rPr>
          <w:rFonts w:ascii="Arial" w:cs="Arial" w:eastAsia="Arial" w:hAnsi="Arial"/>
          <w:color w:val="333333"/>
          <w:sz w:val="20"/>
          <w:szCs w:val="20"/>
        </w:rPr>
        <w:t xml:space="preserve">NIST AI Risk Management Framework (AI RMF 1.0) — NIST AI 100-1</w:t>
      </w:r>
    </w:p>
    <w:p>
      <w:pPr>
        <w:spacing w:after="120"/>
      </w:pPr>
      <w:r>
        <w:rPr>
          <w:rFonts w:ascii="Arial" w:cs="Arial" w:eastAsia="Arial" w:hAnsi="Arial"/>
          <w:color w:val="333333"/>
          <w:sz w:val="20"/>
          <w:szCs w:val="20"/>
        </w:rPr>
        <w:t xml:space="preserve">NIST Cybersecurity Framework Profile for AI (Preliminary Draft, December 2025)</w:t>
      </w:r>
    </w:p>
    <w:p>
      <w:pPr>
        <w:spacing w:after="120"/>
      </w:pPr>
      <w:r>
        <w:rPr>
          <w:rFonts w:ascii="Arial" w:cs="Arial" w:eastAsia="Arial" w:hAnsi="Arial"/>
          <w:color w:val="333333"/>
          <w:sz w:val="20"/>
          <w:szCs w:val="20"/>
        </w:rPr>
        <w:t xml:space="preserve">OWASP Top 10 for Agentic Applications 2026 (December 2025)</w:t>
      </w:r>
    </w:p>
    <w:p>
      <w:pPr>
        <w:spacing w:after="120"/>
      </w:pPr>
      <w:r>
        <w:rPr>
          <w:rFonts w:ascii="Arial" w:cs="Arial" w:eastAsia="Arial" w:hAnsi="Arial"/>
          <w:color w:val="333333"/>
          <w:sz w:val="20"/>
          <w:szCs w:val="20"/>
        </w:rPr>
        <w:t xml:space="preserve">OpenClaw Security Documentation — docs.openclaw.ai/gateway/security</w:t>
      </w:r>
    </w:p>
    <w:p>
      <w:pPr>
        <w:spacing w:after="120"/>
      </w:pPr>
      <w:r>
        <w:rPr>
          <w:rFonts w:ascii="Arial" w:cs="Arial" w:eastAsia="Arial" w:hAnsi="Arial"/>
          <w:color w:val="333333"/>
          <w:sz w:val="20"/>
          <w:szCs w:val="20"/>
        </w:rPr>
        <w:t xml:space="preserve">OpenClaw Exec Approvals — docs.openclaw.ai/tools/exec-approvals</w:t>
      </w:r>
    </w:p>
    <w:p>
      <w:pPr>
        <w:spacing w:after="120"/>
      </w:pPr>
      <w:r>
        <w:rPr>
          <w:rFonts w:ascii="Arial" w:cs="Arial" w:eastAsia="Arial" w:hAnsi="Arial"/>
          <w:color w:val="333333"/>
          <w:sz w:val="20"/>
          <w:szCs w:val="20"/>
        </w:rPr>
        <w:t xml:space="preserve">OpenClaw Lobster Plugin — docs.openclaw.ai/tools/lobster</w:t>
      </w:r>
    </w:p>
    <w:p>
      <w:pPr>
        <w:spacing w:after="120"/>
      </w:pPr>
      <w:r>
        <w:rPr>
          <w:rFonts w:ascii="Arial" w:cs="Arial" w:eastAsia="Arial" w:hAnsi="Arial"/>
          <w:color w:val="333333"/>
          <w:sz w:val="20"/>
          <w:szCs w:val="20"/>
        </w:rPr>
        <w:t xml:space="preserve">Citadel Guard Plugin — github.com/openclaw/openclaw/discussions/3387</w:t>
      </w:r>
    </w:p>
    <w:p>
      <w:pPr>
        <w:spacing w:after="120"/>
      </w:pPr>
      <w:r>
        <w:rPr>
          <w:rFonts w:ascii="Arial" w:cs="Arial" w:eastAsia="Arial" w:hAnsi="Arial"/>
          <w:color w:val="333333"/>
          <w:sz w:val="20"/>
          <w:szCs w:val="20"/>
        </w:rPr>
        <w:t xml:space="preserve">CSA AI Controls Matrix (AICM) — Cloud Security Alliance, July 2025</w:t>
      </w:r>
    </w:p>
    <w:p>
      <w:pPr>
        <w:spacing w:after="120"/>
      </w:pPr>
      <w:r>
        <w:rPr>
          <w:rFonts w:ascii="Arial" w:cs="Arial" w:eastAsia="Arial" w:hAnsi="Arial"/>
          <w:color w:val="333333"/>
          <w:sz w:val="20"/>
          <w:szCs w:val="20"/>
        </w:rPr>
        <w:t xml:space="preserve">MAESTRO Framework for Agentic AI Threat Modeling (February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OpenClaw DC Deployment — Additional Safeguards &amp; NIST Alignment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11"/>
    <w:lvlOverride w:ilvl="0">
      <w:startOverride w:val="1"/>
    </w:lvlOverride>
  </w:num>
  <w:num w:numId="6">
    <w:abstractNumId w:val="2"/>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B2845"/>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2026-02-01T18:15:02.172Z</dcterms:created>
  <dcterms:modified xsi:type="dcterms:W3CDTF">2026-02-01T18:15:02.173Z</dcterms:modified>
</cp:coreProperties>
</file>

<file path=docProps/custom.xml><?xml version="1.0" encoding="utf-8"?>
<Properties xmlns="http://schemas.openxmlformats.org/officeDocument/2006/custom-properties" xmlns:vt="http://schemas.openxmlformats.org/officeDocument/2006/docPropsVTypes"/>
</file>