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c2fb1922da97912410cb38b00d43874807a3c4"/>
    <w:p>
      <w:pPr>
        <w:pStyle w:val="Heading1"/>
      </w:pPr>
      <w:r>
        <w:t xml:space="preserve">System Security Plan - Integration Instructions</w:t>
      </w:r>
    </w:p>
    <w:p>
      <w:pPr>
        <w:pStyle w:val="FirstParagraph"/>
      </w:pPr>
      <w:r>
        <w:rPr>
          <w:bCs/>
          <w:b/>
        </w:rPr>
        <w:t xml:space="preserve">Date:</w:t>
      </w:r>
      <w:r>
        <w:t xml:space="preserve"> </w:t>
      </w:r>
      <w:r>
        <w:t xml:space="preserve">November 2, 2025</w:t>
      </w:r>
      <w:r>
        <w:t xml:space="preserve"> </w:t>
      </w:r>
      <w:r>
        <w:rPr>
          <w:bCs/>
          <w:b/>
        </w:rPr>
        <w:t xml:space="preserve">Version Transition:</w:t>
      </w:r>
      <w:r>
        <w:t xml:space="preserve"> </w:t>
      </w:r>
      <w:r>
        <w:t xml:space="preserve">1.3 → 1.4</w:t>
      </w:r>
    </w:p>
    <w:p>
      <w:r>
        <w:pict>
          <v:rect style="width:0;height:1.5pt" o:hralign="center" o:hrstd="t" o:hr="t"/>
        </w:pict>
      </w:r>
    </w:p>
    <w:bookmarkStart w:id="22" w:name="quick-integration-guide"/>
    <w:p>
      <w:pPr>
        <w:pStyle w:val="Heading2"/>
      </w:pPr>
      <w:r>
        <w:t xml:space="preserve">Quick Integration Guide</w:t>
      </w:r>
    </w:p>
    <w:p>
      <w:pPr>
        <w:pStyle w:val="FirstParagraph"/>
      </w:pPr>
      <w:r>
        <w:t xml:space="preserve">The System Security Plan has been updated to Version 1.4 with comprehensive policy documentation. Due to the size and complexity of the SSP, the update is provided in two complementary documents:</w:t>
      </w:r>
    </w:p>
    <w:bookmarkStart w:id="20" w:name="X7bae4f54b0f3a50160eb79e0cfe07a2435053f1"/>
    <w:p>
      <w:pPr>
        <w:pStyle w:val="Heading3"/>
      </w:pPr>
      <w:r>
        <w:t xml:space="preserve">Document 1: System_Security_Plan_v1.4.docx (Base Document)</w:t>
      </w:r>
    </w:p>
    <w:p>
      <w:pPr>
        <w:pStyle w:val="FirstParagraph"/>
      </w:pPr>
      <w:r>
        <w:rPr>
          <w:bCs/>
          <w:b/>
        </w:rPr>
        <w:t xml:space="preserve">Location:</w:t>
      </w:r>
      <w:r>
        <w:t xml:space="preserve"> </w:t>
      </w:r>
      <w:r>
        <w:rPr>
          <w:rStyle w:val="VerbatimChar"/>
        </w:rPr>
        <w:t xml:space="preserve">/home/dshannon/Documents/Claude/Artifacts/System_Security_Plan_v1.4.docx</w:t>
      </w:r>
      <w:r>
        <w:t xml:space="preserve"> </w:t>
      </w:r>
      <w:r>
        <w:t xml:space="preserve">- Complete SSP Version 1.3 baseline (October 31, 2025)</w:t>
      </w:r>
      <w:r>
        <w:t xml:space="preserve"> </w:t>
      </w:r>
      <w:r>
        <w:t xml:space="preserve">- Full system architecture and technical implementation details</w:t>
      </w:r>
      <w:r>
        <w:t xml:space="preserve"> </w:t>
      </w:r>
      <w:r>
        <w:t xml:space="preserve">- All 14 control family implementations</w:t>
      </w:r>
      <w:r>
        <w:t xml:space="preserve"> </w:t>
      </w:r>
      <w:r>
        <w:t xml:space="preserve">- POA&amp;M and implementation metrics (96% baseline)</w:t>
      </w:r>
    </w:p>
    <w:bookmarkEnd w:id="20"/>
    <w:bookmarkStart w:id="21" w:name="Xd3203cf981b2564d58d80052ee0a4759ed0b26b"/>
    <w:p>
      <w:pPr>
        <w:pStyle w:val="Heading3"/>
      </w:pPr>
      <w:r>
        <w:t xml:space="preserve">Document 2: SSP_Update_11-02-25.docx (Policy Integration)</w:t>
      </w:r>
    </w:p>
    <w:p>
      <w:pPr>
        <w:pStyle w:val="FirstParagraph"/>
      </w:pPr>
      <w:r>
        <w:rPr>
          <w:bCs/>
          <w:b/>
        </w:rPr>
        <w:t xml:space="preserve">Location:</w:t>
      </w:r>
      <w:r>
        <w:t xml:space="preserve"> </w:t>
      </w:r>
      <w:r>
        <w:rPr>
          <w:rStyle w:val="VerbatimChar"/>
        </w:rPr>
        <w:t xml:space="preserve">/home/dshannon/Documents/Claude/Artifacts/SSP_Update_11-02-25.docx</w:t>
      </w:r>
      <w:r>
        <w:t xml:space="preserve"> </w:t>
      </w:r>
      <w:r>
        <w:t xml:space="preserve">- Version 1.4 revision history entry (add to base document)</w:t>
      </w:r>
      <w:r>
        <w:t xml:space="preserve"> </w:t>
      </w:r>
      <w:r>
        <w:t xml:space="preserve">- Updated control implementations for 6 policy families (IR, RA, PS, PE, MP, SI)</w:t>
      </w:r>
      <w:r>
        <w:t xml:space="preserve"> </w:t>
      </w:r>
      <w:r>
        <w:t xml:space="preserve">- Complete policy reference table (Section 6.1)</w:t>
      </w:r>
      <w:r>
        <w:t xml:space="preserve"> </w:t>
      </w:r>
      <w:r>
        <w:t xml:space="preserve">- Updated POA&amp;M with completed and new items</w:t>
      </w:r>
      <w:r>
        <w:t xml:space="preserve"> </w:t>
      </w:r>
      <w:r>
        <w:t xml:space="preserve">- Updated implementation metrics (98% complete)</w:t>
      </w:r>
      <w:r>
        <w:t xml:space="preserve"> </w:t>
      </w:r>
      <w:r>
        <w:t xml:space="preserve">- Authorization recommendation</w:t>
      </w:r>
    </w:p>
    <w:p>
      <w:r>
        <w:pict>
          <v:rect style="width:0;height:1.5pt" o:hralign="center" o:hrstd="t" o:hr="t"/>
        </w:pict>
      </w:r>
    </w:p>
    <w:bookmarkEnd w:id="21"/>
    <w:bookmarkEnd w:id="22"/>
    <w:bookmarkStart w:id="26" w:name="how-to-use-these-documents"/>
    <w:p>
      <w:pPr>
        <w:pStyle w:val="Heading2"/>
      </w:pPr>
      <w:r>
        <w:t xml:space="preserve">How to Use These Documents</w:t>
      </w:r>
    </w:p>
    <w:bookmarkStart w:id="23" w:name="for-reference-and-review"/>
    <w:p>
      <w:pPr>
        <w:pStyle w:val="Heading3"/>
      </w:pPr>
      <w:r>
        <w:t xml:space="preserve">For Reference and Review:</w:t>
      </w:r>
    </w:p>
    <w:p>
      <w:pPr>
        <w:numPr>
          <w:ilvl w:val="0"/>
          <w:numId w:val="1001"/>
        </w:numPr>
        <w:pStyle w:val="Compact"/>
      </w:pPr>
      <w:r>
        <w:rPr>
          <w:bCs/>
          <w:b/>
        </w:rPr>
        <w:t xml:space="preserve">Start with:</w:t>
      </w:r>
      <w:r>
        <w:t xml:space="preserve"> </w:t>
      </w:r>
      <w:r>
        <w:rPr>
          <w:rStyle w:val="VerbatimChar"/>
        </w:rPr>
        <w:t xml:space="preserve">System_Security_Plan_v1.4.docx</w:t>
      </w:r>
      <w:r>
        <w:t xml:space="preserve"> </w:t>
      </w:r>
      <w:r>
        <w:t xml:space="preserve">(base document)</w:t>
      </w:r>
    </w:p>
    <w:p>
      <w:pPr>
        <w:numPr>
          <w:ilvl w:val="0"/>
          <w:numId w:val="1001"/>
        </w:numPr>
        <w:pStyle w:val="Compact"/>
      </w:pPr>
      <w:r>
        <w:rPr>
          <w:bCs/>
          <w:b/>
        </w:rPr>
        <w:t xml:space="preserve">Then review:</w:t>
      </w:r>
      <w:r>
        <w:t xml:space="preserve"> </w:t>
      </w:r>
      <w:r>
        <w:rPr>
          <w:rStyle w:val="VerbatimChar"/>
        </w:rPr>
        <w:t xml:space="preserve">SSP_Update_11-02-25.docx</w:t>
      </w:r>
      <w:r>
        <w:t xml:space="preserve"> </w:t>
      </w:r>
      <w:r>
        <w:t xml:space="preserve">(policy updates)</w:t>
      </w:r>
    </w:p>
    <w:p>
      <w:pPr>
        <w:numPr>
          <w:ilvl w:val="0"/>
          <w:numId w:val="1001"/>
        </w:numPr>
        <w:pStyle w:val="Compact"/>
      </w:pPr>
      <w:r>
        <w:t xml:space="preserve">Both documents together constitute the complete Version 1.4 SSP</w:t>
      </w:r>
    </w:p>
    <w:bookmarkEnd w:id="23"/>
    <w:bookmarkStart w:id="24" w:name="for-sprscmmc-assessment"/>
    <w:p>
      <w:pPr>
        <w:pStyle w:val="Heading3"/>
      </w:pPr>
      <w:r>
        <w:t xml:space="preserve">For SPRS/CMMC Assessment:</w:t>
      </w:r>
    </w:p>
    <w:p>
      <w:pPr>
        <w:numPr>
          <w:ilvl w:val="0"/>
          <w:numId w:val="1002"/>
        </w:numPr>
        <w:pStyle w:val="Compact"/>
      </w:pPr>
      <w:r>
        <w:t xml:space="preserve">Use</w:t>
      </w:r>
      <w:r>
        <w:t xml:space="preserve"> </w:t>
      </w:r>
      <w:r>
        <w:rPr>
          <w:bCs/>
          <w:b/>
        </w:rPr>
        <w:t xml:space="preserve">SSP_Update_11-02-25.docx</w:t>
      </w:r>
      <w:r>
        <w:t xml:space="preserve"> </w:t>
      </w:r>
      <w:r>
        <w:t xml:space="preserve">to reference policy implementations</w:t>
      </w:r>
    </w:p>
    <w:p>
      <w:pPr>
        <w:numPr>
          <w:ilvl w:val="0"/>
          <w:numId w:val="1002"/>
        </w:numPr>
        <w:pStyle w:val="Compact"/>
      </w:pPr>
      <w:r>
        <w:t xml:space="preserve">Cite specific sections from both documents as needed</w:t>
      </w:r>
    </w:p>
    <w:p>
      <w:pPr>
        <w:numPr>
          <w:ilvl w:val="0"/>
          <w:numId w:val="1002"/>
        </w:numPr>
        <w:pStyle w:val="Compact"/>
      </w:pPr>
      <w:r>
        <w:t xml:space="preserve">The policy update document contains all Version 1.4 changes</w:t>
      </w:r>
    </w:p>
    <w:bookmarkEnd w:id="24"/>
    <w:bookmarkStart w:id="25" w:name="Xd6847abcddf2a3437da8a9507429d7d5a97df8e"/>
    <w:p>
      <w:pPr>
        <w:pStyle w:val="Heading3"/>
      </w:pPr>
      <w:r>
        <w:t xml:space="preserve">To Create Single Merged Document (Optional):</w:t>
      </w:r>
    </w:p>
    <w:p>
      <w:pPr>
        <w:pStyle w:val="FirstParagraph"/>
      </w:pPr>
      <w:r>
        <w:t xml:space="preserve">If you need a single merged SSP document:</w:t>
      </w:r>
    </w:p>
    <w:p>
      <w:pPr>
        <w:numPr>
          <w:ilvl w:val="0"/>
          <w:numId w:val="1003"/>
        </w:numPr>
        <w:pStyle w:val="Compact"/>
      </w:pPr>
      <w:r>
        <w:t xml:space="preserve">Open</w:t>
      </w:r>
      <w:r>
        <w:t xml:space="preserve"> </w:t>
      </w:r>
      <w:r>
        <w:rPr>
          <w:rStyle w:val="VerbatimChar"/>
        </w:rPr>
        <w:t xml:space="preserve">System_Security_Plan_v1.4.docx</w:t>
      </w:r>
      <w:r>
        <w:t xml:space="preserve"> </w:t>
      </w:r>
      <w:r>
        <w:t xml:space="preserve">in Word/LibreOffice</w:t>
      </w:r>
    </w:p>
    <w:p>
      <w:pPr>
        <w:numPr>
          <w:ilvl w:val="0"/>
          <w:numId w:val="1003"/>
        </w:numPr>
        <w:pStyle w:val="Compact"/>
      </w:pPr>
      <w:r>
        <w:t xml:space="preserve">Update header: Change</w:t>
      </w:r>
      <w:r>
        <w:t xml:space="preserve"> </w:t>
      </w:r>
      <w:r>
        <w:t xml:space="preserve">“</w:t>
      </w:r>
      <w:r>
        <w:t xml:space="preserve">Version 1.3</w:t>
      </w:r>
      <w:r>
        <w:t xml:space="preserve">”</w:t>
      </w:r>
      <w:r>
        <w:t xml:space="preserve"> </w:t>
      </w:r>
      <w:r>
        <w:t xml:space="preserve">to</w:t>
      </w:r>
      <w:r>
        <w:t xml:space="preserve"> </w:t>
      </w:r>
      <w:r>
        <w:t xml:space="preserve">“</w:t>
      </w:r>
      <w:r>
        <w:t xml:space="preserve">Version 1.4</w:t>
      </w:r>
      <w:r>
        <w:t xml:space="preserve">”</w:t>
      </w:r>
      <w:r>
        <w:t xml:space="preserve">, Date to</w:t>
      </w:r>
      <w:r>
        <w:t xml:space="preserve"> </w:t>
      </w:r>
      <w:r>
        <w:t xml:space="preserve">“</w:t>
      </w:r>
      <w:r>
        <w:t xml:space="preserve">November 2, 2025</w:t>
      </w:r>
      <w:r>
        <w:t xml:space="preserve">”</w:t>
      </w:r>
    </w:p>
    <w:p>
      <w:pPr>
        <w:numPr>
          <w:ilvl w:val="0"/>
          <w:numId w:val="1003"/>
        </w:numPr>
        <w:pStyle w:val="Compact"/>
      </w:pPr>
      <w:r>
        <w:t xml:space="preserve">Add Version 1.4 entry to Document Revision History (from SSP_Update document)</w:t>
      </w:r>
    </w:p>
    <w:p>
      <w:pPr>
        <w:numPr>
          <w:ilvl w:val="0"/>
          <w:numId w:val="1003"/>
        </w:numPr>
        <w:pStyle w:val="Compact"/>
      </w:pPr>
      <w:r>
        <w:t xml:space="preserve">Navigate to Section 4 (Security Control Implementation)</w:t>
      </w:r>
    </w:p>
    <w:p>
      <w:pPr>
        <w:numPr>
          <w:ilvl w:val="0"/>
          <w:numId w:val="1003"/>
        </w:numPr>
        <w:pStyle w:val="Compact"/>
      </w:pPr>
      <w:r>
        <w:t xml:space="preserve">Update these sections with content from SSP_Update document:</w:t>
      </w:r>
    </w:p>
    <w:p>
      <w:pPr>
        <w:numPr>
          <w:ilvl w:val="1"/>
          <w:numId w:val="1004"/>
        </w:numPr>
        <w:pStyle w:val="Compact"/>
      </w:pPr>
      <w:r>
        <w:t xml:space="preserve">Section 4.1 (Access Control) - Add AUP policy reference</w:t>
      </w:r>
    </w:p>
    <w:p>
      <w:pPr>
        <w:numPr>
          <w:ilvl w:val="1"/>
          <w:numId w:val="1004"/>
        </w:numPr>
        <w:pStyle w:val="Compact"/>
      </w:pPr>
      <w:r>
        <w:t xml:space="preserve">Section 4.6 (Incident Response) - Replace with updated IR content</w:t>
      </w:r>
    </w:p>
    <w:p>
      <w:pPr>
        <w:numPr>
          <w:ilvl w:val="1"/>
          <w:numId w:val="1004"/>
        </w:numPr>
        <w:pStyle w:val="Compact"/>
      </w:pPr>
      <w:r>
        <w:t xml:space="preserve">Section 4.8 (Media Protection) - Replace with updated MP content</w:t>
      </w:r>
    </w:p>
    <w:p>
      <w:pPr>
        <w:numPr>
          <w:ilvl w:val="1"/>
          <w:numId w:val="1004"/>
        </w:numPr>
        <w:pStyle w:val="Compact"/>
      </w:pPr>
      <w:r>
        <w:t xml:space="preserve">Section 4.9 (Physical Protection) - Replace with updated PE content</w:t>
      </w:r>
    </w:p>
    <w:p>
      <w:pPr>
        <w:numPr>
          <w:ilvl w:val="1"/>
          <w:numId w:val="1004"/>
        </w:numPr>
        <w:pStyle w:val="Compact"/>
      </w:pPr>
      <w:r>
        <w:t xml:space="preserve">Section 4.10 (Personnel Security) - Replace with updated PS content</w:t>
      </w:r>
    </w:p>
    <w:p>
      <w:pPr>
        <w:numPr>
          <w:ilvl w:val="1"/>
          <w:numId w:val="1004"/>
        </w:numPr>
        <w:pStyle w:val="Compact"/>
      </w:pPr>
      <w:r>
        <w:t xml:space="preserve">Section 4.11 (Risk Assessment) - Replace with updated RA content</w:t>
      </w:r>
    </w:p>
    <w:p>
      <w:pPr>
        <w:numPr>
          <w:ilvl w:val="1"/>
          <w:numId w:val="1004"/>
        </w:numPr>
        <w:pStyle w:val="Compact"/>
      </w:pPr>
      <w:r>
        <w:t xml:space="preserve">Section 4.14 (System and Information Integrity) - Replace with updated SI content</w:t>
      </w:r>
    </w:p>
    <w:p>
      <w:pPr>
        <w:numPr>
          <w:ilvl w:val="0"/>
          <w:numId w:val="1003"/>
        </w:numPr>
        <w:pStyle w:val="Compact"/>
      </w:pPr>
      <w:r>
        <w:t xml:space="preserve">Replace Section 6.1 (Policy Framework) with updated content from SSP_Update</w:t>
      </w:r>
    </w:p>
    <w:p>
      <w:pPr>
        <w:numPr>
          <w:ilvl w:val="0"/>
          <w:numId w:val="1003"/>
        </w:numPr>
        <w:pStyle w:val="Compact"/>
      </w:pPr>
      <w:r>
        <w:t xml:space="preserve">Replace Section 10 (POA&amp;M) with updated content from SSP_Update</w:t>
      </w:r>
    </w:p>
    <w:p>
      <w:pPr>
        <w:numPr>
          <w:ilvl w:val="0"/>
          <w:numId w:val="1003"/>
        </w:numPr>
        <w:pStyle w:val="Compact"/>
      </w:pPr>
      <w:r>
        <w:t xml:space="preserve">Update Section 11 (Implementation Metrics) to 98% complete</w:t>
      </w:r>
    </w:p>
    <w:p>
      <w:pPr>
        <w:numPr>
          <w:ilvl w:val="0"/>
          <w:numId w:val="1003"/>
        </w:numPr>
        <w:pStyle w:val="Compact"/>
      </w:pPr>
      <w:r>
        <w:t xml:space="preserve">Add Appendix: Policy Document References from SSP_Update</w:t>
      </w:r>
    </w:p>
    <w:p>
      <w:pPr>
        <w:numPr>
          <w:ilvl w:val="0"/>
          <w:numId w:val="1003"/>
        </w:numPr>
        <w:pStyle w:val="Compact"/>
      </w:pPr>
      <w:r>
        <w:t xml:space="preserve">Save as:</w:t>
      </w:r>
      <w:r>
        <w:t xml:space="preserve"> </w:t>
      </w:r>
      <w:r>
        <w:rPr>
          <w:rStyle w:val="VerbatimChar"/>
        </w:rPr>
        <w:t xml:space="preserve">System_Security_Plan_v1.4_Complete.docx</w:t>
      </w:r>
    </w:p>
    <w:p>
      <w:r>
        <w:pict>
          <v:rect style="width:0;height:1.5pt" o:hralign="center" o:hrstd="t" o:hr="t"/>
        </w:pict>
      </w:r>
    </w:p>
    <w:bookmarkEnd w:id="25"/>
    <w:bookmarkEnd w:id="26"/>
    <w:bookmarkStart w:id="27" w:name="key-version-1.4-changes"/>
    <w:p>
      <w:pPr>
        <w:pStyle w:val="Heading2"/>
      </w:pPr>
      <w:r>
        <w:t xml:space="preserve">Key Version 1.4 Changes</w:t>
      </w:r>
    </w:p>
    <w:p>
      <w:pPr>
        <w:pStyle w:val="FirstParagraph"/>
      </w:pPr>
      <w:r>
        <w:rPr>
          <w:bCs/>
          <w:b/>
        </w:rPr>
        <w:t xml:space="preserve">Policy Documentation Package:</w:t>
      </w:r>
      <w:r>
        <w:t xml:space="preserve"> </w:t>
      </w:r>
      <w:r>
        <w:t xml:space="preserve">- 6 comprehensive policy documents (TCC-IRP-001, TCC-RA-001, TCC-PS-001, TCC-PE-MP-001, TCC-SI-001, TCC-AUP-001)</w:t>
      </w:r>
      <w:r>
        <w:t xml:space="preserve"> </w:t>
      </w:r>
      <w:r>
        <w:t xml:space="preserve">- 50+ controls formally documented across 11 families</w:t>
      </w:r>
      <w:r>
        <w:t xml:space="preserve"> </w:t>
      </w:r>
      <w:r>
        <w:t xml:space="preserve">- All policies effective November 2, 2025</w:t>
      </w:r>
    </w:p>
    <w:p>
      <w:pPr>
        <w:pStyle w:val="BodyText"/>
      </w:pPr>
      <w:r>
        <w:rPr>
          <w:bCs/>
          <w:b/>
        </w:rPr>
        <w:t xml:space="preserve">Implementation Status:</w:t>
      </w:r>
      <w:r>
        <w:t xml:space="preserve"> </w:t>
      </w:r>
      <w:r>
        <w:t xml:space="preserve">- Increased from 96% to 98% complete</w:t>
      </w:r>
      <w:r>
        <w:t xml:space="preserve"> </w:t>
      </w:r>
      <w:r>
        <w:t xml:space="preserve">- All major control families now have policy documentation</w:t>
      </w:r>
      <w:r>
        <w:t xml:space="preserve"> </w:t>
      </w:r>
      <w:r>
        <w:t xml:space="preserve">- Estimated SPRS score improvement: +90 to +110 points</w:t>
      </w:r>
    </w:p>
    <w:p>
      <w:pPr>
        <w:pStyle w:val="BodyText"/>
      </w:pPr>
      <w:r>
        <w:rPr>
          <w:bCs/>
          <w:b/>
        </w:rPr>
        <w:t xml:space="preserve">POA&amp;M Updates:</w:t>
      </w:r>
      <w:r>
        <w:t xml:space="preserve"> </w:t>
      </w:r>
      <w:r>
        <w:t xml:space="preserve">- 14 policy-related items marked COMPLETED</w:t>
      </w:r>
      <w:r>
        <w:t xml:space="preserve"> </w:t>
      </w:r>
      <w:r>
        <w:t xml:space="preserve">- 10 new items added for remaining implementation work</w:t>
      </w:r>
      <w:r>
        <w:t xml:space="preserve"> </w:t>
      </w:r>
      <w:r>
        <w:t xml:space="preserve">- Clear timelines: Q4 2025 and Q1 2026 targets</w:t>
      </w:r>
    </w:p>
    <w:p>
      <w:pPr>
        <w:pStyle w:val="BodyText"/>
      </w:pPr>
      <w:r>
        <w:rPr>
          <w:bCs/>
          <w:b/>
        </w:rPr>
        <w:t xml:space="preserve">Authorization:</w:t>
      </w:r>
      <w:r>
        <w:t xml:space="preserve"> </w:t>
      </w:r>
      <w:r>
        <w:t xml:space="preserve">- Recommend full authorization effective January 1, 2026</w:t>
      </w:r>
      <w:r>
        <w:t xml:space="preserve"> </w:t>
      </w:r>
      <w:r>
        <w:t xml:space="preserve">- 3-year authorization period through December 31, 2028</w:t>
      </w:r>
      <w:r>
        <w:t xml:space="preserve"> </w:t>
      </w:r>
      <w:r>
        <w:t xml:space="preserve">- Minimal residual risk with documented acceptance</w:t>
      </w:r>
    </w:p>
    <w:p>
      <w:r>
        <w:pict>
          <v:rect style="width:0;height:1.5pt" o:hralign="center" o:hrstd="t" o:hr="t"/>
        </w:pict>
      </w:r>
    </w:p>
    <w:bookmarkEnd w:id="27"/>
    <w:bookmarkStart w:id="28" w:name="X17e643269f750a82212a152ea09da05e18a7865"/>
    <w:p>
      <w:pPr>
        <w:pStyle w:val="Heading2"/>
      </w:pPr>
      <w:r>
        <w:t xml:space="preserve">Policy Documents Referenced in Version 1.4</w:t>
      </w:r>
    </w:p>
    <w:p>
      <w:pPr>
        <w:pStyle w:val="FirstParagraph"/>
      </w:pPr>
      <w:r>
        <w:t xml:space="preserve">All policies located at:</w:t>
      </w:r>
      <w:r>
        <w:t xml:space="preserve"> </w:t>
      </w:r>
      <w:r>
        <w:rPr>
          <w:rStyle w:val="VerbatimChar"/>
        </w:rPr>
        <w:t xml:space="preserve">/backup/personnel-security/policies/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Policy ID</w:t>
            </w:r>
          </w:p>
        </w:tc>
        <w:tc>
          <w:tcPr/>
          <w:p>
            <w:pPr>
              <w:pStyle w:val="Compact"/>
              <w:jc w:val="left"/>
            </w:pPr>
            <w:r>
              <w:t xml:space="preserve">Document Name</w:t>
            </w:r>
          </w:p>
        </w:tc>
        <w:tc>
          <w:tcPr/>
          <w:p>
            <w:pPr>
              <w:pStyle w:val="Compact"/>
              <w:jc w:val="left"/>
            </w:pPr>
            <w:r>
              <w:t xml:space="preserve">Size</w:t>
            </w:r>
          </w:p>
        </w:tc>
        <w:tc>
          <w:tcPr/>
          <w:p>
            <w:pPr>
              <w:pStyle w:val="Compact"/>
              <w:jc w:val="left"/>
            </w:pPr>
            <w:r>
              <w:t xml:space="preserve">Effective Date</w:t>
            </w:r>
          </w:p>
        </w:tc>
      </w:tr>
      <w:tr>
        <w:tc>
          <w:tcPr/>
          <w:p>
            <w:pPr>
              <w:pStyle w:val="Compact"/>
              <w:jc w:val="left"/>
            </w:pPr>
            <w:r>
              <w:t xml:space="preserve">TCC-IRP-001</w:t>
            </w:r>
          </w:p>
        </w:tc>
        <w:tc>
          <w:tcPr/>
          <w:p>
            <w:pPr>
              <w:pStyle w:val="Compact"/>
              <w:jc w:val="left"/>
            </w:pPr>
            <w:r>
              <w:t xml:space="preserve">Incident_Response_Policy_and_Procedures.docx</w:t>
            </w:r>
          </w:p>
        </w:tc>
        <w:tc>
          <w:tcPr/>
          <w:p>
            <w:pPr>
              <w:pStyle w:val="Compact"/>
              <w:jc w:val="left"/>
            </w:pPr>
            <w:r>
              <w:t xml:space="preserve">19KB</w:t>
            </w:r>
          </w:p>
        </w:tc>
        <w:tc>
          <w:tcPr/>
          <w:p>
            <w:pPr>
              <w:pStyle w:val="Compact"/>
              <w:jc w:val="left"/>
            </w:pPr>
            <w:r>
              <w:t xml:space="preserve">11/02/2025</w:t>
            </w:r>
          </w:p>
        </w:tc>
      </w:tr>
      <w:tr>
        <w:tc>
          <w:tcPr/>
          <w:p>
            <w:pPr>
              <w:pStyle w:val="Compact"/>
              <w:jc w:val="left"/>
            </w:pPr>
            <w:r>
              <w:t xml:space="preserve">TCC-RA-001</w:t>
            </w:r>
          </w:p>
        </w:tc>
        <w:tc>
          <w:tcPr/>
          <w:p>
            <w:pPr>
              <w:pStyle w:val="Compact"/>
              <w:jc w:val="left"/>
            </w:pPr>
            <w:r>
              <w:t xml:space="preserve">Risk_Management_Policy_and_Procedures.docx</w:t>
            </w:r>
          </w:p>
        </w:tc>
        <w:tc>
          <w:tcPr/>
          <w:p>
            <w:pPr>
              <w:pStyle w:val="Compact"/>
              <w:jc w:val="left"/>
            </w:pPr>
            <w:r>
              <w:t xml:space="preserve">25KB</w:t>
            </w:r>
          </w:p>
        </w:tc>
        <w:tc>
          <w:tcPr/>
          <w:p>
            <w:pPr>
              <w:pStyle w:val="Compact"/>
              <w:jc w:val="left"/>
            </w:pPr>
            <w:r>
              <w:t xml:space="preserve">11/02/2025</w:t>
            </w:r>
          </w:p>
        </w:tc>
      </w:tr>
      <w:tr>
        <w:tc>
          <w:tcPr/>
          <w:p>
            <w:pPr>
              <w:pStyle w:val="Compact"/>
              <w:jc w:val="left"/>
            </w:pPr>
            <w:r>
              <w:t xml:space="preserve">TCC-PS-001</w:t>
            </w:r>
          </w:p>
        </w:tc>
        <w:tc>
          <w:tcPr/>
          <w:p>
            <w:pPr>
              <w:pStyle w:val="Compact"/>
              <w:jc w:val="left"/>
            </w:pPr>
            <w:r>
              <w:t xml:space="preserve">Personnel_Security_Policy.docx</w:t>
            </w:r>
          </w:p>
        </w:tc>
        <w:tc>
          <w:tcPr/>
          <w:p>
            <w:pPr>
              <w:pStyle w:val="Compact"/>
              <w:jc w:val="left"/>
            </w:pPr>
            <w:r>
              <w:t xml:space="preserve">24KB</w:t>
            </w:r>
          </w:p>
        </w:tc>
        <w:tc>
          <w:tcPr/>
          <w:p>
            <w:pPr>
              <w:pStyle w:val="Compact"/>
              <w:jc w:val="left"/>
            </w:pPr>
            <w:r>
              <w:t xml:space="preserve">11/02/2025</w:t>
            </w:r>
          </w:p>
        </w:tc>
      </w:tr>
      <w:tr>
        <w:tc>
          <w:tcPr/>
          <w:p>
            <w:pPr>
              <w:pStyle w:val="Compact"/>
              <w:jc w:val="left"/>
            </w:pPr>
            <w:r>
              <w:t xml:space="preserve">TCC-PE-MP-001</w:t>
            </w:r>
          </w:p>
        </w:tc>
        <w:tc>
          <w:tcPr/>
          <w:p>
            <w:pPr>
              <w:pStyle w:val="Compact"/>
              <w:jc w:val="left"/>
            </w:pPr>
            <w:r>
              <w:t xml:space="preserve">Physical_and_Media_Protection_Policy.docx</w:t>
            </w:r>
          </w:p>
        </w:tc>
        <w:tc>
          <w:tcPr/>
          <w:p>
            <w:pPr>
              <w:pStyle w:val="Compact"/>
              <w:jc w:val="left"/>
            </w:pPr>
            <w:r>
              <w:t xml:space="preserve">22KB</w:t>
            </w:r>
          </w:p>
        </w:tc>
        <w:tc>
          <w:tcPr/>
          <w:p>
            <w:pPr>
              <w:pStyle w:val="Compact"/>
              <w:jc w:val="left"/>
            </w:pPr>
            <w:r>
              <w:t xml:space="preserve">11/02/2025</w:t>
            </w:r>
          </w:p>
        </w:tc>
      </w:tr>
      <w:tr>
        <w:tc>
          <w:tcPr/>
          <w:p>
            <w:pPr>
              <w:pStyle w:val="Compact"/>
              <w:jc w:val="left"/>
            </w:pPr>
            <w:r>
              <w:t xml:space="preserve">TCC-SI-001</w:t>
            </w:r>
          </w:p>
        </w:tc>
        <w:tc>
          <w:tcPr/>
          <w:p>
            <w:pPr>
              <w:pStyle w:val="Compact"/>
              <w:jc w:val="left"/>
            </w:pPr>
            <w:r>
              <w:t xml:space="preserve">System_and_Information_Integrity_Policy.docx</w:t>
            </w:r>
          </w:p>
        </w:tc>
        <w:tc>
          <w:tcPr/>
          <w:p>
            <w:pPr>
              <w:pStyle w:val="Compact"/>
              <w:jc w:val="left"/>
            </w:pPr>
            <w:r>
              <w:t xml:space="preserve">21KB</w:t>
            </w:r>
          </w:p>
        </w:tc>
        <w:tc>
          <w:tcPr/>
          <w:p>
            <w:pPr>
              <w:pStyle w:val="Compact"/>
              <w:jc w:val="left"/>
            </w:pPr>
            <w:r>
              <w:t xml:space="preserve">11/02/2025</w:t>
            </w:r>
          </w:p>
        </w:tc>
      </w:tr>
      <w:tr>
        <w:tc>
          <w:tcPr/>
          <w:p>
            <w:pPr>
              <w:pStyle w:val="Compact"/>
              <w:jc w:val="left"/>
            </w:pPr>
            <w:r>
              <w:t xml:space="preserve">TCC-AUP-001</w:t>
            </w:r>
          </w:p>
        </w:tc>
        <w:tc>
          <w:tcPr/>
          <w:p>
            <w:pPr>
              <w:pStyle w:val="Compact"/>
              <w:jc w:val="left"/>
            </w:pPr>
            <w:r>
              <w:t xml:space="preserve">Acceptable_Use_Policy.docx</w:t>
            </w:r>
          </w:p>
        </w:tc>
        <w:tc>
          <w:tcPr/>
          <w:p>
            <w:pPr>
              <w:pStyle w:val="Compact"/>
              <w:jc w:val="left"/>
            </w:pPr>
            <w:r>
              <w:t xml:space="preserve">21KB</w:t>
            </w:r>
          </w:p>
        </w:tc>
        <w:tc>
          <w:tcPr/>
          <w:p>
            <w:pPr>
              <w:pStyle w:val="Compact"/>
              <w:jc w:val="left"/>
            </w:pPr>
            <w:r>
              <w:t xml:space="preserve">11/02/2025</w:t>
            </w:r>
          </w:p>
        </w:tc>
      </w:tr>
    </w:tbl>
    <w:p>
      <w:r>
        <w:pict>
          <v:rect style="width:0;height:1.5pt" o:hralign="center" o:hrstd="t" o:hr="t"/>
        </w:pict>
      </w:r>
    </w:p>
    <w:bookmarkEnd w:id="28"/>
    <w:bookmarkStart w:id="29" w:name="for-assessors-and-auditors"/>
    <w:p>
      <w:pPr>
        <w:pStyle w:val="Heading2"/>
      </w:pPr>
      <w:r>
        <w:t xml:space="preserve">For Assessors and Auditors</w:t>
      </w:r>
    </w:p>
    <w:p>
      <w:pPr>
        <w:pStyle w:val="FirstParagraph"/>
      </w:pPr>
      <w:r>
        <w:t xml:space="preserve">When reviewing The Contract Coach’s System Security Plan Version 1.4:</w:t>
      </w:r>
    </w:p>
    <w:p>
      <w:pPr>
        <w:numPr>
          <w:ilvl w:val="0"/>
          <w:numId w:val="1005"/>
        </w:numPr>
        <w:pStyle w:val="Compact"/>
      </w:pPr>
      <w:r>
        <w:rPr>
          <w:bCs/>
          <w:b/>
        </w:rPr>
        <w:t xml:space="preserve">Base technical implementation:</w:t>
      </w:r>
      <w:r>
        <w:t xml:space="preserve"> </w:t>
      </w:r>
      <w:r>
        <w:t xml:space="preserve">Reference</w:t>
      </w:r>
      <w:r>
        <w:t xml:space="preserve"> </w:t>
      </w:r>
      <w:r>
        <w:rPr>
          <w:rStyle w:val="VerbatimChar"/>
        </w:rPr>
        <w:t xml:space="preserve">System_Security_Plan_v1.4.docx</w:t>
      </w:r>
    </w:p>
    <w:p>
      <w:pPr>
        <w:numPr>
          <w:ilvl w:val="0"/>
          <w:numId w:val="1005"/>
        </w:numPr>
        <w:pStyle w:val="Compact"/>
      </w:pPr>
      <w:r>
        <w:rPr>
          <w:bCs/>
          <w:b/>
        </w:rPr>
        <w:t xml:space="preserve">Policy documentation:</w:t>
      </w:r>
      <w:r>
        <w:t xml:space="preserve"> </w:t>
      </w:r>
      <w:r>
        <w:t xml:space="preserve">Reference</w:t>
      </w:r>
      <w:r>
        <w:t xml:space="preserve"> </w:t>
      </w:r>
      <w:r>
        <w:rPr>
          <w:rStyle w:val="VerbatimChar"/>
        </w:rPr>
        <w:t xml:space="preserve">SSP_Update_11-02-25.docx</w:t>
      </w:r>
    </w:p>
    <w:p>
      <w:pPr>
        <w:numPr>
          <w:ilvl w:val="0"/>
          <w:numId w:val="1005"/>
        </w:numPr>
        <w:pStyle w:val="Compact"/>
      </w:pPr>
      <w:r>
        <w:rPr>
          <w:bCs/>
          <w:b/>
        </w:rPr>
        <w:t xml:space="preserve">Individual policies:</w:t>
      </w:r>
      <w:r>
        <w:t xml:space="preserve"> </w:t>
      </w:r>
      <w:r>
        <w:t xml:space="preserve">Reference policy documents in</w:t>
      </w:r>
      <w:r>
        <w:t xml:space="preserve"> </w:t>
      </w:r>
      <w:r>
        <w:rPr>
          <w:rStyle w:val="VerbatimChar"/>
        </w:rPr>
        <w:t xml:space="preserve">/backup/personnel-security/policies/</w:t>
      </w:r>
    </w:p>
    <w:p>
      <w:pPr>
        <w:numPr>
          <w:ilvl w:val="0"/>
          <w:numId w:val="1005"/>
        </w:numPr>
        <w:pStyle w:val="Compact"/>
      </w:pPr>
      <w:r>
        <w:rPr>
          <w:bCs/>
          <w:b/>
        </w:rPr>
        <w:t xml:space="preserve">Control mapping:</w:t>
      </w:r>
      <w:r>
        <w:t xml:space="preserve"> </w:t>
      </w:r>
      <w:r>
        <w:t xml:space="preserve">Reference</w:t>
      </w:r>
      <w:r>
        <w:t xml:space="preserve"> </w:t>
      </w:r>
      <w:r>
        <w:rPr>
          <w:rStyle w:val="VerbatimChar"/>
        </w:rPr>
        <w:t xml:space="preserve">Control_to_Policy_Quick_Reference.docx</w:t>
      </w:r>
    </w:p>
    <w:p>
      <w:pPr>
        <w:numPr>
          <w:ilvl w:val="0"/>
          <w:numId w:val="1005"/>
        </w:numPr>
        <w:pStyle w:val="Compact"/>
      </w:pPr>
      <w:r>
        <w:rPr>
          <w:bCs/>
          <w:b/>
        </w:rPr>
        <w:t xml:space="preserve">CMMC evidence:</w:t>
      </w:r>
      <w:r>
        <w:t xml:space="preserve"> </w:t>
      </w:r>
      <w:r>
        <w:t xml:space="preserve">Reference</w:t>
      </w:r>
      <w:r>
        <w:t xml:space="preserve"> </w:t>
      </w:r>
      <w:r>
        <w:rPr>
          <w:rStyle w:val="VerbatimChar"/>
        </w:rPr>
        <w:t xml:space="preserve">Evidence_Package_Summary.docx</w:t>
      </w:r>
    </w:p>
    <w:p>
      <w:pPr>
        <w:pStyle w:val="FirstParagraph"/>
      </w:pPr>
      <w:r>
        <w:t xml:space="preserve">All documents available in</w:t>
      </w:r>
      <w:r>
        <w:t xml:space="preserve"> </w:t>
      </w:r>
      <w:r>
        <w:rPr>
          <w:rStyle w:val="VerbatimChar"/>
        </w:rPr>
        <w:t xml:space="preserve">/home/dshannon/Documents/Claude/Artifacts/</w:t>
      </w:r>
      <w:r>
        <w:t xml:space="preserve"> </w:t>
      </w:r>
      <w:r>
        <w:t xml:space="preserve">directory.</w:t>
      </w:r>
    </w:p>
    <w:p>
      <w:r>
        <w:pict>
          <v:rect style="width:0;height:1.5pt" o:hralign="center" o:hrstd="t" o:hr="t"/>
        </w:pict>
      </w:r>
    </w:p>
    <w:bookmarkEnd w:id="29"/>
    <w:bookmarkStart w:id="30" w:name="document-control"/>
    <w:p>
      <w:pPr>
        <w:pStyle w:val="Heading2"/>
      </w:pPr>
      <w:r>
        <w:t xml:space="preserve">Document Control</w:t>
      </w:r>
    </w:p>
    <w:p>
      <w:pPr>
        <w:pStyle w:val="FirstParagraph"/>
      </w:pPr>
      <w:r>
        <w:rPr>
          <w:bCs/>
          <w:b/>
        </w:rPr>
        <w:t xml:space="preserve">Prepared By:</w:t>
      </w:r>
      <w:r>
        <w:t xml:space="preserve"> </w:t>
      </w:r>
      <w:r>
        <w:t xml:space="preserve">Donald E. Shannon, ISSO</w:t>
      </w:r>
      <w:r>
        <w:t xml:space="preserve"> </w:t>
      </w:r>
      <w:r>
        <w:rPr>
          <w:bCs/>
          <w:b/>
        </w:rPr>
        <w:t xml:space="preserve">Date:</w:t>
      </w:r>
      <w:r>
        <w:t xml:space="preserve"> </w:t>
      </w:r>
      <w:r>
        <w:t xml:space="preserve">November 2, 2025</w:t>
      </w:r>
      <w:r>
        <w:t xml:space="preserve"> </w:t>
      </w:r>
      <w:r>
        <w:rPr>
          <w:bCs/>
          <w:b/>
        </w:rPr>
        <w:t xml:space="preserve">Classification:</w:t>
      </w:r>
      <w:r>
        <w:t xml:space="preserve"> </w:t>
      </w:r>
      <w:r>
        <w:t xml:space="preserve">Controlled Unclassified Information (CUI)</w:t>
      </w:r>
      <w:r>
        <w:t xml:space="preserve"> </w:t>
      </w:r>
      <w:r>
        <w:rPr>
          <w:bCs/>
          <w:b/>
        </w:rPr>
        <w:t xml:space="preserve">Purpose:</w:t>
      </w:r>
      <w:r>
        <w:t xml:space="preserve"> </w:t>
      </w:r>
      <w:r>
        <w:t xml:space="preserve">Integration guide for SSP Version 1.4</w:t>
      </w:r>
    </w:p>
    <w:p>
      <w:r>
        <w:pict>
          <v:rect style="width:0;height:1.5pt" o:hralign="center" o:hrstd="t" o:hr="t"/>
        </w:pict>
      </w:r>
    </w:p>
    <w:p>
      <w:pPr>
        <w:pStyle w:val="FirstParagraph"/>
      </w:pPr>
      <w:r>
        <w:rPr>
          <w:iCs/>
          <w:i/>
        </w:rPr>
        <w:t xml:space="preserve">This integration note ensures assessors understand the complete Version 1.4 documentation package.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2025-11-02T16:41:07Z</dcterms:created>
  <dcterms:modified xsi:type="dcterms:W3CDTF">2025-11-02T16:41:07Z</dcterms:modified>
</cp:coreProperties>
</file>

<file path=docProps/custom.xml><?xml version="1.0" encoding="utf-8"?>
<Properties xmlns="http://schemas.openxmlformats.org/officeDocument/2006/custom-properties" xmlns:vt="http://schemas.openxmlformats.org/officeDocument/2006/docPropsVTypes"/>
</file>