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t xml:space="preserve">System Security Plan,  </w:t>
        <w:br/>
        <w:t xml:space="preserve">Cybersecurity Policies, </w:t>
        <w:br/>
        <w:t>and Implementing Procedures.</w:t>
      </w:r>
    </w:p>
    <w:p>
      <w:pPr>
        <w:pStyle w:val="Title"/>
        <w:jc w:val="center"/>
        <w:rPr/>
      </w:pPr>
      <w:r>
        <w:rPr/>
      </w:r>
    </w:p>
    <w:p>
      <w:pPr>
        <w:pStyle w:val="Title"/>
        <w:jc w:val="center"/>
        <w:rPr/>
      </w:pPr>
      <w:r>
        <w:rPr/>
      </w:r>
    </w:p>
    <w:p>
      <w:pPr>
        <w:pStyle w:val="Title"/>
        <w:jc w:val="center"/>
        <w:rPr/>
      </w:pPr>
      <w:r>
        <w:rPr/>
        <w:drawing>
          <wp:inline distT="0" distB="0" distL="0" distR="0">
            <wp:extent cx="3810000" cy="23050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10000" cy="2305050"/>
                    </a:xfrm>
                    <a:prstGeom prst="rect">
                      <a:avLst/>
                    </a:prstGeom>
                  </pic:spPr>
                </pic:pic>
              </a:graphicData>
            </a:graphic>
          </wp:inline>
        </w:drawing>
      </w:r>
    </w:p>
    <w:p>
      <w:pPr>
        <w:pStyle w:val="Subtitle"/>
        <w:jc w:val="center"/>
        <w:rPr>
          <w:sz w:val="28"/>
          <w:szCs w:val="28"/>
        </w:rPr>
      </w:pPr>
      <w:r>
        <w:rPr/>
        <w:t>Albuquerque, NM</w:t>
      </w:r>
    </w:p>
    <w:p>
      <w:pPr>
        <w:pStyle w:val="Normal"/>
        <w:jc w:val="center"/>
        <w:rPr>
          <w:sz w:val="28"/>
          <w:szCs w:val="28"/>
        </w:rPr>
      </w:pPr>
      <w:r>
        <w:rPr>
          <w:sz w:val="28"/>
          <w:szCs w:val="28"/>
        </w:rPr>
        <w:t>(505) 259-8485</w:t>
      </w:r>
    </w:p>
    <w:p>
      <w:pPr>
        <w:pStyle w:val="Normal"/>
        <w:jc w:val="center"/>
        <w:rPr>
          <w:sz w:val="28"/>
          <w:szCs w:val="28"/>
        </w:rPr>
      </w:pPr>
      <w:hyperlink r:id="rId3" w:tgtFrame="http://Contract">
        <w:r>
          <w:rPr>
            <w:rStyle w:val="InternetLink"/>
            <w:sz w:val="28"/>
            <w:szCs w:val="28"/>
          </w:rPr>
          <w:t>http://Contract</w:t>
        </w:r>
      </w:hyperlink>
      <w:r>
        <w:rPr>
          <w:rStyle w:val="InternetLink"/>
          <w:sz w:val="28"/>
          <w:szCs w:val="28"/>
          <w:lang w:val="en-US"/>
        </w:rPr>
        <w:t>-Coach.com</w:t>
      </w:r>
    </w:p>
    <w:p>
      <w:pPr>
        <w:pStyle w:val="Normal"/>
        <w:jc w:val="center"/>
        <w:rPr/>
      </w:pPr>
      <w:r>
        <w:rPr/>
      </w:r>
    </w:p>
    <w:p>
      <w:pPr>
        <w:pStyle w:val="Title"/>
        <w:jc w:val="center"/>
        <w:rPr/>
      </w:pPr>
      <w:r>
        <w:rPr/>
      </w:r>
      <w:r>
        <w:br w:type="page"/>
      </w:r>
    </w:p>
    <w:p>
      <w:pPr>
        <w:pStyle w:val="Normal"/>
        <w:rPr/>
      </w:pPr>
      <w:r>
        <w:rPr/>
      </w:r>
    </w:p>
    <w:sdt>
      <w:sdtPr>
        <w:docPartObj>
          <w:docPartGallery w:val="Table of Contents"/>
          <w:docPartUnique w:val="true"/>
        </w:docPartObj>
      </w:sdtPr>
      <w:sdtContent>
        <w:p>
          <w:pPr>
            <w:pStyle w:val="Contents1"/>
            <w:tabs>
              <w:tab w:val="clear" w:pos="708"/>
              <w:tab w:val="right" w:pos="9360" w:leader="dot"/>
            </w:tabs>
            <w:rPr/>
          </w:pPr>
          <w:r>
            <w:fldChar w:fldCharType="begin"/>
          </w:r>
          <w:r>
            <w:rPr>
              <w:rStyle w:val="IndexLink"/>
              <w:b/>
              <w:rFonts w:eastAsia="Arial" w:cs="Arial"/>
            </w:rPr>
            <w:instrText> TOC \o "1-9" \h</w:instrText>
          </w:r>
          <w:r>
            <w:rPr>
              <w:rStyle w:val="IndexLink"/>
              <w:b/>
              <w:rFonts w:eastAsia="Arial" w:cs="Arial"/>
            </w:rPr>
            <w:fldChar w:fldCharType="separate"/>
          </w:r>
          <w:hyperlink w:anchor="_Toc1" w:tgtFrame="#_Toc1">
            <w:r>
              <w:rPr>
                <w:rStyle w:val="IndexLink"/>
                <w:rFonts w:eastAsia="Arial" w:cs="Arial"/>
                <w:b/>
              </w:rPr>
              <w:t>EXECUTIVE SUMMARY</w:t>
            </w:r>
            <w:r>
              <w:rPr>
                <w:webHidden/>
              </w:rPr>
              <w:fldChar w:fldCharType="begin"/>
            </w:r>
            <w:r>
              <w:rPr>
                <w:webHidden/>
              </w:rPr>
              <w:instrText>PAGEREF _Toc1 \h</w:instrText>
            </w:r>
            <w:r>
              <w:rPr>
                <w:webHidden/>
              </w:rPr>
              <w:fldChar w:fldCharType="separate"/>
            </w:r>
            <w:r>
              <w:rPr>
                <w:rStyle w:val="IndexLink"/>
              </w:rPr>
              <w:tab/>
              <w:t>3</w:t>
            </w:r>
            <w:r>
              <w:rPr>
                <w:webHidden/>
              </w:rPr>
              <w:fldChar w:fldCharType="end"/>
            </w:r>
          </w:hyperlink>
        </w:p>
        <w:p>
          <w:pPr>
            <w:pStyle w:val="Contents1"/>
            <w:tabs>
              <w:tab w:val="clear" w:pos="708"/>
              <w:tab w:val="right" w:pos="9360" w:leader="dot"/>
            </w:tabs>
            <w:rPr/>
          </w:pPr>
          <w:hyperlink w:anchor="_Toc2" w:tgtFrame="#_Toc2">
            <w:r>
              <w:rPr>
                <w:rStyle w:val="IndexLink"/>
                <w:rFonts w:eastAsia="Arial" w:cs="Arial"/>
                <w:b/>
              </w:rPr>
              <w:t>SYSTEM OVERVIEW</w:t>
            </w:r>
            <w:r>
              <w:rPr>
                <w:webHidden/>
              </w:rPr>
              <w:fldChar w:fldCharType="begin"/>
            </w:r>
            <w:r>
              <w:rPr>
                <w:webHidden/>
              </w:rPr>
              <w:instrText>PAGEREF _Toc2 \h</w:instrText>
            </w:r>
            <w:r>
              <w:rPr>
                <w:webHidden/>
              </w:rPr>
              <w:fldChar w:fldCharType="separate"/>
            </w:r>
            <w:r>
              <w:rPr>
                <w:rStyle w:val="IndexLink"/>
              </w:rPr>
              <w:tab/>
              <w:t>3</w:t>
            </w:r>
            <w:r>
              <w:rPr>
                <w:webHidden/>
              </w:rPr>
              <w:fldChar w:fldCharType="end"/>
            </w:r>
          </w:hyperlink>
        </w:p>
        <w:p>
          <w:pPr>
            <w:pStyle w:val="Contents1"/>
            <w:tabs>
              <w:tab w:val="clear" w:pos="708"/>
              <w:tab w:val="right" w:pos="9360" w:leader="dot"/>
            </w:tabs>
            <w:rPr/>
          </w:pPr>
          <w:hyperlink w:anchor="_Toc3" w:tgtFrame="#_Toc3">
            <w:r>
              <w:rPr>
                <w:rStyle w:val="IndexLink"/>
                <w:rFonts w:eastAsia="Arial" w:cs="Arial"/>
                <w:b/>
              </w:rPr>
              <w:t>COMPLIANCE STATEMENT</w:t>
            </w:r>
            <w:r>
              <w:rPr>
                <w:webHidden/>
              </w:rPr>
              <w:fldChar w:fldCharType="begin"/>
            </w:r>
            <w:r>
              <w:rPr>
                <w:webHidden/>
              </w:rPr>
              <w:instrText>PAGEREF _Toc3 \h</w:instrText>
            </w:r>
            <w:r>
              <w:rPr>
                <w:webHidden/>
              </w:rPr>
              <w:fldChar w:fldCharType="separate"/>
            </w:r>
            <w:r>
              <w:rPr>
                <w:rStyle w:val="IndexLink"/>
              </w:rPr>
              <w:tab/>
              <w:t>4</w:t>
            </w:r>
            <w:r>
              <w:rPr>
                <w:webHidden/>
              </w:rPr>
              <w:fldChar w:fldCharType="end"/>
            </w:r>
          </w:hyperlink>
        </w:p>
        <w:p>
          <w:pPr>
            <w:pStyle w:val="Contents1"/>
            <w:tabs>
              <w:tab w:val="clear" w:pos="708"/>
              <w:tab w:val="right" w:pos="9360" w:leader="dot"/>
            </w:tabs>
            <w:rPr/>
          </w:pPr>
          <w:hyperlink w:anchor="_Toc4" w:tgtFrame="#_Toc4">
            <w:r>
              <w:rPr>
                <w:rStyle w:val="IndexLink"/>
                <w:rFonts w:eastAsia="Arial" w:cs="Arial"/>
                <w:b/>
              </w:rPr>
              <w:t>PLAN OF ACTION AND MILESTONES</w:t>
            </w:r>
            <w:r>
              <w:rPr>
                <w:webHidden/>
              </w:rPr>
              <w:fldChar w:fldCharType="begin"/>
            </w:r>
            <w:r>
              <w:rPr>
                <w:webHidden/>
              </w:rPr>
              <w:instrText>PAGEREF _Toc4 \h</w:instrText>
            </w:r>
            <w:r>
              <w:rPr>
                <w:webHidden/>
              </w:rPr>
              <w:fldChar w:fldCharType="separate"/>
            </w:r>
            <w:r>
              <w:rPr>
                <w:rStyle w:val="IndexLink"/>
              </w:rPr>
              <w:tab/>
              <w:t>5</w:t>
            </w:r>
            <w:r>
              <w:rPr>
                <w:webHidden/>
              </w:rPr>
              <w:fldChar w:fldCharType="end"/>
            </w:r>
          </w:hyperlink>
        </w:p>
        <w:p>
          <w:pPr>
            <w:pStyle w:val="Contents1"/>
            <w:tabs>
              <w:tab w:val="clear" w:pos="708"/>
              <w:tab w:val="right" w:pos="9360" w:leader="dot"/>
            </w:tabs>
            <w:rPr/>
          </w:pPr>
          <w:hyperlink w:anchor="_Toc5" w:tgtFrame="#_Toc5">
            <w:r>
              <w:rPr>
                <w:rStyle w:val="IndexLink"/>
                <w:rFonts w:eastAsia="Arial" w:cs="Arial"/>
                <w:b/>
              </w:rPr>
              <w:t>Introduction</w:t>
            </w:r>
            <w:r>
              <w:rPr>
                <w:webHidden/>
              </w:rPr>
              <w:fldChar w:fldCharType="begin"/>
            </w:r>
            <w:r>
              <w:rPr>
                <w:webHidden/>
              </w:rPr>
              <w:instrText>PAGEREF _Toc5 \h</w:instrText>
            </w:r>
            <w:r>
              <w:rPr>
                <w:webHidden/>
              </w:rPr>
              <w:fldChar w:fldCharType="separate"/>
            </w:r>
            <w:r>
              <w:rPr>
                <w:rStyle w:val="IndexLink"/>
              </w:rPr>
              <w:tab/>
              <w:t>6</w:t>
            </w:r>
            <w:r>
              <w:rPr>
                <w:webHidden/>
              </w:rPr>
              <w:fldChar w:fldCharType="end"/>
            </w:r>
          </w:hyperlink>
        </w:p>
        <w:p>
          <w:pPr>
            <w:pStyle w:val="Contents1"/>
            <w:tabs>
              <w:tab w:val="clear" w:pos="708"/>
              <w:tab w:val="right" w:pos="9360" w:leader="dot"/>
            </w:tabs>
            <w:rPr/>
          </w:pPr>
          <w:hyperlink w:anchor="_Toc6" w:tgtFrame="#_Toc6">
            <w:r>
              <w:rPr>
                <w:rStyle w:val="IndexLink"/>
                <w:rFonts w:eastAsia="Arial" w:cs="Arial"/>
                <w:b/>
              </w:rPr>
              <w:t>Risk Management Framework</w:t>
            </w:r>
            <w:r>
              <w:rPr>
                <w:webHidden/>
              </w:rPr>
              <w:fldChar w:fldCharType="begin"/>
            </w:r>
            <w:r>
              <w:rPr>
                <w:webHidden/>
              </w:rPr>
              <w:instrText>PAGEREF _Toc6 \h</w:instrText>
            </w:r>
            <w:r>
              <w:rPr>
                <w:webHidden/>
              </w:rPr>
              <w:fldChar w:fldCharType="separate"/>
            </w:r>
            <w:r>
              <w:rPr>
                <w:rStyle w:val="IndexLink"/>
              </w:rPr>
              <w:tab/>
              <w:t>6</w:t>
            </w:r>
            <w:r>
              <w:rPr>
                <w:webHidden/>
              </w:rPr>
              <w:fldChar w:fldCharType="end"/>
            </w:r>
          </w:hyperlink>
        </w:p>
        <w:p>
          <w:pPr>
            <w:pStyle w:val="Contents1"/>
            <w:tabs>
              <w:tab w:val="clear" w:pos="708"/>
              <w:tab w:val="right" w:pos="9360" w:leader="dot"/>
            </w:tabs>
            <w:rPr/>
          </w:pPr>
          <w:hyperlink w:anchor="_Toc7" w:tgtFrame="#_Toc7">
            <w:r>
              <w:rPr>
                <w:rStyle w:val="IndexLink"/>
                <w:rFonts w:eastAsia="Arial" w:cs="Arial"/>
                <w:b/>
              </w:rPr>
              <w:t>Risk Identification</w:t>
            </w:r>
            <w:r>
              <w:rPr>
                <w:webHidden/>
              </w:rPr>
              <w:fldChar w:fldCharType="begin"/>
            </w:r>
            <w:r>
              <w:rPr>
                <w:webHidden/>
              </w:rPr>
              <w:instrText>PAGEREF _Toc7 \h</w:instrText>
            </w:r>
            <w:r>
              <w:rPr>
                <w:webHidden/>
              </w:rPr>
              <w:fldChar w:fldCharType="separate"/>
            </w:r>
            <w:r>
              <w:rPr>
                <w:rStyle w:val="IndexLink"/>
              </w:rPr>
              <w:tab/>
              <w:t>6</w:t>
            </w:r>
            <w:r>
              <w:rPr>
                <w:webHidden/>
              </w:rPr>
              <w:fldChar w:fldCharType="end"/>
            </w:r>
          </w:hyperlink>
        </w:p>
        <w:p>
          <w:pPr>
            <w:pStyle w:val="Contents1"/>
            <w:tabs>
              <w:tab w:val="clear" w:pos="708"/>
              <w:tab w:val="right" w:pos="9360" w:leader="dot"/>
            </w:tabs>
            <w:rPr/>
          </w:pPr>
          <w:hyperlink w:anchor="_Toc8" w:tgtFrame="#_Toc8">
            <w:r>
              <w:rPr>
                <w:rStyle w:val="IndexLink"/>
                <w:rFonts w:eastAsia="Arial" w:cs="Arial"/>
                <w:b/>
              </w:rPr>
              <w:t>Risk Assessment</w:t>
            </w:r>
            <w:r>
              <w:rPr>
                <w:webHidden/>
              </w:rPr>
              <w:fldChar w:fldCharType="begin"/>
            </w:r>
            <w:r>
              <w:rPr>
                <w:webHidden/>
              </w:rPr>
              <w:instrText>PAGEREF _Toc8 \h</w:instrText>
            </w:r>
            <w:r>
              <w:rPr>
                <w:webHidden/>
              </w:rPr>
              <w:fldChar w:fldCharType="separate"/>
            </w:r>
            <w:r>
              <w:rPr>
                <w:rStyle w:val="IndexLink"/>
              </w:rPr>
              <w:tab/>
              <w:t>6</w:t>
            </w:r>
            <w:r>
              <w:rPr>
                <w:webHidden/>
              </w:rPr>
              <w:fldChar w:fldCharType="end"/>
            </w:r>
          </w:hyperlink>
        </w:p>
        <w:p>
          <w:pPr>
            <w:pStyle w:val="Contents1"/>
            <w:tabs>
              <w:tab w:val="clear" w:pos="708"/>
              <w:tab w:val="right" w:pos="9360" w:leader="dot"/>
            </w:tabs>
            <w:rPr/>
          </w:pPr>
          <w:hyperlink w:anchor="_Toc9" w:tgtFrame="#_Toc9">
            <w:r>
              <w:rPr>
                <w:rStyle w:val="IndexLink"/>
                <w:rFonts w:eastAsia="Arial" w:cs="Arial"/>
                <w:b/>
              </w:rPr>
              <w:t>Risk Mitigation</w:t>
            </w:r>
            <w:r>
              <w:rPr>
                <w:webHidden/>
              </w:rPr>
              <w:fldChar w:fldCharType="begin"/>
            </w:r>
            <w:r>
              <w:rPr>
                <w:webHidden/>
              </w:rPr>
              <w:instrText>PAGEREF _Toc9 \h</w:instrText>
            </w:r>
            <w:r>
              <w:rPr>
                <w:webHidden/>
              </w:rPr>
              <w:fldChar w:fldCharType="separate"/>
            </w:r>
            <w:r>
              <w:rPr>
                <w:rStyle w:val="IndexLink"/>
              </w:rPr>
              <w:tab/>
              <w:t>7</w:t>
            </w:r>
            <w:r>
              <w:rPr>
                <w:webHidden/>
              </w:rPr>
              <w:fldChar w:fldCharType="end"/>
            </w:r>
          </w:hyperlink>
        </w:p>
        <w:p>
          <w:pPr>
            <w:pStyle w:val="Contents1"/>
            <w:tabs>
              <w:tab w:val="clear" w:pos="708"/>
              <w:tab w:val="right" w:pos="9360" w:leader="dot"/>
            </w:tabs>
            <w:rPr/>
          </w:pPr>
          <w:hyperlink w:anchor="_Toc10" w:tgtFrame="#_Toc10">
            <w:r>
              <w:rPr>
                <w:rStyle w:val="IndexLink"/>
                <w:rFonts w:eastAsia="Arial" w:cs="Arial"/>
                <w:b/>
              </w:rPr>
              <w:t>Risk Monitoring</w:t>
            </w:r>
            <w:r>
              <w:rPr>
                <w:webHidden/>
              </w:rPr>
              <w:fldChar w:fldCharType="begin"/>
            </w:r>
            <w:r>
              <w:rPr>
                <w:webHidden/>
              </w:rPr>
              <w:instrText>PAGEREF _Toc10 \h</w:instrText>
            </w:r>
            <w:r>
              <w:rPr>
                <w:webHidden/>
              </w:rPr>
              <w:fldChar w:fldCharType="separate"/>
            </w:r>
            <w:r>
              <w:rPr>
                <w:rStyle w:val="IndexLink"/>
              </w:rPr>
              <w:tab/>
              <w:t>7</w:t>
            </w:r>
            <w:r>
              <w:rPr>
                <w:webHidden/>
              </w:rPr>
              <w:fldChar w:fldCharType="end"/>
            </w:r>
          </w:hyperlink>
        </w:p>
        <w:p>
          <w:pPr>
            <w:pStyle w:val="Contents1"/>
            <w:tabs>
              <w:tab w:val="clear" w:pos="708"/>
              <w:tab w:val="right" w:pos="9360" w:leader="dot"/>
            </w:tabs>
            <w:rPr/>
          </w:pPr>
          <w:hyperlink w:anchor="_Toc11" w:tgtFrame="#_Toc11">
            <w:r>
              <w:rPr>
                <w:rStyle w:val="IndexLink"/>
                <w:rFonts w:eastAsia="Arial" w:cs="Arial"/>
                <w:b/>
              </w:rPr>
              <w:t>Risk Management Roles and Responsibilities</w:t>
            </w:r>
            <w:r>
              <w:rPr>
                <w:webHidden/>
              </w:rPr>
              <w:fldChar w:fldCharType="begin"/>
            </w:r>
            <w:r>
              <w:rPr>
                <w:webHidden/>
              </w:rPr>
              <w:instrText>PAGEREF _Toc11 \h</w:instrText>
            </w:r>
            <w:r>
              <w:rPr>
                <w:webHidden/>
              </w:rPr>
              <w:fldChar w:fldCharType="separate"/>
            </w:r>
            <w:r>
              <w:rPr>
                <w:rStyle w:val="IndexLink"/>
              </w:rPr>
              <w:tab/>
              <w:t>7</w:t>
            </w:r>
            <w:r>
              <w:rPr>
                <w:webHidden/>
              </w:rPr>
              <w:fldChar w:fldCharType="end"/>
            </w:r>
          </w:hyperlink>
        </w:p>
        <w:p>
          <w:pPr>
            <w:pStyle w:val="Contents1"/>
            <w:tabs>
              <w:tab w:val="clear" w:pos="708"/>
              <w:tab w:val="right" w:pos="9360" w:leader="dot"/>
            </w:tabs>
            <w:rPr/>
          </w:pPr>
          <w:hyperlink w:anchor="_Toc12" w:tgtFrame="#_Toc12">
            <w:r>
              <w:rPr>
                <w:rStyle w:val="IndexLink"/>
                <w:rFonts w:eastAsia="Arial" w:cs="Arial"/>
                <w:b/>
              </w:rPr>
              <w:t>Risk Management Process Flow</w:t>
            </w:r>
            <w:r>
              <w:rPr>
                <w:webHidden/>
              </w:rPr>
              <w:fldChar w:fldCharType="begin"/>
            </w:r>
            <w:r>
              <w:rPr>
                <w:webHidden/>
              </w:rPr>
              <w:instrText>PAGEREF _Toc12 \h</w:instrText>
            </w:r>
            <w:r>
              <w:rPr>
                <w:webHidden/>
              </w:rPr>
              <w:fldChar w:fldCharType="separate"/>
            </w:r>
            <w:r>
              <w:rPr>
                <w:rStyle w:val="IndexLink"/>
              </w:rPr>
              <w:tab/>
              <w:t>8</w:t>
            </w:r>
            <w:r>
              <w:rPr>
                <w:webHidden/>
              </w:rPr>
              <w:fldChar w:fldCharType="end"/>
            </w:r>
          </w:hyperlink>
        </w:p>
        <w:p>
          <w:pPr>
            <w:pStyle w:val="Contents1"/>
            <w:tabs>
              <w:tab w:val="clear" w:pos="708"/>
              <w:tab w:val="right" w:pos="9360" w:leader="dot"/>
            </w:tabs>
            <w:rPr/>
          </w:pPr>
          <w:hyperlink w:anchor="_Toc13" w:tgtFrame="#_Toc13">
            <w:r>
              <w:rPr>
                <w:rStyle w:val="IndexLink"/>
                <w:rFonts w:eastAsia="Arial" w:cs="Arial"/>
                <w:b/>
              </w:rPr>
              <w:t>Risk Management Tools and Techniques</w:t>
            </w:r>
            <w:r>
              <w:rPr>
                <w:webHidden/>
              </w:rPr>
              <w:fldChar w:fldCharType="begin"/>
            </w:r>
            <w:r>
              <w:rPr>
                <w:webHidden/>
              </w:rPr>
              <w:instrText>PAGEREF _Toc13 \h</w:instrText>
            </w:r>
            <w:r>
              <w:rPr>
                <w:webHidden/>
              </w:rPr>
              <w:fldChar w:fldCharType="separate"/>
            </w:r>
            <w:r>
              <w:rPr>
                <w:rStyle w:val="IndexLink"/>
              </w:rPr>
              <w:tab/>
              <w:t>9</w:t>
            </w:r>
            <w:r>
              <w:rPr>
                <w:webHidden/>
              </w:rPr>
              <w:fldChar w:fldCharType="end"/>
            </w:r>
          </w:hyperlink>
        </w:p>
        <w:p>
          <w:pPr>
            <w:pStyle w:val="Contents1"/>
            <w:tabs>
              <w:tab w:val="clear" w:pos="708"/>
              <w:tab w:val="right" w:pos="9360" w:leader="dot"/>
            </w:tabs>
            <w:rPr/>
          </w:pPr>
          <w:hyperlink w:anchor="_Toc14" w:tgtFrame="#_Toc14">
            <w:r>
              <w:rPr>
                <w:rStyle w:val="IndexLink"/>
                <w:rFonts w:eastAsia="Arial" w:cs="Arial"/>
                <w:b/>
              </w:rPr>
              <w:t>Risk Management Plan of Action and Milestones</w:t>
            </w:r>
            <w:r>
              <w:rPr>
                <w:webHidden/>
              </w:rPr>
              <w:fldChar w:fldCharType="begin"/>
            </w:r>
            <w:r>
              <w:rPr>
                <w:webHidden/>
              </w:rPr>
              <w:instrText>PAGEREF _Toc14 \h</w:instrText>
            </w:r>
            <w:r>
              <w:rPr>
                <w:webHidden/>
              </w:rPr>
              <w:fldChar w:fldCharType="separate"/>
            </w:r>
            <w:r>
              <w:rPr>
                <w:rStyle w:val="IndexLink"/>
              </w:rPr>
              <w:tab/>
              <w:t>9</w:t>
            </w:r>
            <w:r>
              <w:rPr>
                <w:webHidden/>
              </w:rPr>
              <w:fldChar w:fldCharType="end"/>
            </w:r>
          </w:hyperlink>
        </w:p>
        <w:p>
          <w:pPr>
            <w:pStyle w:val="Contents1"/>
            <w:tabs>
              <w:tab w:val="clear" w:pos="708"/>
              <w:tab w:val="right" w:pos="9360" w:leader="dot"/>
            </w:tabs>
            <w:rPr/>
          </w:pPr>
          <w:hyperlink w:anchor="_Toc15" w:tgtFrame="#_Toc15">
            <w:r>
              <w:rPr>
                <w:rStyle w:val="IndexLink"/>
                <w:rFonts w:eastAsia="Arial" w:cs="Arial"/>
                <w:b/>
              </w:rPr>
              <w:t>Introduction</w:t>
            </w:r>
            <w:r>
              <w:rPr>
                <w:webHidden/>
              </w:rPr>
              <w:fldChar w:fldCharType="begin"/>
            </w:r>
            <w:r>
              <w:rPr>
                <w:webHidden/>
              </w:rPr>
              <w:instrText>PAGEREF _Toc15 \h</w:instrText>
            </w:r>
            <w:r>
              <w:rPr>
                <w:webHidden/>
              </w:rPr>
              <w:fldChar w:fldCharType="separate"/>
            </w:r>
            <w:r>
              <w:rPr>
                <w:rStyle w:val="IndexLink"/>
              </w:rPr>
              <w:tab/>
              <w:t>10</w:t>
            </w:r>
            <w:r>
              <w:rPr>
                <w:webHidden/>
              </w:rPr>
              <w:fldChar w:fldCharType="end"/>
            </w:r>
          </w:hyperlink>
        </w:p>
        <w:p>
          <w:pPr>
            <w:pStyle w:val="Contents1"/>
            <w:tabs>
              <w:tab w:val="clear" w:pos="708"/>
              <w:tab w:val="right" w:pos="9360" w:leader="dot"/>
            </w:tabs>
            <w:rPr/>
          </w:pPr>
          <w:hyperlink w:anchor="_Toc16" w:tgtFrame="#_Toc16">
            <w:r>
              <w:rPr>
                <w:rStyle w:val="IndexLink"/>
                <w:rFonts w:eastAsia="Arial" w:cs="Arial"/>
                <w:b/>
              </w:rPr>
              <w:t>Scope</w:t>
            </w:r>
            <w:r>
              <w:rPr>
                <w:webHidden/>
              </w:rPr>
              <w:fldChar w:fldCharType="begin"/>
            </w:r>
            <w:r>
              <w:rPr>
                <w:webHidden/>
              </w:rPr>
              <w:instrText>PAGEREF _Toc16 \h</w:instrText>
            </w:r>
            <w:r>
              <w:rPr>
                <w:webHidden/>
              </w:rPr>
              <w:fldChar w:fldCharType="separate"/>
            </w:r>
            <w:r>
              <w:rPr>
                <w:rStyle w:val="IndexLink"/>
              </w:rPr>
              <w:tab/>
              <w:t>10</w:t>
            </w:r>
            <w:r>
              <w:rPr>
                <w:webHidden/>
              </w:rPr>
              <w:fldChar w:fldCharType="end"/>
            </w:r>
          </w:hyperlink>
        </w:p>
        <w:p>
          <w:pPr>
            <w:pStyle w:val="Contents1"/>
            <w:tabs>
              <w:tab w:val="clear" w:pos="708"/>
              <w:tab w:val="right" w:pos="9360" w:leader="dot"/>
            </w:tabs>
            <w:rPr/>
          </w:pPr>
          <w:hyperlink w:anchor="_Toc17" w:tgtFrame="#_Toc17">
            <w:r>
              <w:rPr>
                <w:rStyle w:val="IndexLink"/>
                <w:rFonts w:eastAsia="Arial" w:cs="Arial"/>
                <w:b/>
              </w:rPr>
              <w:t>Cyber Risk Management Framework</w:t>
            </w:r>
            <w:r>
              <w:rPr>
                <w:webHidden/>
              </w:rPr>
              <w:fldChar w:fldCharType="begin"/>
            </w:r>
            <w:r>
              <w:rPr>
                <w:webHidden/>
              </w:rPr>
              <w:instrText>PAGEREF _Toc17 \h</w:instrText>
            </w:r>
            <w:r>
              <w:rPr>
                <w:webHidden/>
              </w:rPr>
              <w:fldChar w:fldCharType="separate"/>
            </w:r>
            <w:r>
              <w:rPr>
                <w:rStyle w:val="IndexLink"/>
              </w:rPr>
              <w:tab/>
              <w:t>10</w:t>
            </w:r>
            <w:r>
              <w:rPr>
                <w:webHidden/>
              </w:rPr>
              <w:fldChar w:fldCharType="end"/>
            </w:r>
          </w:hyperlink>
        </w:p>
        <w:p>
          <w:pPr>
            <w:pStyle w:val="Contents1"/>
            <w:tabs>
              <w:tab w:val="clear" w:pos="708"/>
              <w:tab w:val="right" w:pos="9360" w:leader="dot"/>
            </w:tabs>
            <w:rPr/>
          </w:pPr>
          <w:hyperlink w:anchor="_Toc18" w:tgtFrame="#_Toc18">
            <w:r>
              <w:rPr>
                <w:rStyle w:val="IndexLink"/>
                <w:rFonts w:eastAsia="Arial" w:cs="Arial"/>
                <w:b/>
              </w:rPr>
              <w:t>Cyber Risk Management Roles and Responsibilities</w:t>
            </w:r>
            <w:r>
              <w:rPr>
                <w:webHidden/>
              </w:rPr>
              <w:fldChar w:fldCharType="begin"/>
            </w:r>
            <w:r>
              <w:rPr>
                <w:webHidden/>
              </w:rPr>
              <w:instrText>PAGEREF _Toc18 \h</w:instrText>
            </w:r>
            <w:r>
              <w:rPr>
                <w:webHidden/>
              </w:rPr>
              <w:fldChar w:fldCharType="separate"/>
            </w:r>
            <w:r>
              <w:rPr>
                <w:rStyle w:val="IndexLink"/>
              </w:rPr>
              <w:tab/>
              <w:t>11</w:t>
            </w:r>
            <w:r>
              <w:rPr>
                <w:webHidden/>
              </w:rPr>
              <w:fldChar w:fldCharType="end"/>
            </w:r>
          </w:hyperlink>
        </w:p>
        <w:p>
          <w:pPr>
            <w:pStyle w:val="Contents1"/>
            <w:tabs>
              <w:tab w:val="clear" w:pos="708"/>
              <w:tab w:val="right" w:pos="9360" w:leader="dot"/>
            </w:tabs>
            <w:rPr/>
          </w:pPr>
          <w:hyperlink w:anchor="_Toc19" w:tgtFrame="#_Toc19">
            <w:r>
              <w:rPr>
                <w:rStyle w:val="IndexLink"/>
                <w:rFonts w:eastAsia="Arial" w:cs="Arial"/>
                <w:b/>
              </w:rPr>
              <w:t>Cyber Risk Assessment</w:t>
            </w:r>
            <w:r>
              <w:rPr>
                <w:webHidden/>
              </w:rPr>
              <w:fldChar w:fldCharType="begin"/>
            </w:r>
            <w:r>
              <w:rPr>
                <w:webHidden/>
              </w:rPr>
              <w:instrText>PAGEREF _Toc19 \h</w:instrText>
            </w:r>
            <w:r>
              <w:rPr>
                <w:webHidden/>
              </w:rPr>
              <w:fldChar w:fldCharType="separate"/>
            </w:r>
            <w:r>
              <w:rPr>
                <w:rStyle w:val="IndexLink"/>
              </w:rPr>
              <w:tab/>
              <w:t>11</w:t>
            </w:r>
            <w:r>
              <w:rPr>
                <w:webHidden/>
              </w:rPr>
              <w:fldChar w:fldCharType="end"/>
            </w:r>
          </w:hyperlink>
        </w:p>
        <w:p>
          <w:pPr>
            <w:pStyle w:val="Contents1"/>
            <w:tabs>
              <w:tab w:val="clear" w:pos="708"/>
              <w:tab w:val="right" w:pos="9360" w:leader="dot"/>
            </w:tabs>
            <w:rPr/>
          </w:pPr>
          <w:hyperlink w:anchor="_Toc20" w:tgtFrame="#_Toc20">
            <w:r>
              <w:rPr>
                <w:rStyle w:val="IndexLink"/>
                <w:rFonts w:eastAsia="Arial" w:cs="Arial"/>
                <w:b/>
              </w:rPr>
              <w:t>Cyber Risk Mitigation</w:t>
            </w:r>
            <w:r>
              <w:rPr>
                <w:webHidden/>
              </w:rPr>
              <w:fldChar w:fldCharType="begin"/>
            </w:r>
            <w:r>
              <w:rPr>
                <w:webHidden/>
              </w:rPr>
              <w:instrText>PAGEREF _Toc20 \h</w:instrText>
            </w:r>
            <w:r>
              <w:rPr>
                <w:webHidden/>
              </w:rPr>
              <w:fldChar w:fldCharType="separate"/>
            </w:r>
            <w:r>
              <w:rPr>
                <w:rStyle w:val="IndexLink"/>
              </w:rPr>
              <w:tab/>
              <w:t>11</w:t>
            </w:r>
            <w:r>
              <w:rPr>
                <w:webHidden/>
              </w:rPr>
              <w:fldChar w:fldCharType="end"/>
            </w:r>
          </w:hyperlink>
        </w:p>
        <w:p>
          <w:pPr>
            <w:pStyle w:val="Contents1"/>
            <w:tabs>
              <w:tab w:val="clear" w:pos="708"/>
              <w:tab w:val="right" w:pos="9360" w:leader="dot"/>
            </w:tabs>
            <w:rPr/>
          </w:pPr>
          <w:hyperlink w:anchor="_Toc21" w:tgtFrame="#_Toc21">
            <w:r>
              <w:rPr>
                <w:rStyle w:val="IndexLink"/>
                <w:rFonts w:eastAsia="Arial" w:cs="Arial"/>
                <w:b/>
              </w:rPr>
              <w:t>Cyber Incident Response</w:t>
            </w:r>
            <w:r>
              <w:rPr>
                <w:webHidden/>
              </w:rPr>
              <w:fldChar w:fldCharType="begin"/>
            </w:r>
            <w:r>
              <w:rPr>
                <w:webHidden/>
              </w:rPr>
              <w:instrText>PAGEREF _Toc21 \h</w:instrText>
            </w:r>
            <w:r>
              <w:rPr>
                <w:webHidden/>
              </w:rPr>
              <w:fldChar w:fldCharType="separate"/>
            </w:r>
            <w:r>
              <w:rPr>
                <w:rStyle w:val="IndexLink"/>
              </w:rPr>
              <w:tab/>
              <w:t>12</w:t>
            </w:r>
            <w:r>
              <w:rPr>
                <w:webHidden/>
              </w:rPr>
              <w:fldChar w:fldCharType="end"/>
            </w:r>
          </w:hyperlink>
        </w:p>
        <w:p>
          <w:pPr>
            <w:pStyle w:val="Contents1"/>
            <w:tabs>
              <w:tab w:val="clear" w:pos="708"/>
              <w:tab w:val="right" w:pos="9360" w:leader="dot"/>
            </w:tabs>
            <w:rPr/>
          </w:pPr>
          <w:hyperlink w:anchor="_Toc22" w:tgtFrame="#_Toc22">
            <w:r>
              <w:rPr>
                <w:rStyle w:val="IndexLink"/>
                <w:rFonts w:eastAsia="Arial" w:cs="Arial"/>
                <w:b/>
              </w:rPr>
              <w:t>Cyber Risk Management Plan of Action and Milestones</w:t>
            </w:r>
            <w:r>
              <w:rPr>
                <w:webHidden/>
              </w:rPr>
              <w:fldChar w:fldCharType="begin"/>
            </w:r>
            <w:r>
              <w:rPr>
                <w:webHidden/>
              </w:rPr>
              <w:instrText>PAGEREF _Toc22 \h</w:instrText>
            </w:r>
            <w:r>
              <w:rPr>
                <w:webHidden/>
              </w:rPr>
              <w:fldChar w:fldCharType="separate"/>
            </w:r>
            <w:r>
              <w:rPr>
                <w:rStyle w:val="IndexLink"/>
              </w:rPr>
              <w:tab/>
              <w:t>12</w:t>
            </w:r>
            <w:r>
              <w:rPr>
                <w:webHidden/>
              </w:rPr>
              <w:fldChar w:fldCharType="end"/>
            </w:r>
          </w:hyperlink>
        </w:p>
        <w:p>
          <w:pPr>
            <w:pStyle w:val="Contents1"/>
            <w:tabs>
              <w:tab w:val="clear" w:pos="708"/>
              <w:tab w:val="right" w:pos="9360" w:leader="dot"/>
            </w:tabs>
            <w:rPr/>
          </w:pPr>
          <w:hyperlink w:anchor="_Toc23" w:tgtFrame="#_Toc23">
            <w:r>
              <w:rPr>
                <w:rStyle w:val="IndexLink"/>
                <w:rFonts w:eastAsia="Arial" w:cs="Arial"/>
                <w:b/>
              </w:rPr>
              <w:t>Compliance</w:t>
            </w:r>
            <w:r>
              <w:rPr>
                <w:webHidden/>
              </w:rPr>
              <w:fldChar w:fldCharType="begin"/>
            </w:r>
            <w:r>
              <w:rPr>
                <w:webHidden/>
              </w:rPr>
              <w:instrText>PAGEREF _Toc23 \h</w:instrText>
            </w:r>
            <w:r>
              <w:rPr>
                <w:webHidden/>
              </w:rPr>
              <w:fldChar w:fldCharType="separate"/>
            </w:r>
            <w:r>
              <w:rPr>
                <w:rStyle w:val="IndexLink"/>
              </w:rPr>
              <w:tab/>
              <w:t>12</w:t>
            </w:r>
            <w:r>
              <w:rPr>
                <w:webHidden/>
              </w:rPr>
              <w:fldChar w:fldCharType="end"/>
            </w:r>
          </w:hyperlink>
        </w:p>
        <w:p>
          <w:pPr>
            <w:pStyle w:val="Contents1"/>
            <w:tabs>
              <w:tab w:val="clear" w:pos="708"/>
              <w:tab w:val="right" w:pos="9360" w:leader="dot"/>
            </w:tabs>
            <w:rPr/>
          </w:pPr>
          <w:hyperlink w:anchor="_Toc24" w:tgtFrame="#_Toc24">
            <w:r>
              <w:rPr>
                <w:rStyle w:val="IndexLink"/>
                <w:rFonts w:eastAsia="Arial" w:cs="Arial"/>
                <w:b/>
              </w:rPr>
              <w:t>Review and Revision</w:t>
            </w:r>
            <w:r>
              <w:rPr>
                <w:webHidden/>
              </w:rPr>
              <w:fldChar w:fldCharType="begin"/>
            </w:r>
            <w:r>
              <w:rPr>
                <w:webHidden/>
              </w:rPr>
              <w:instrText>PAGEREF _Toc24 \h</w:instrText>
            </w:r>
            <w:r>
              <w:rPr>
                <w:webHidden/>
              </w:rPr>
              <w:fldChar w:fldCharType="separate"/>
            </w:r>
            <w:r>
              <w:rPr>
                <w:rStyle w:val="IndexLink"/>
              </w:rPr>
              <w:tab/>
              <w:t>13</w:t>
            </w:r>
            <w:r>
              <w:rPr>
                <w:webHidden/>
              </w:rPr>
              <w:fldChar w:fldCharType="end"/>
            </w:r>
          </w:hyperlink>
        </w:p>
        <w:p>
          <w:pPr>
            <w:pStyle w:val="Contents1"/>
            <w:tabs>
              <w:tab w:val="clear" w:pos="708"/>
              <w:tab w:val="right" w:pos="9360" w:leader="dot"/>
            </w:tabs>
            <w:rPr/>
          </w:pPr>
          <w:hyperlink w:anchor="_Toc25" w:tgtFrame="#_Toc25">
            <w:r>
              <w:rPr>
                <w:rStyle w:val="IndexLink"/>
                <w:rFonts w:eastAsia="Arial" w:cs="Arial"/>
                <w:b/>
              </w:rPr>
              <w:t>Approval</w:t>
            </w:r>
            <w:r>
              <w:rPr>
                <w:webHidden/>
              </w:rPr>
              <w:fldChar w:fldCharType="begin"/>
            </w:r>
            <w:r>
              <w:rPr>
                <w:webHidden/>
              </w:rPr>
              <w:instrText>PAGEREF _Toc25 \h</w:instrText>
            </w:r>
            <w:r>
              <w:rPr>
                <w:webHidden/>
              </w:rPr>
              <w:fldChar w:fldCharType="separate"/>
            </w:r>
            <w:r>
              <w:rPr>
                <w:rStyle w:val="IndexLink"/>
              </w:rPr>
              <w:tab/>
              <w:t>13</w:t>
            </w:r>
            <w:r>
              <w:rPr>
                <w:webHidden/>
              </w:rPr>
              <w:fldChar w:fldCharType="end"/>
            </w:r>
          </w:hyperlink>
        </w:p>
        <w:p>
          <w:pPr>
            <w:pStyle w:val="Contents1"/>
            <w:tabs>
              <w:tab w:val="clear" w:pos="708"/>
              <w:tab w:val="right" w:pos="9360" w:leader="dot"/>
            </w:tabs>
            <w:rPr/>
          </w:pPr>
          <w:hyperlink w:anchor="_Toc26" w:tgtFrame="#_Toc26">
            <w:r>
              <w:rPr>
                <w:rStyle w:val="IndexLink"/>
                <w:rFonts w:eastAsia="Arial" w:cs="Arial"/>
                <w:b/>
              </w:rPr>
              <w:t>Introduction</w:t>
            </w:r>
            <w:r>
              <w:rPr>
                <w:webHidden/>
              </w:rPr>
              <w:fldChar w:fldCharType="begin"/>
            </w:r>
            <w:r>
              <w:rPr>
                <w:webHidden/>
              </w:rPr>
              <w:instrText>PAGEREF _Toc26 \h</w:instrText>
            </w:r>
            <w:r>
              <w:rPr>
                <w:webHidden/>
              </w:rPr>
              <w:fldChar w:fldCharType="separate"/>
            </w:r>
            <w:r>
              <w:rPr>
                <w:rStyle w:val="IndexLink"/>
              </w:rPr>
              <w:tab/>
              <w:t>14</w:t>
            </w:r>
            <w:r>
              <w:rPr>
                <w:webHidden/>
              </w:rPr>
              <w:fldChar w:fldCharType="end"/>
            </w:r>
          </w:hyperlink>
        </w:p>
        <w:p>
          <w:pPr>
            <w:pStyle w:val="Contents1"/>
            <w:tabs>
              <w:tab w:val="clear" w:pos="708"/>
              <w:tab w:val="right" w:pos="9360" w:leader="dot"/>
            </w:tabs>
            <w:rPr/>
          </w:pPr>
          <w:hyperlink w:anchor="_Toc27" w:tgtFrame="#_Toc27">
            <w:r>
              <w:rPr>
                <w:rStyle w:val="IndexLink"/>
                <w:rFonts w:eastAsia="Arial" w:cs="Arial"/>
                <w:b/>
              </w:rPr>
              <w:t>Scope</w:t>
            </w:r>
            <w:r>
              <w:rPr>
                <w:webHidden/>
              </w:rPr>
              <w:fldChar w:fldCharType="begin"/>
            </w:r>
            <w:r>
              <w:rPr>
                <w:webHidden/>
              </w:rPr>
              <w:instrText>PAGEREF _Toc27 \h</w:instrText>
            </w:r>
            <w:r>
              <w:rPr>
                <w:webHidden/>
              </w:rPr>
              <w:fldChar w:fldCharType="separate"/>
            </w:r>
            <w:r>
              <w:rPr>
                <w:rStyle w:val="IndexLink"/>
              </w:rPr>
              <w:tab/>
              <w:t>14</w:t>
            </w:r>
            <w:r>
              <w:rPr>
                <w:webHidden/>
              </w:rPr>
              <w:fldChar w:fldCharType="end"/>
            </w:r>
          </w:hyperlink>
        </w:p>
        <w:p>
          <w:pPr>
            <w:pStyle w:val="Contents1"/>
            <w:tabs>
              <w:tab w:val="clear" w:pos="708"/>
              <w:tab w:val="right" w:pos="9360" w:leader="dot"/>
            </w:tabs>
            <w:rPr/>
          </w:pPr>
          <w:hyperlink w:anchor="_Toc28" w:tgtFrame="#_Toc28">
            <w:r>
              <w:rPr>
                <w:rStyle w:val="IndexLink"/>
                <w:rFonts w:eastAsia="Arial" w:cs="Arial"/>
                <w:b/>
              </w:rPr>
              <w:t>Cyber Incident Response Procedures</w:t>
            </w:r>
            <w:r>
              <w:rPr>
                <w:webHidden/>
              </w:rPr>
              <w:fldChar w:fldCharType="begin"/>
            </w:r>
            <w:r>
              <w:rPr>
                <w:webHidden/>
              </w:rPr>
              <w:instrText>PAGEREF _Toc28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29" w:tgtFrame="#_Toc29">
            <w:r>
              <w:rPr>
                <w:rStyle w:val="IndexLink"/>
                <w:b/>
              </w:rPr>
              <w:t>1. Incident Detection</w:t>
            </w:r>
            <w:r>
              <w:rPr>
                <w:webHidden/>
              </w:rPr>
              <w:fldChar w:fldCharType="begin"/>
            </w:r>
            <w:r>
              <w:rPr>
                <w:webHidden/>
              </w:rPr>
              <w:instrText>PAGEREF _Toc29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30" w:tgtFrame="#_Toc30">
            <w:r>
              <w:rPr>
                <w:rStyle w:val="IndexLink"/>
                <w:b/>
              </w:rPr>
              <w:t>2. Initial Response</w:t>
            </w:r>
            <w:r>
              <w:rPr>
                <w:webHidden/>
              </w:rPr>
              <w:fldChar w:fldCharType="begin"/>
            </w:r>
            <w:r>
              <w:rPr>
                <w:webHidden/>
              </w:rPr>
              <w:instrText>PAGEREF _Toc30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31" w:tgtFrame="#_Toc31">
            <w:r>
              <w:rPr>
                <w:rStyle w:val="IndexLink"/>
                <w:b/>
              </w:rPr>
              <w:t>3. Incident Containment</w:t>
            </w:r>
            <w:r>
              <w:rPr>
                <w:webHidden/>
              </w:rPr>
              <w:fldChar w:fldCharType="begin"/>
            </w:r>
            <w:r>
              <w:rPr>
                <w:webHidden/>
              </w:rPr>
              <w:instrText>PAGEREF _Toc31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32" w:tgtFrame="#_Toc32">
            <w:r>
              <w:rPr>
                <w:rStyle w:val="IndexLink"/>
                <w:b/>
              </w:rPr>
              <w:t>4. Incident Analysis</w:t>
            </w:r>
            <w:r>
              <w:rPr>
                <w:webHidden/>
              </w:rPr>
              <w:fldChar w:fldCharType="begin"/>
            </w:r>
            <w:r>
              <w:rPr>
                <w:webHidden/>
              </w:rPr>
              <w:instrText>PAGEREF _Toc32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33" w:tgtFrame="#_Toc33">
            <w:r>
              <w:rPr>
                <w:rStyle w:val="IndexLink"/>
                <w:b/>
              </w:rPr>
              <w:t>5. Eradication</w:t>
            </w:r>
            <w:r>
              <w:rPr>
                <w:webHidden/>
              </w:rPr>
              <w:fldChar w:fldCharType="begin"/>
            </w:r>
            <w:r>
              <w:rPr>
                <w:webHidden/>
              </w:rPr>
              <w:instrText>PAGEREF _Toc33 \h</w:instrText>
            </w:r>
            <w:r>
              <w:rPr>
                <w:webHidden/>
              </w:rPr>
              <w:fldChar w:fldCharType="separate"/>
            </w:r>
            <w:r>
              <w:rPr>
                <w:rStyle w:val="IndexLink"/>
              </w:rPr>
              <w:tab/>
              <w:t>15</w:t>
            </w:r>
            <w:r>
              <w:rPr>
                <w:webHidden/>
              </w:rPr>
              <w:fldChar w:fldCharType="end"/>
            </w:r>
          </w:hyperlink>
        </w:p>
        <w:p>
          <w:pPr>
            <w:pStyle w:val="Contents3"/>
            <w:tabs>
              <w:tab w:val="clear" w:pos="708"/>
              <w:tab w:val="right" w:pos="9360" w:leader="dot"/>
            </w:tabs>
            <w:rPr/>
          </w:pPr>
          <w:hyperlink w:anchor="_Toc34" w:tgtFrame="#_Toc34">
            <w:r>
              <w:rPr>
                <w:rStyle w:val="IndexLink"/>
                <w:b/>
              </w:rPr>
              <w:t>6. Recovery</w:t>
            </w:r>
            <w:r>
              <w:rPr>
                <w:webHidden/>
              </w:rPr>
              <w:fldChar w:fldCharType="begin"/>
            </w:r>
            <w:r>
              <w:rPr>
                <w:webHidden/>
              </w:rPr>
              <w:instrText>PAGEREF _Toc34 \h</w:instrText>
            </w:r>
            <w:r>
              <w:rPr>
                <w:webHidden/>
              </w:rPr>
              <w:fldChar w:fldCharType="separate"/>
            </w:r>
            <w:r>
              <w:rPr>
                <w:rStyle w:val="IndexLink"/>
              </w:rPr>
              <w:tab/>
              <w:t>16</w:t>
            </w:r>
            <w:r>
              <w:rPr>
                <w:webHidden/>
              </w:rPr>
              <w:fldChar w:fldCharType="end"/>
            </w:r>
          </w:hyperlink>
        </w:p>
        <w:p>
          <w:pPr>
            <w:pStyle w:val="Contents3"/>
            <w:tabs>
              <w:tab w:val="clear" w:pos="708"/>
              <w:tab w:val="right" w:pos="9360" w:leader="dot"/>
            </w:tabs>
            <w:rPr/>
          </w:pPr>
          <w:hyperlink w:anchor="_Toc35" w:tgtFrame="#_Toc35">
            <w:r>
              <w:rPr>
                <w:rStyle w:val="IndexLink"/>
                <w:b/>
              </w:rPr>
              <w:t>7. Post-Incident Activities</w:t>
            </w:r>
            <w:r>
              <w:rPr>
                <w:webHidden/>
              </w:rPr>
              <w:fldChar w:fldCharType="begin"/>
            </w:r>
            <w:r>
              <w:rPr>
                <w:webHidden/>
              </w:rPr>
              <w:instrText>PAGEREF _Toc35 \h</w:instrText>
            </w:r>
            <w:r>
              <w:rPr>
                <w:webHidden/>
              </w:rPr>
              <w:fldChar w:fldCharType="separate"/>
            </w:r>
            <w:r>
              <w:rPr>
                <w:rStyle w:val="IndexLink"/>
              </w:rPr>
              <w:tab/>
              <w:t>16</w:t>
            </w:r>
            <w:r>
              <w:rPr>
                <w:webHidden/>
              </w:rPr>
              <w:fldChar w:fldCharType="end"/>
            </w:r>
          </w:hyperlink>
        </w:p>
        <w:p>
          <w:pPr>
            <w:pStyle w:val="Contents1"/>
            <w:tabs>
              <w:tab w:val="clear" w:pos="708"/>
              <w:tab w:val="right" w:pos="9360" w:leader="dot"/>
            </w:tabs>
            <w:rPr/>
          </w:pPr>
          <w:hyperlink w:anchor="_Toc36" w:tgtFrame="#_Toc36">
            <w:r>
              <w:rPr>
                <w:rStyle w:val="IndexLink"/>
                <w:rFonts w:eastAsia="Arial" w:cs="Arial"/>
                <w:b/>
              </w:rPr>
              <w:t>Cyber Incident Reporting</w:t>
            </w:r>
            <w:r>
              <w:rPr>
                <w:webHidden/>
              </w:rPr>
              <w:fldChar w:fldCharType="begin"/>
            </w:r>
            <w:r>
              <w:rPr>
                <w:webHidden/>
              </w:rPr>
              <w:instrText>PAGEREF _Toc36 \h</w:instrText>
            </w:r>
            <w:r>
              <w:rPr>
                <w:webHidden/>
              </w:rPr>
              <w:fldChar w:fldCharType="separate"/>
            </w:r>
            <w:r>
              <w:rPr>
                <w:rStyle w:val="IndexLink"/>
              </w:rPr>
              <w:tab/>
              <w:t>16</w:t>
            </w:r>
            <w:r>
              <w:rPr>
                <w:webHidden/>
              </w:rPr>
              <w:fldChar w:fldCharType="end"/>
            </w:r>
          </w:hyperlink>
        </w:p>
        <w:p>
          <w:pPr>
            <w:pStyle w:val="Contents1"/>
            <w:tabs>
              <w:tab w:val="clear" w:pos="708"/>
              <w:tab w:val="right" w:pos="9360" w:leader="dot"/>
            </w:tabs>
            <w:rPr/>
          </w:pPr>
          <w:hyperlink w:anchor="_Toc37" w:tgtFrame="#_Toc37">
            <w:r>
              <w:rPr>
                <w:rStyle w:val="IndexLink"/>
                <w:rFonts w:eastAsia="Arial" w:cs="Arial"/>
                <w:b/>
              </w:rPr>
              <w:t>External Reporting</w:t>
            </w:r>
            <w:r>
              <w:rPr>
                <w:webHidden/>
              </w:rPr>
              <w:fldChar w:fldCharType="begin"/>
            </w:r>
            <w:r>
              <w:rPr>
                <w:webHidden/>
              </w:rPr>
              <w:instrText>PAGEREF _Toc37 \h</w:instrText>
            </w:r>
            <w:r>
              <w:rPr>
                <w:webHidden/>
              </w:rPr>
              <w:fldChar w:fldCharType="separate"/>
            </w:r>
            <w:r>
              <w:rPr>
                <w:rStyle w:val="IndexLink"/>
              </w:rPr>
              <w:tab/>
              <w:t>16</w:t>
            </w:r>
            <w:r>
              <w:rPr>
                <w:webHidden/>
              </w:rPr>
              <w:fldChar w:fldCharType="end"/>
            </w:r>
          </w:hyperlink>
        </w:p>
        <w:p>
          <w:pPr>
            <w:pStyle w:val="Contents1"/>
            <w:tabs>
              <w:tab w:val="clear" w:pos="708"/>
              <w:tab w:val="right" w:pos="9360" w:leader="dot"/>
            </w:tabs>
            <w:rPr/>
          </w:pPr>
          <w:hyperlink w:anchor="_Toc38" w:tgtFrame="#_Toc38">
            <w:r>
              <w:rPr>
                <w:rStyle w:val="IndexLink"/>
                <w:rFonts w:eastAsia="Arial" w:cs="Arial"/>
                <w:b/>
              </w:rPr>
              <w:t>Training and Awareness</w:t>
            </w:r>
            <w:r>
              <w:rPr>
                <w:webHidden/>
              </w:rPr>
              <w:fldChar w:fldCharType="begin"/>
            </w:r>
            <w:r>
              <w:rPr>
                <w:webHidden/>
              </w:rPr>
              <w:instrText>PAGEREF _Toc38 \h</w:instrText>
            </w:r>
            <w:r>
              <w:rPr>
                <w:webHidden/>
              </w:rPr>
              <w:fldChar w:fldCharType="separate"/>
            </w:r>
            <w:r>
              <w:rPr>
                <w:rStyle w:val="IndexLink"/>
              </w:rPr>
              <w:tab/>
              <w:t>16</w:t>
            </w:r>
            <w:r>
              <w:rPr>
                <w:webHidden/>
              </w:rPr>
              <w:fldChar w:fldCharType="end"/>
            </w:r>
          </w:hyperlink>
        </w:p>
        <w:p>
          <w:pPr>
            <w:pStyle w:val="Contents1"/>
            <w:tabs>
              <w:tab w:val="clear" w:pos="708"/>
              <w:tab w:val="right" w:pos="9360" w:leader="dot"/>
            </w:tabs>
            <w:rPr/>
          </w:pPr>
          <w:hyperlink w:anchor="_Toc39" w:tgtFrame="#_Toc39">
            <w:r>
              <w:rPr>
                <w:rStyle w:val="IndexLink"/>
                <w:rFonts w:eastAsia="Arial" w:cs="Arial"/>
                <w:b/>
              </w:rPr>
              <w:t>Plan Review and Revision</w:t>
            </w:r>
            <w:r>
              <w:rPr>
                <w:webHidden/>
              </w:rPr>
              <w:fldChar w:fldCharType="begin"/>
            </w:r>
            <w:r>
              <w:rPr>
                <w:webHidden/>
              </w:rPr>
              <w:instrText>PAGEREF _Toc39 \h</w:instrText>
            </w:r>
            <w:r>
              <w:rPr>
                <w:webHidden/>
              </w:rPr>
              <w:fldChar w:fldCharType="separate"/>
            </w:r>
            <w:r>
              <w:rPr>
                <w:rStyle w:val="IndexLink"/>
              </w:rPr>
              <w:tab/>
              <w:t>16</w:t>
            </w:r>
            <w:r>
              <w:rPr>
                <w:webHidden/>
              </w:rPr>
              <w:fldChar w:fldCharType="end"/>
            </w:r>
          </w:hyperlink>
        </w:p>
        <w:p>
          <w:pPr>
            <w:pStyle w:val="Contents1"/>
            <w:tabs>
              <w:tab w:val="clear" w:pos="708"/>
              <w:tab w:val="right" w:pos="9360" w:leader="dot"/>
            </w:tabs>
            <w:rPr/>
          </w:pPr>
          <w:hyperlink w:anchor="_Toc40" w:tgtFrame="#_Toc40">
            <w:r>
              <w:rPr>
                <w:rStyle w:val="IndexLink"/>
                <w:rFonts w:eastAsia="Arial" w:cs="Arial"/>
                <w:b/>
              </w:rPr>
              <w:t>Approval</w:t>
            </w:r>
            <w:r>
              <w:rPr>
                <w:webHidden/>
              </w:rPr>
              <w:fldChar w:fldCharType="begin"/>
            </w:r>
            <w:r>
              <w:rPr>
                <w:webHidden/>
              </w:rPr>
              <w:instrText>PAGEREF _Toc40 \h</w:instrText>
            </w:r>
            <w:r>
              <w:rPr>
                <w:webHidden/>
              </w:rPr>
              <w:fldChar w:fldCharType="separate"/>
            </w:r>
            <w:r>
              <w:rPr>
                <w:rStyle w:val="IndexLink"/>
              </w:rPr>
              <w:tab/>
              <w:t>17</w:t>
            </w:r>
            <w:r>
              <w:rPr>
                <w:webHidden/>
              </w:rPr>
              <w:fldChar w:fldCharType="end"/>
            </w:r>
          </w:hyperlink>
        </w:p>
        <w:p>
          <w:pPr>
            <w:pStyle w:val="Contents1"/>
            <w:tabs>
              <w:tab w:val="clear" w:pos="708"/>
              <w:tab w:val="right" w:pos="9360" w:leader="dot"/>
            </w:tabs>
            <w:rPr/>
          </w:pPr>
          <w:hyperlink w:anchor="_Toc41" w:tgtFrame="#_Toc41">
            <w:r>
              <w:rPr>
                <w:rStyle w:val="IndexLink"/>
                <w:rFonts w:eastAsia="Arial" w:cs="Arial"/>
                <w:b/>
              </w:rPr>
              <w:t>Introduction</w:t>
            </w:r>
            <w:r>
              <w:rPr>
                <w:webHidden/>
              </w:rPr>
              <w:fldChar w:fldCharType="begin"/>
            </w:r>
            <w:r>
              <w:rPr>
                <w:webHidden/>
              </w:rPr>
              <w:instrText>PAGEREF _Toc41 \h</w:instrText>
            </w:r>
            <w:r>
              <w:rPr>
                <w:webHidden/>
              </w:rPr>
              <w:fldChar w:fldCharType="separate"/>
            </w:r>
            <w:r>
              <w:rPr>
                <w:rStyle w:val="IndexLink"/>
              </w:rPr>
              <w:tab/>
              <w:t>18</w:t>
            </w:r>
            <w:r>
              <w:rPr>
                <w:webHidden/>
              </w:rPr>
              <w:fldChar w:fldCharType="end"/>
            </w:r>
          </w:hyperlink>
        </w:p>
        <w:p>
          <w:pPr>
            <w:pStyle w:val="Contents1"/>
            <w:tabs>
              <w:tab w:val="clear" w:pos="708"/>
              <w:tab w:val="right" w:pos="9360" w:leader="dot"/>
            </w:tabs>
            <w:rPr/>
          </w:pPr>
          <w:hyperlink w:anchor="_Toc42" w:tgtFrame="#_Toc42">
            <w:r>
              <w:rPr>
                <w:rStyle w:val="IndexLink"/>
                <w:rFonts w:eastAsia="Arial" w:cs="Arial"/>
                <w:b/>
              </w:rPr>
              <w:t>Scope</w:t>
            </w:r>
            <w:r>
              <w:rPr>
                <w:webHidden/>
              </w:rPr>
              <w:fldChar w:fldCharType="begin"/>
            </w:r>
            <w:r>
              <w:rPr>
                <w:webHidden/>
              </w:rPr>
              <w:instrText>PAGEREF _Toc42 \h</w:instrText>
            </w:r>
            <w:r>
              <w:rPr>
                <w:webHidden/>
              </w:rPr>
              <w:fldChar w:fldCharType="separate"/>
            </w:r>
            <w:r>
              <w:rPr>
                <w:rStyle w:val="IndexLink"/>
              </w:rPr>
              <w:tab/>
              <w:t>18</w:t>
            </w:r>
            <w:r>
              <w:rPr>
                <w:webHidden/>
              </w:rPr>
              <w:fldChar w:fldCharType="end"/>
            </w:r>
          </w:hyperlink>
        </w:p>
        <w:p>
          <w:pPr>
            <w:pStyle w:val="Contents1"/>
            <w:tabs>
              <w:tab w:val="clear" w:pos="708"/>
              <w:tab w:val="right" w:pos="9360" w:leader="dot"/>
            </w:tabs>
            <w:rPr/>
          </w:pPr>
          <w:hyperlink w:anchor="_Toc43" w:tgtFrame="#_Toc43">
            <w:r>
              <w:rPr>
                <w:rStyle w:val="IndexLink"/>
                <w:rFonts w:eastAsia="Arial" w:cs="Arial"/>
                <w:b/>
              </w:rPr>
              <w:t>Personnel Screening</w:t>
            </w:r>
            <w:r>
              <w:rPr>
                <w:webHidden/>
              </w:rPr>
              <w:fldChar w:fldCharType="begin"/>
            </w:r>
            <w:r>
              <w:rPr>
                <w:webHidden/>
              </w:rPr>
              <w:instrText>PAGEREF _Toc43 \h</w:instrText>
            </w:r>
            <w:r>
              <w:rPr>
                <w:webHidden/>
              </w:rPr>
              <w:fldChar w:fldCharType="separate"/>
            </w:r>
            <w:r>
              <w:rPr>
                <w:rStyle w:val="IndexLink"/>
              </w:rPr>
              <w:tab/>
              <w:t>18</w:t>
            </w:r>
            <w:r>
              <w:rPr>
                <w:webHidden/>
              </w:rPr>
              <w:fldChar w:fldCharType="end"/>
            </w:r>
          </w:hyperlink>
        </w:p>
        <w:p>
          <w:pPr>
            <w:pStyle w:val="Contents1"/>
            <w:tabs>
              <w:tab w:val="clear" w:pos="708"/>
              <w:tab w:val="right" w:pos="9360" w:leader="dot"/>
            </w:tabs>
            <w:rPr/>
          </w:pPr>
          <w:hyperlink w:anchor="_Toc44" w:tgtFrame="#_Toc44">
            <w:r>
              <w:rPr>
                <w:rStyle w:val="IndexLink"/>
                <w:rFonts w:eastAsia="Arial" w:cs="Arial"/>
                <w:b/>
              </w:rPr>
              <w:t>Security Clearances</w:t>
            </w:r>
            <w:r>
              <w:rPr>
                <w:webHidden/>
              </w:rPr>
              <w:fldChar w:fldCharType="begin"/>
            </w:r>
            <w:r>
              <w:rPr>
                <w:webHidden/>
              </w:rPr>
              <w:instrText>PAGEREF _Toc44 \h</w:instrText>
            </w:r>
            <w:r>
              <w:rPr>
                <w:webHidden/>
              </w:rPr>
              <w:fldChar w:fldCharType="separate"/>
            </w:r>
            <w:r>
              <w:rPr>
                <w:rStyle w:val="IndexLink"/>
              </w:rPr>
              <w:tab/>
              <w:t>19</w:t>
            </w:r>
            <w:r>
              <w:rPr>
                <w:webHidden/>
              </w:rPr>
              <w:fldChar w:fldCharType="end"/>
            </w:r>
          </w:hyperlink>
        </w:p>
        <w:p>
          <w:pPr>
            <w:pStyle w:val="Contents1"/>
            <w:tabs>
              <w:tab w:val="clear" w:pos="708"/>
              <w:tab w:val="right" w:pos="9360" w:leader="dot"/>
            </w:tabs>
            <w:rPr/>
          </w:pPr>
          <w:hyperlink w:anchor="_Toc45" w:tgtFrame="#_Toc45">
            <w:r>
              <w:rPr>
                <w:rStyle w:val="IndexLink"/>
                <w:rFonts w:eastAsia="Arial" w:cs="Arial"/>
                <w:b/>
              </w:rPr>
              <w:t>Role-Based Access Control</w:t>
            </w:r>
            <w:r>
              <w:rPr>
                <w:webHidden/>
              </w:rPr>
              <w:fldChar w:fldCharType="begin"/>
            </w:r>
            <w:r>
              <w:rPr>
                <w:webHidden/>
              </w:rPr>
              <w:instrText>PAGEREF _Toc45 \h</w:instrText>
            </w:r>
            <w:r>
              <w:rPr>
                <w:webHidden/>
              </w:rPr>
              <w:fldChar w:fldCharType="separate"/>
            </w:r>
            <w:r>
              <w:rPr>
                <w:rStyle w:val="IndexLink"/>
              </w:rPr>
              <w:tab/>
              <w:t>19</w:t>
            </w:r>
            <w:r>
              <w:rPr>
                <w:webHidden/>
              </w:rPr>
              <w:fldChar w:fldCharType="end"/>
            </w:r>
          </w:hyperlink>
        </w:p>
        <w:p>
          <w:pPr>
            <w:pStyle w:val="Contents1"/>
            <w:tabs>
              <w:tab w:val="clear" w:pos="708"/>
              <w:tab w:val="right" w:pos="9360" w:leader="dot"/>
            </w:tabs>
            <w:rPr/>
          </w:pPr>
          <w:hyperlink w:anchor="_Toc46" w:tgtFrame="#_Toc46">
            <w:r>
              <w:rPr>
                <w:rStyle w:val="IndexLink"/>
                <w:rFonts w:eastAsia="Arial" w:cs="Arial"/>
                <w:b/>
              </w:rPr>
              <w:t>Personnel Training and Awareness</w:t>
            </w:r>
            <w:r>
              <w:rPr>
                <w:webHidden/>
              </w:rPr>
              <w:fldChar w:fldCharType="begin"/>
            </w:r>
            <w:r>
              <w:rPr>
                <w:webHidden/>
              </w:rPr>
              <w:instrText>PAGEREF _Toc46 \h</w:instrText>
            </w:r>
            <w:r>
              <w:rPr>
                <w:webHidden/>
              </w:rPr>
              <w:fldChar w:fldCharType="separate"/>
            </w:r>
            <w:r>
              <w:rPr>
                <w:rStyle w:val="IndexLink"/>
              </w:rPr>
              <w:tab/>
              <w:t>19</w:t>
            </w:r>
            <w:r>
              <w:rPr>
                <w:webHidden/>
              </w:rPr>
              <w:fldChar w:fldCharType="end"/>
            </w:r>
          </w:hyperlink>
        </w:p>
        <w:p>
          <w:pPr>
            <w:pStyle w:val="Contents1"/>
            <w:tabs>
              <w:tab w:val="clear" w:pos="708"/>
              <w:tab w:val="right" w:pos="9360" w:leader="dot"/>
            </w:tabs>
            <w:rPr/>
          </w:pPr>
          <w:hyperlink w:anchor="_Toc47" w:tgtFrame="#_Toc47">
            <w:r>
              <w:rPr>
                <w:rStyle w:val="IndexLink"/>
                <w:rFonts w:eastAsia="Arial" w:cs="Arial"/>
                <w:b/>
              </w:rPr>
              <w:t>Personnel Accountability</w:t>
            </w:r>
            <w:r>
              <w:rPr>
                <w:webHidden/>
              </w:rPr>
              <w:fldChar w:fldCharType="begin"/>
            </w:r>
            <w:r>
              <w:rPr>
                <w:webHidden/>
              </w:rPr>
              <w:instrText>PAGEREF _Toc47 \h</w:instrText>
            </w:r>
            <w:r>
              <w:rPr>
                <w:webHidden/>
              </w:rPr>
              <w:fldChar w:fldCharType="separate"/>
            </w:r>
            <w:r>
              <w:rPr>
                <w:rStyle w:val="IndexLink"/>
              </w:rPr>
              <w:tab/>
              <w:t>19</w:t>
            </w:r>
            <w:r>
              <w:rPr>
                <w:webHidden/>
              </w:rPr>
              <w:fldChar w:fldCharType="end"/>
            </w:r>
          </w:hyperlink>
        </w:p>
        <w:p>
          <w:pPr>
            <w:pStyle w:val="Contents1"/>
            <w:tabs>
              <w:tab w:val="clear" w:pos="708"/>
              <w:tab w:val="right" w:pos="9360" w:leader="dot"/>
            </w:tabs>
            <w:rPr/>
          </w:pPr>
          <w:hyperlink w:anchor="_Toc48" w:tgtFrame="#_Toc48">
            <w:r>
              <w:rPr>
                <w:rStyle w:val="IndexLink"/>
                <w:rFonts w:eastAsia="Arial" w:cs="Arial"/>
                <w:b/>
              </w:rPr>
              <w:t>Termination Procedures</w:t>
            </w:r>
            <w:r>
              <w:rPr>
                <w:webHidden/>
              </w:rPr>
              <w:fldChar w:fldCharType="begin"/>
            </w:r>
            <w:r>
              <w:rPr>
                <w:webHidden/>
              </w:rPr>
              <w:instrText>PAGEREF _Toc48 \h</w:instrText>
            </w:r>
            <w:r>
              <w:rPr>
                <w:webHidden/>
              </w:rPr>
              <w:fldChar w:fldCharType="separate"/>
            </w:r>
            <w:r>
              <w:rPr>
                <w:rStyle w:val="IndexLink"/>
              </w:rPr>
              <w:tab/>
              <w:t>19</w:t>
            </w:r>
            <w:r>
              <w:rPr>
                <w:webHidden/>
              </w:rPr>
              <w:fldChar w:fldCharType="end"/>
            </w:r>
          </w:hyperlink>
        </w:p>
        <w:p>
          <w:pPr>
            <w:pStyle w:val="Contents1"/>
            <w:tabs>
              <w:tab w:val="clear" w:pos="708"/>
              <w:tab w:val="right" w:pos="9360" w:leader="dot"/>
            </w:tabs>
            <w:rPr/>
          </w:pPr>
          <w:hyperlink w:anchor="_Toc49" w:tgtFrame="#_Toc49">
            <w:r>
              <w:rPr>
                <w:rStyle w:val="IndexLink"/>
                <w:rFonts w:eastAsia="Arial" w:cs="Arial"/>
                <w:b/>
              </w:rPr>
              <w:t>Personnel Security Incident Response</w:t>
            </w:r>
            <w:r>
              <w:rPr>
                <w:webHidden/>
              </w:rPr>
              <w:fldChar w:fldCharType="begin"/>
            </w:r>
            <w:r>
              <w:rPr>
                <w:webHidden/>
              </w:rPr>
              <w:instrText>PAGEREF _Toc49 \h</w:instrText>
            </w:r>
            <w:r>
              <w:rPr>
                <w:webHidden/>
              </w:rPr>
              <w:fldChar w:fldCharType="separate"/>
            </w:r>
            <w:r>
              <w:rPr>
                <w:rStyle w:val="IndexLink"/>
              </w:rPr>
              <w:tab/>
              <w:t>20</w:t>
            </w:r>
            <w:r>
              <w:rPr>
                <w:webHidden/>
              </w:rPr>
              <w:fldChar w:fldCharType="end"/>
            </w:r>
          </w:hyperlink>
        </w:p>
        <w:p>
          <w:pPr>
            <w:pStyle w:val="Contents1"/>
            <w:tabs>
              <w:tab w:val="clear" w:pos="708"/>
              <w:tab w:val="right" w:pos="9360" w:leader="dot"/>
            </w:tabs>
            <w:rPr/>
          </w:pPr>
          <w:hyperlink w:anchor="_Toc50" w:tgtFrame="#_Toc50">
            <w:r>
              <w:rPr>
                <w:rStyle w:val="IndexLink"/>
                <w:rFonts w:eastAsia="Arial" w:cs="Arial"/>
                <w:b/>
              </w:rPr>
              <w:t>Personnel Security Policy Review and Revision</w:t>
            </w:r>
            <w:r>
              <w:rPr>
                <w:webHidden/>
              </w:rPr>
              <w:fldChar w:fldCharType="begin"/>
            </w:r>
            <w:r>
              <w:rPr>
                <w:webHidden/>
              </w:rPr>
              <w:instrText>PAGEREF _Toc50 \h</w:instrText>
            </w:r>
            <w:r>
              <w:rPr>
                <w:webHidden/>
              </w:rPr>
              <w:fldChar w:fldCharType="separate"/>
            </w:r>
            <w:r>
              <w:rPr>
                <w:rStyle w:val="IndexLink"/>
              </w:rPr>
              <w:tab/>
              <w:t>20</w:t>
            </w:r>
            <w:r>
              <w:rPr>
                <w:webHidden/>
              </w:rPr>
              <w:fldChar w:fldCharType="end"/>
            </w:r>
          </w:hyperlink>
        </w:p>
        <w:p>
          <w:pPr>
            <w:pStyle w:val="Contents1"/>
            <w:tabs>
              <w:tab w:val="clear" w:pos="708"/>
              <w:tab w:val="right" w:pos="9360" w:leader="dot"/>
            </w:tabs>
            <w:rPr/>
          </w:pPr>
          <w:hyperlink w:anchor="_Toc51" w:tgtFrame="#_Toc51">
            <w:r>
              <w:rPr>
                <w:rStyle w:val="IndexLink"/>
                <w:rFonts w:eastAsia="Arial" w:cs="Arial"/>
                <w:b/>
              </w:rPr>
              <w:t>Approval</w:t>
            </w:r>
            <w:r>
              <w:rPr>
                <w:webHidden/>
              </w:rPr>
              <w:fldChar w:fldCharType="begin"/>
            </w:r>
            <w:r>
              <w:rPr>
                <w:webHidden/>
              </w:rPr>
              <w:instrText>PAGEREF _Toc51 \h</w:instrText>
            </w:r>
            <w:r>
              <w:rPr>
                <w:webHidden/>
              </w:rPr>
              <w:fldChar w:fldCharType="separate"/>
            </w:r>
            <w:r>
              <w:rPr>
                <w:rStyle w:val="IndexLink"/>
              </w:rPr>
              <w:tab/>
              <w:t>20</w:t>
            </w:r>
            <w:r>
              <w:rPr>
                <w:webHidden/>
              </w:rPr>
              <w:fldChar w:fldCharType="end"/>
            </w:r>
          </w:hyperlink>
        </w:p>
        <w:p>
          <w:pPr>
            <w:pStyle w:val="Contents1"/>
            <w:tabs>
              <w:tab w:val="clear" w:pos="708"/>
              <w:tab w:val="right" w:pos="9360" w:leader="dot"/>
            </w:tabs>
            <w:rPr/>
          </w:pPr>
          <w:hyperlink w:anchor="_Toc52" w:tgtFrame="#_Toc52">
            <w:r>
              <w:rPr>
                <w:rStyle w:val="IndexLink"/>
                <w:rFonts w:eastAsia="Arial" w:cs="Arial"/>
                <w:b/>
              </w:rPr>
              <w:t>Introduction</w:t>
            </w:r>
            <w:r>
              <w:rPr>
                <w:webHidden/>
              </w:rPr>
              <w:fldChar w:fldCharType="begin"/>
            </w:r>
            <w:r>
              <w:rPr>
                <w:webHidden/>
              </w:rPr>
              <w:instrText>PAGEREF _Toc52 \h</w:instrText>
            </w:r>
            <w:r>
              <w:rPr>
                <w:webHidden/>
              </w:rPr>
              <w:fldChar w:fldCharType="separate"/>
            </w:r>
            <w:r>
              <w:rPr>
                <w:rStyle w:val="IndexLink"/>
              </w:rPr>
              <w:tab/>
              <w:t>21</w:t>
            </w:r>
            <w:r>
              <w:rPr>
                <w:webHidden/>
              </w:rPr>
              <w:fldChar w:fldCharType="end"/>
            </w:r>
          </w:hyperlink>
        </w:p>
        <w:p>
          <w:pPr>
            <w:pStyle w:val="Contents1"/>
            <w:tabs>
              <w:tab w:val="clear" w:pos="708"/>
              <w:tab w:val="right" w:pos="9360" w:leader="dot"/>
            </w:tabs>
            <w:rPr/>
          </w:pPr>
          <w:hyperlink w:anchor="_Toc53" w:tgtFrame="#_Toc53">
            <w:r>
              <w:rPr>
                <w:rStyle w:val="IndexLink"/>
                <w:rFonts w:eastAsia="Arial" w:cs="Arial"/>
                <w:b/>
              </w:rPr>
              <w:t>Scope</w:t>
            </w:r>
            <w:r>
              <w:rPr>
                <w:webHidden/>
              </w:rPr>
              <w:fldChar w:fldCharType="begin"/>
            </w:r>
            <w:r>
              <w:rPr>
                <w:webHidden/>
              </w:rPr>
              <w:instrText>PAGEREF _Toc53 \h</w:instrText>
            </w:r>
            <w:r>
              <w:rPr>
                <w:webHidden/>
              </w:rPr>
              <w:fldChar w:fldCharType="separate"/>
            </w:r>
            <w:r>
              <w:rPr>
                <w:rStyle w:val="IndexLink"/>
              </w:rPr>
              <w:tab/>
              <w:t>21</w:t>
            </w:r>
            <w:r>
              <w:rPr>
                <w:webHidden/>
              </w:rPr>
              <w:fldChar w:fldCharType="end"/>
            </w:r>
          </w:hyperlink>
        </w:p>
        <w:p>
          <w:pPr>
            <w:pStyle w:val="Contents1"/>
            <w:tabs>
              <w:tab w:val="clear" w:pos="708"/>
              <w:tab w:val="right" w:pos="9360" w:leader="dot"/>
            </w:tabs>
            <w:rPr/>
          </w:pPr>
          <w:hyperlink w:anchor="_Toc54" w:tgtFrame="#_Toc54">
            <w:r>
              <w:rPr>
                <w:rStyle w:val="IndexLink"/>
                <w:rFonts w:eastAsia="Arial" w:cs="Arial"/>
                <w:b/>
              </w:rPr>
              <w:t>Physical Security Objectives</w:t>
            </w:r>
            <w:r>
              <w:rPr>
                <w:webHidden/>
              </w:rPr>
              <w:fldChar w:fldCharType="begin"/>
            </w:r>
            <w:r>
              <w:rPr>
                <w:webHidden/>
              </w:rPr>
              <w:instrText>PAGEREF _Toc54 \h</w:instrText>
            </w:r>
            <w:r>
              <w:rPr>
                <w:webHidden/>
              </w:rPr>
              <w:fldChar w:fldCharType="separate"/>
            </w:r>
            <w:r>
              <w:rPr>
                <w:rStyle w:val="IndexLink"/>
              </w:rPr>
              <w:tab/>
              <w:t>21</w:t>
            </w:r>
            <w:r>
              <w:rPr>
                <w:webHidden/>
              </w:rPr>
              <w:fldChar w:fldCharType="end"/>
            </w:r>
          </w:hyperlink>
        </w:p>
        <w:p>
          <w:pPr>
            <w:pStyle w:val="Contents1"/>
            <w:tabs>
              <w:tab w:val="clear" w:pos="708"/>
              <w:tab w:val="right" w:pos="9360" w:leader="dot"/>
            </w:tabs>
            <w:rPr/>
          </w:pPr>
          <w:hyperlink w:anchor="_Toc55" w:tgtFrame="#_Toc55">
            <w:r>
              <w:rPr>
                <w:rStyle w:val="IndexLink"/>
                <w:rFonts w:eastAsia="Arial" w:cs="Arial"/>
                <w:b/>
              </w:rPr>
              <w:t>Physical Access Controls</w:t>
            </w:r>
            <w:r>
              <w:rPr>
                <w:webHidden/>
              </w:rPr>
              <w:fldChar w:fldCharType="begin"/>
            </w:r>
            <w:r>
              <w:rPr>
                <w:webHidden/>
              </w:rPr>
              <w:instrText>PAGEREF _Toc55 \h</w:instrText>
            </w:r>
            <w:r>
              <w:rPr>
                <w:webHidden/>
              </w:rPr>
              <w:fldChar w:fldCharType="separate"/>
            </w:r>
            <w:r>
              <w:rPr>
                <w:rStyle w:val="IndexLink"/>
              </w:rPr>
              <w:tab/>
              <w:t>21</w:t>
            </w:r>
            <w:r>
              <w:rPr>
                <w:webHidden/>
              </w:rPr>
              <w:fldChar w:fldCharType="end"/>
            </w:r>
          </w:hyperlink>
        </w:p>
        <w:p>
          <w:pPr>
            <w:pStyle w:val="Contents1"/>
            <w:tabs>
              <w:tab w:val="clear" w:pos="708"/>
              <w:tab w:val="right" w:pos="9360" w:leader="dot"/>
            </w:tabs>
            <w:rPr/>
          </w:pPr>
          <w:hyperlink w:anchor="_Toc56" w:tgtFrame="#_Toc56">
            <w:r>
              <w:rPr>
                <w:rStyle w:val="IndexLink"/>
                <w:rFonts w:eastAsia="Arial" w:cs="Arial"/>
                <w:b/>
              </w:rPr>
              <w:t>Media Protection</w:t>
            </w:r>
            <w:r>
              <w:rPr>
                <w:webHidden/>
              </w:rPr>
              <w:fldChar w:fldCharType="begin"/>
            </w:r>
            <w:r>
              <w:rPr>
                <w:webHidden/>
              </w:rPr>
              <w:instrText>PAGEREF _Toc56 \h</w:instrText>
            </w:r>
            <w:r>
              <w:rPr>
                <w:webHidden/>
              </w:rPr>
              <w:fldChar w:fldCharType="separate"/>
            </w:r>
            <w:r>
              <w:rPr>
                <w:rStyle w:val="IndexLink"/>
              </w:rPr>
              <w:tab/>
              <w:t>21</w:t>
            </w:r>
            <w:r>
              <w:rPr>
                <w:webHidden/>
              </w:rPr>
              <w:fldChar w:fldCharType="end"/>
            </w:r>
          </w:hyperlink>
        </w:p>
        <w:p>
          <w:pPr>
            <w:pStyle w:val="Contents1"/>
            <w:tabs>
              <w:tab w:val="clear" w:pos="708"/>
              <w:tab w:val="right" w:pos="9360" w:leader="dot"/>
            </w:tabs>
            <w:rPr/>
          </w:pPr>
          <w:hyperlink w:anchor="_Toc57" w:tgtFrame="#_Toc57">
            <w:r>
              <w:rPr>
                <w:rStyle w:val="IndexLink"/>
                <w:rFonts w:eastAsia="Arial" w:cs="Arial"/>
                <w:b/>
              </w:rPr>
              <w:t>Media Handling and Storage</w:t>
            </w:r>
            <w:r>
              <w:rPr>
                <w:webHidden/>
              </w:rPr>
              <w:fldChar w:fldCharType="begin"/>
            </w:r>
            <w:r>
              <w:rPr>
                <w:webHidden/>
              </w:rPr>
              <w:instrText>PAGEREF _Toc57 \h</w:instrText>
            </w:r>
            <w:r>
              <w:rPr>
                <w:webHidden/>
              </w:rPr>
              <w:fldChar w:fldCharType="separate"/>
            </w:r>
            <w:r>
              <w:rPr>
                <w:rStyle w:val="IndexLink"/>
              </w:rPr>
              <w:tab/>
              <w:t>22</w:t>
            </w:r>
            <w:r>
              <w:rPr>
                <w:webHidden/>
              </w:rPr>
              <w:fldChar w:fldCharType="end"/>
            </w:r>
          </w:hyperlink>
        </w:p>
        <w:p>
          <w:pPr>
            <w:pStyle w:val="Contents1"/>
            <w:tabs>
              <w:tab w:val="clear" w:pos="708"/>
              <w:tab w:val="right" w:pos="9360" w:leader="dot"/>
            </w:tabs>
            <w:rPr/>
          </w:pPr>
          <w:hyperlink w:anchor="_Toc58" w:tgtFrame="#_Toc58">
            <w:r>
              <w:rPr>
                <w:rStyle w:val="IndexLink"/>
                <w:rFonts w:eastAsia="Arial" w:cs="Arial"/>
                <w:b/>
              </w:rPr>
              <w:t>Media Disposal</w:t>
            </w:r>
            <w:r>
              <w:rPr>
                <w:webHidden/>
              </w:rPr>
              <w:fldChar w:fldCharType="begin"/>
            </w:r>
            <w:r>
              <w:rPr>
                <w:webHidden/>
              </w:rPr>
              <w:instrText>PAGEREF _Toc58 \h</w:instrText>
            </w:r>
            <w:r>
              <w:rPr>
                <w:webHidden/>
              </w:rPr>
              <w:fldChar w:fldCharType="separate"/>
            </w:r>
            <w:r>
              <w:rPr>
                <w:rStyle w:val="IndexLink"/>
              </w:rPr>
              <w:tab/>
              <w:t>22</w:t>
            </w:r>
            <w:r>
              <w:rPr>
                <w:webHidden/>
              </w:rPr>
              <w:fldChar w:fldCharType="end"/>
            </w:r>
          </w:hyperlink>
        </w:p>
        <w:p>
          <w:pPr>
            <w:pStyle w:val="Contents1"/>
            <w:tabs>
              <w:tab w:val="clear" w:pos="708"/>
              <w:tab w:val="right" w:pos="9360" w:leader="dot"/>
            </w:tabs>
            <w:rPr/>
          </w:pPr>
          <w:hyperlink w:anchor="_Toc59" w:tgtFrame="#_Toc59">
            <w:r>
              <w:rPr>
                <w:rStyle w:val="IndexLink"/>
                <w:rFonts w:eastAsia="Arial" w:cs="Arial"/>
                <w:b/>
              </w:rPr>
              <w:t>Physical Security Incident Response</w:t>
            </w:r>
            <w:r>
              <w:rPr>
                <w:webHidden/>
              </w:rPr>
              <w:fldChar w:fldCharType="begin"/>
            </w:r>
            <w:r>
              <w:rPr>
                <w:webHidden/>
              </w:rPr>
              <w:instrText>PAGEREF _Toc59 \h</w:instrText>
            </w:r>
            <w:r>
              <w:rPr>
                <w:webHidden/>
              </w:rPr>
              <w:fldChar w:fldCharType="separate"/>
            </w:r>
            <w:r>
              <w:rPr>
                <w:rStyle w:val="IndexLink"/>
              </w:rPr>
              <w:tab/>
              <w:t>22</w:t>
            </w:r>
            <w:r>
              <w:rPr>
                <w:webHidden/>
              </w:rPr>
              <w:fldChar w:fldCharType="end"/>
            </w:r>
          </w:hyperlink>
        </w:p>
        <w:p>
          <w:pPr>
            <w:pStyle w:val="Contents1"/>
            <w:tabs>
              <w:tab w:val="clear" w:pos="708"/>
              <w:tab w:val="right" w:pos="9360" w:leader="dot"/>
            </w:tabs>
            <w:rPr/>
          </w:pPr>
          <w:hyperlink w:anchor="_Toc60" w:tgtFrame="#_Toc60">
            <w:r>
              <w:rPr>
                <w:rStyle w:val="IndexLink"/>
                <w:rFonts w:eastAsia="Arial" w:cs="Arial"/>
                <w:b/>
              </w:rPr>
              <w:t>Physical and Media Protection Policy Review and Revision</w:t>
            </w:r>
            <w:r>
              <w:rPr>
                <w:webHidden/>
              </w:rPr>
              <w:fldChar w:fldCharType="begin"/>
            </w:r>
            <w:r>
              <w:rPr>
                <w:webHidden/>
              </w:rPr>
              <w:instrText>PAGEREF _Toc60 \h</w:instrText>
            </w:r>
            <w:r>
              <w:rPr>
                <w:webHidden/>
              </w:rPr>
              <w:fldChar w:fldCharType="separate"/>
            </w:r>
            <w:r>
              <w:rPr>
                <w:rStyle w:val="IndexLink"/>
              </w:rPr>
              <w:tab/>
              <w:t>22</w:t>
            </w:r>
            <w:r>
              <w:rPr>
                <w:webHidden/>
              </w:rPr>
              <w:fldChar w:fldCharType="end"/>
            </w:r>
          </w:hyperlink>
        </w:p>
        <w:p>
          <w:pPr>
            <w:pStyle w:val="Contents1"/>
            <w:tabs>
              <w:tab w:val="clear" w:pos="708"/>
              <w:tab w:val="right" w:pos="9360" w:leader="dot"/>
            </w:tabs>
            <w:rPr/>
          </w:pPr>
          <w:hyperlink w:anchor="_Toc61" w:tgtFrame="#_Toc61">
            <w:r>
              <w:rPr>
                <w:rStyle w:val="IndexLink"/>
                <w:rFonts w:eastAsia="Arial" w:cs="Arial"/>
                <w:b/>
              </w:rPr>
              <w:t>Approval</w:t>
            </w:r>
            <w:r>
              <w:rPr>
                <w:webHidden/>
              </w:rPr>
              <w:fldChar w:fldCharType="begin"/>
            </w:r>
            <w:r>
              <w:rPr>
                <w:webHidden/>
              </w:rPr>
              <w:instrText>PAGEREF _Toc61 \h</w:instrText>
            </w:r>
            <w:r>
              <w:rPr>
                <w:webHidden/>
              </w:rPr>
              <w:fldChar w:fldCharType="separate"/>
            </w:r>
            <w:r>
              <w:rPr>
                <w:rStyle w:val="IndexLink"/>
              </w:rPr>
              <w:tab/>
              <w:t>22</w:t>
            </w:r>
            <w:r>
              <w:rPr>
                <w:webHidden/>
              </w:rPr>
              <w:fldChar w:fldCharType="end"/>
            </w:r>
          </w:hyperlink>
        </w:p>
        <w:p>
          <w:pPr>
            <w:pStyle w:val="Contents1"/>
            <w:tabs>
              <w:tab w:val="clear" w:pos="708"/>
              <w:tab w:val="right" w:pos="9360" w:leader="dot"/>
            </w:tabs>
            <w:rPr/>
          </w:pPr>
          <w:hyperlink w:anchor="_Toc62" w:tgtFrame="#_Toc62">
            <w:r>
              <w:rPr>
                <w:rStyle w:val="IndexLink"/>
                <w:rFonts w:eastAsia="Arial" w:cs="Arial"/>
                <w:b/>
              </w:rPr>
              <w:t>Introduction</w:t>
            </w:r>
            <w:r>
              <w:rPr>
                <w:webHidden/>
              </w:rPr>
              <w:fldChar w:fldCharType="begin"/>
            </w:r>
            <w:r>
              <w:rPr>
                <w:webHidden/>
              </w:rPr>
              <w:instrText>PAGEREF _Toc62 \h</w:instrText>
            </w:r>
            <w:r>
              <w:rPr>
                <w:webHidden/>
              </w:rPr>
              <w:fldChar w:fldCharType="separate"/>
            </w:r>
            <w:r>
              <w:rPr>
                <w:rStyle w:val="IndexLink"/>
              </w:rPr>
              <w:tab/>
              <w:t>24</w:t>
            </w:r>
            <w:r>
              <w:rPr>
                <w:webHidden/>
              </w:rPr>
              <w:fldChar w:fldCharType="end"/>
            </w:r>
          </w:hyperlink>
        </w:p>
        <w:p>
          <w:pPr>
            <w:pStyle w:val="Contents1"/>
            <w:tabs>
              <w:tab w:val="clear" w:pos="708"/>
              <w:tab w:val="right" w:pos="9360" w:leader="dot"/>
            </w:tabs>
            <w:rPr/>
          </w:pPr>
          <w:hyperlink w:anchor="_Toc63" w:tgtFrame="#_Toc63">
            <w:r>
              <w:rPr>
                <w:rStyle w:val="IndexLink"/>
                <w:rFonts w:eastAsia="Arial" w:cs="Arial"/>
                <w:b/>
              </w:rPr>
              <w:t>Scope</w:t>
            </w:r>
            <w:r>
              <w:rPr>
                <w:webHidden/>
              </w:rPr>
              <w:fldChar w:fldCharType="begin"/>
            </w:r>
            <w:r>
              <w:rPr>
                <w:webHidden/>
              </w:rPr>
              <w:instrText>PAGEREF _Toc63 \h</w:instrText>
            </w:r>
            <w:r>
              <w:rPr>
                <w:webHidden/>
              </w:rPr>
              <w:fldChar w:fldCharType="separate"/>
            </w:r>
            <w:r>
              <w:rPr>
                <w:rStyle w:val="IndexLink"/>
              </w:rPr>
              <w:tab/>
              <w:t>24</w:t>
            </w:r>
            <w:r>
              <w:rPr>
                <w:webHidden/>
              </w:rPr>
              <w:fldChar w:fldCharType="end"/>
            </w:r>
          </w:hyperlink>
        </w:p>
        <w:p>
          <w:pPr>
            <w:pStyle w:val="Contents1"/>
            <w:tabs>
              <w:tab w:val="clear" w:pos="708"/>
              <w:tab w:val="right" w:pos="9360" w:leader="dot"/>
            </w:tabs>
            <w:rPr/>
          </w:pPr>
          <w:hyperlink w:anchor="_Toc64" w:tgtFrame="#_Toc64">
            <w:r>
              <w:rPr>
                <w:rStyle w:val="IndexLink"/>
                <w:rFonts w:eastAsia="Arial" w:cs="Arial"/>
                <w:b/>
              </w:rPr>
              <w:t>Configuration Management Objectives</w:t>
            </w:r>
            <w:r>
              <w:rPr>
                <w:webHidden/>
              </w:rPr>
              <w:fldChar w:fldCharType="begin"/>
            </w:r>
            <w:r>
              <w:rPr>
                <w:webHidden/>
              </w:rPr>
              <w:instrText>PAGEREF _Toc64 \h</w:instrText>
            </w:r>
            <w:r>
              <w:rPr>
                <w:webHidden/>
              </w:rPr>
              <w:fldChar w:fldCharType="separate"/>
            </w:r>
            <w:r>
              <w:rPr>
                <w:rStyle w:val="IndexLink"/>
              </w:rPr>
              <w:tab/>
              <w:t>24</w:t>
            </w:r>
            <w:r>
              <w:rPr>
                <w:webHidden/>
              </w:rPr>
              <w:fldChar w:fldCharType="end"/>
            </w:r>
          </w:hyperlink>
        </w:p>
        <w:p>
          <w:pPr>
            <w:pStyle w:val="Contents1"/>
            <w:tabs>
              <w:tab w:val="clear" w:pos="708"/>
              <w:tab w:val="right" w:pos="9360" w:leader="dot"/>
            </w:tabs>
            <w:rPr/>
          </w:pPr>
          <w:hyperlink w:anchor="_Toc65" w:tgtFrame="#_Toc65">
            <w:r>
              <w:rPr>
                <w:rStyle w:val="IndexLink"/>
                <w:rFonts w:eastAsia="Arial" w:cs="Arial"/>
                <w:b/>
              </w:rPr>
              <w:t>Configuration Management Procedures</w:t>
            </w:r>
            <w:r>
              <w:rPr>
                <w:webHidden/>
              </w:rPr>
              <w:fldChar w:fldCharType="begin"/>
            </w:r>
            <w:r>
              <w:rPr>
                <w:webHidden/>
              </w:rPr>
              <w:instrText>PAGEREF _Toc65 \h</w:instrText>
            </w:r>
            <w:r>
              <w:rPr>
                <w:webHidden/>
              </w:rPr>
              <w:fldChar w:fldCharType="separate"/>
            </w:r>
            <w:r>
              <w:rPr>
                <w:rStyle w:val="IndexLink"/>
              </w:rPr>
              <w:tab/>
              <w:t>24</w:t>
            </w:r>
            <w:r>
              <w:rPr>
                <w:webHidden/>
              </w:rPr>
              <w:fldChar w:fldCharType="end"/>
            </w:r>
          </w:hyperlink>
        </w:p>
        <w:p>
          <w:pPr>
            <w:pStyle w:val="Contents1"/>
            <w:tabs>
              <w:tab w:val="clear" w:pos="708"/>
              <w:tab w:val="right" w:pos="9360" w:leader="dot"/>
            </w:tabs>
            <w:rPr/>
          </w:pPr>
          <w:hyperlink w:anchor="_Toc66" w:tgtFrame="#_Toc66">
            <w:r>
              <w:rPr>
                <w:rStyle w:val="IndexLink"/>
                <w:rFonts w:eastAsia="Arial" w:cs="Arial"/>
                <w:b/>
              </w:rPr>
              <w:t>Vulnerability Management Objectives</w:t>
            </w:r>
            <w:r>
              <w:rPr>
                <w:webHidden/>
              </w:rPr>
              <w:fldChar w:fldCharType="begin"/>
            </w:r>
            <w:r>
              <w:rPr>
                <w:webHidden/>
              </w:rPr>
              <w:instrText>PAGEREF _Toc66 \h</w:instrText>
            </w:r>
            <w:r>
              <w:rPr>
                <w:webHidden/>
              </w:rPr>
              <w:fldChar w:fldCharType="separate"/>
            </w:r>
            <w:r>
              <w:rPr>
                <w:rStyle w:val="IndexLink"/>
              </w:rPr>
              <w:tab/>
              <w:t>24</w:t>
            </w:r>
            <w:r>
              <w:rPr>
                <w:webHidden/>
              </w:rPr>
              <w:fldChar w:fldCharType="end"/>
            </w:r>
          </w:hyperlink>
        </w:p>
        <w:p>
          <w:pPr>
            <w:pStyle w:val="Contents1"/>
            <w:tabs>
              <w:tab w:val="clear" w:pos="708"/>
              <w:tab w:val="right" w:pos="9360" w:leader="dot"/>
            </w:tabs>
            <w:rPr/>
          </w:pPr>
          <w:hyperlink w:anchor="_Toc67" w:tgtFrame="#_Toc67">
            <w:r>
              <w:rPr>
                <w:rStyle w:val="IndexLink"/>
                <w:rFonts w:eastAsia="Arial" w:cs="Arial"/>
                <w:b/>
              </w:rPr>
              <w:t>Vulnerability Management Procedures</w:t>
            </w:r>
            <w:r>
              <w:rPr>
                <w:webHidden/>
              </w:rPr>
              <w:fldChar w:fldCharType="begin"/>
            </w:r>
            <w:r>
              <w:rPr>
                <w:webHidden/>
              </w:rPr>
              <w:instrText>PAGEREF _Toc67 \h</w:instrText>
            </w:r>
            <w:r>
              <w:rPr>
                <w:webHidden/>
              </w:rPr>
              <w:fldChar w:fldCharType="separate"/>
            </w:r>
            <w:r>
              <w:rPr>
                <w:rStyle w:val="IndexLink"/>
              </w:rPr>
              <w:tab/>
              <w:t>25</w:t>
            </w:r>
            <w:r>
              <w:rPr>
                <w:webHidden/>
              </w:rPr>
              <w:fldChar w:fldCharType="end"/>
            </w:r>
          </w:hyperlink>
        </w:p>
        <w:p>
          <w:pPr>
            <w:pStyle w:val="Contents1"/>
            <w:tabs>
              <w:tab w:val="clear" w:pos="708"/>
              <w:tab w:val="right" w:pos="9360" w:leader="dot"/>
            </w:tabs>
            <w:rPr/>
          </w:pPr>
          <w:hyperlink w:anchor="_Toc68" w:tgtFrame="#_Toc68">
            <w:r>
              <w:rPr>
                <w:rStyle w:val="IndexLink"/>
                <w:rFonts w:eastAsia="Arial" w:cs="Arial"/>
                <w:b/>
              </w:rPr>
              <w:t>Vulnerability Scanning Tools</w:t>
            </w:r>
            <w:r>
              <w:rPr>
                <w:webHidden/>
              </w:rPr>
              <w:fldChar w:fldCharType="begin"/>
            </w:r>
            <w:r>
              <w:rPr>
                <w:webHidden/>
              </w:rPr>
              <w:instrText>PAGEREF _Toc68 \h</w:instrText>
            </w:r>
            <w:r>
              <w:rPr>
                <w:webHidden/>
              </w:rPr>
              <w:fldChar w:fldCharType="separate"/>
            </w:r>
            <w:r>
              <w:rPr>
                <w:rStyle w:val="IndexLink"/>
              </w:rPr>
              <w:tab/>
              <w:t>25</w:t>
            </w:r>
            <w:r>
              <w:rPr>
                <w:webHidden/>
              </w:rPr>
              <w:fldChar w:fldCharType="end"/>
            </w:r>
          </w:hyperlink>
        </w:p>
        <w:p>
          <w:pPr>
            <w:pStyle w:val="Contents1"/>
            <w:tabs>
              <w:tab w:val="clear" w:pos="708"/>
              <w:tab w:val="right" w:pos="9360" w:leader="dot"/>
            </w:tabs>
            <w:rPr/>
          </w:pPr>
          <w:hyperlink w:anchor="_Toc69" w:tgtFrame="#_Toc69">
            <w:r>
              <w:rPr>
                <w:rStyle w:val="IndexLink"/>
                <w:rFonts w:eastAsia="Arial" w:cs="Arial"/>
                <w:b/>
              </w:rPr>
              <w:t>Vulnerability Remediation</w:t>
            </w:r>
            <w:r>
              <w:rPr>
                <w:webHidden/>
              </w:rPr>
              <w:fldChar w:fldCharType="begin"/>
            </w:r>
            <w:r>
              <w:rPr>
                <w:webHidden/>
              </w:rPr>
              <w:instrText>PAGEREF _Toc69 \h</w:instrText>
            </w:r>
            <w:r>
              <w:rPr>
                <w:webHidden/>
              </w:rPr>
              <w:fldChar w:fldCharType="separate"/>
            </w:r>
            <w:r>
              <w:rPr>
                <w:rStyle w:val="IndexLink"/>
              </w:rPr>
              <w:tab/>
              <w:t>26</w:t>
            </w:r>
            <w:r>
              <w:rPr>
                <w:webHidden/>
              </w:rPr>
              <w:fldChar w:fldCharType="end"/>
            </w:r>
          </w:hyperlink>
        </w:p>
        <w:p>
          <w:pPr>
            <w:pStyle w:val="Contents1"/>
            <w:tabs>
              <w:tab w:val="clear" w:pos="708"/>
              <w:tab w:val="right" w:pos="9360" w:leader="dot"/>
            </w:tabs>
            <w:rPr>
              <w:rFonts w:ascii="Arial" w:hAnsi="Arial" w:eastAsia="Arial" w:cs="Arial"/>
              <w:b/>
              <w:b/>
              <w:bCs/>
            </w:rPr>
          </w:pPr>
          <w:hyperlink w:anchor="_Toc70" w:tgtFrame="#_Toc70">
            <w:r>
              <w:rPr>
                <w:rStyle w:val="IndexLink"/>
                <w:rFonts w:eastAsia="Arial" w:cs="Arial"/>
                <w:b/>
              </w:rPr>
              <w:t>Automated Updates</w:t>
            </w:r>
            <w:r>
              <w:rPr>
                <w:rStyle w:val="IndexLink"/>
              </w:rPr>
              <w:tab/>
            </w:r>
            <w:r>
              <w:rPr>
                <w:webHidden/>
              </w:rPr>
              <w:fldChar w:fldCharType="begin"/>
            </w:r>
            <w:r>
              <w:rPr>
                <w:webHidden/>
              </w:rPr>
              <w:instrText>PAGEREF _Toc70 \h</w:instrText>
            </w:r>
            <w:r>
              <w:rPr>
                <w:webHidden/>
              </w:rPr>
              <w:fldChar w:fldCharType="separate"/>
            </w:r>
            <w:r>
              <w:rPr>
                <w:rStyle w:val="IndexLink"/>
                <w:rFonts w:eastAsia="Arial" w:cs="Arial"/>
                <w:b/>
                <w:bCs/>
              </w:rPr>
              <w:t>26</w:t>
            </w:r>
            <w:r>
              <w:rPr>
                <w:webHidden/>
              </w:rPr>
              <w:fldChar w:fldCharType="end"/>
            </w:r>
          </w:hyperlink>
        </w:p>
        <w:p>
          <w:pPr>
            <w:pStyle w:val="Contents1"/>
            <w:tabs>
              <w:tab w:val="clear" w:pos="708"/>
              <w:tab w:val="right" w:pos="9360" w:leader="dot"/>
            </w:tabs>
            <w:rPr/>
          </w:pPr>
          <w:hyperlink w:anchor="_Toc71" w:tgtFrame="#_Toc71">
            <w:r>
              <w:rPr>
                <w:rStyle w:val="IndexLink"/>
                <w:rFonts w:eastAsia="Arial" w:cs="Arial"/>
                <w:b/>
              </w:rPr>
              <w:t>Automated Update Verification</w:t>
            </w:r>
            <w:r>
              <w:rPr>
                <w:webHidden/>
              </w:rPr>
              <w:fldChar w:fldCharType="begin"/>
            </w:r>
            <w:r>
              <w:rPr>
                <w:webHidden/>
              </w:rPr>
              <w:instrText>PAGEREF _Toc71 \h</w:instrText>
            </w:r>
            <w:r>
              <w:rPr>
                <w:webHidden/>
              </w:rPr>
              <w:fldChar w:fldCharType="separate"/>
            </w:r>
            <w:r>
              <w:rPr>
                <w:rStyle w:val="IndexLink"/>
              </w:rPr>
              <w:tab/>
              <w:t>26</w:t>
            </w:r>
            <w:r>
              <w:rPr>
                <w:webHidden/>
              </w:rPr>
              <w:fldChar w:fldCharType="end"/>
            </w:r>
          </w:hyperlink>
        </w:p>
        <w:p>
          <w:pPr>
            <w:pStyle w:val="Contents1"/>
            <w:tabs>
              <w:tab w:val="clear" w:pos="708"/>
              <w:tab w:val="right" w:pos="9360" w:leader="dot"/>
            </w:tabs>
            <w:rPr/>
          </w:pPr>
          <w:hyperlink w:anchor="_Toc72" w:tgtFrame="#_Toc72">
            <w:r>
              <w:rPr>
                <w:rStyle w:val="IndexLink"/>
                <w:rFonts w:eastAsia="Arial" w:cs="Arial"/>
                <w:b/>
              </w:rPr>
              <w:t>Automated Update Policy Review and Revision</w:t>
            </w:r>
            <w:r>
              <w:rPr>
                <w:webHidden/>
              </w:rPr>
              <w:fldChar w:fldCharType="begin"/>
            </w:r>
            <w:r>
              <w:rPr>
                <w:webHidden/>
              </w:rPr>
              <w:instrText>PAGEREF _Toc72 \h</w:instrText>
            </w:r>
            <w:r>
              <w:rPr>
                <w:webHidden/>
              </w:rPr>
              <w:fldChar w:fldCharType="separate"/>
            </w:r>
            <w:r>
              <w:rPr>
                <w:rStyle w:val="IndexLink"/>
              </w:rPr>
              <w:tab/>
              <w:t>27</w:t>
            </w:r>
            <w:r>
              <w:rPr>
                <w:webHidden/>
              </w:rPr>
              <w:fldChar w:fldCharType="end"/>
            </w:r>
          </w:hyperlink>
        </w:p>
        <w:p>
          <w:pPr>
            <w:pStyle w:val="Contents1"/>
            <w:tabs>
              <w:tab w:val="clear" w:pos="708"/>
              <w:tab w:val="right" w:pos="9360" w:leader="dot"/>
            </w:tabs>
            <w:rPr/>
          </w:pPr>
          <w:hyperlink w:anchor="_Toc73" w:tgtFrame="#_Toc73">
            <w:r>
              <w:rPr>
                <w:rStyle w:val="IndexLink"/>
                <w:rFonts w:eastAsia="Arial" w:cs="Arial"/>
                <w:b/>
              </w:rPr>
              <w:t>Approval</w:t>
            </w:r>
            <w:r>
              <w:rPr>
                <w:webHidden/>
              </w:rPr>
              <w:fldChar w:fldCharType="begin"/>
            </w:r>
            <w:r>
              <w:rPr>
                <w:webHidden/>
              </w:rPr>
              <w:instrText>PAGEREF _Toc73 \h</w:instrText>
            </w:r>
            <w:r>
              <w:rPr>
                <w:webHidden/>
              </w:rPr>
              <w:fldChar w:fldCharType="separate"/>
            </w:r>
            <w:r>
              <w:rPr>
                <w:rStyle w:val="IndexLink"/>
              </w:rPr>
              <w:tab/>
              <w:t>27</w:t>
            </w:r>
            <w:r>
              <w:rPr>
                <w:webHidden/>
              </w:rPr>
              <w:fldChar w:fldCharType="end"/>
            </w:r>
          </w:hyperlink>
          <w:r>
            <w:rPr>
              <w:rStyle w:val="IndexLink"/>
            </w:rPr>
            <w:fldChar w:fldCharType="end"/>
          </w:r>
        </w:p>
      </w:sdtContent>
    </w:sdt>
    <w:p>
      <w:pPr>
        <w:pStyle w:val="Normal"/>
        <w:widowControl/>
        <w:bidi w:val="0"/>
        <w:spacing w:lineRule="auto" w:line="276" w:before="0" w:after="200"/>
        <w:jc w:val="left"/>
        <w:rPr/>
      </w:pPr>
      <w:r>
        <w:rPr/>
      </w:r>
    </w:p>
    <w:p>
      <w:pPr>
        <w:pStyle w:val="Normal"/>
        <w:shd w:val="nil"/>
        <w:rPr>
          <w14:ligatures w14:val="none"/>
        </w:rPr>
      </w:pPr>
      <w:r>
        <w:rPr>
          <w14:ligatures w14:val="none"/>
        </w:rPr>
      </w:r>
      <w:r>
        <w:br w:type="page"/>
      </w:r>
    </w:p>
    <w:p>
      <w:pPr>
        <w:pStyle w:val="Title"/>
        <w:rPr>
          <w14:ligatures w14:val="none"/>
        </w:rPr>
      </w:pPr>
      <w:r>
        <w:rPr/>
        <w:t>System Security Plan (SSP)</w:t>
      </w:r>
    </w:p>
    <w:p>
      <w:pPr>
        <w:pStyle w:val="Title"/>
        <w:rPr>
          <w14:ligatures w14:val="none"/>
        </w:rPr>
      </w:pPr>
      <w:r>
        <w:rPr/>
        <w:t>CyberHygiene Production Network</w:t>
      </w:r>
    </w:p>
    <w:p>
      <w:pPr>
        <w:pStyle w:val="Normal"/>
        <w:pBdr/>
        <w:shd w:val="clear" w:color="FFFFFF" w:fill="FFFFFF"/>
        <w:spacing w:before="84" w:after="84"/>
        <w:ind w:left="84" w:right="84" w:hanging="0"/>
        <w:rPr/>
      </w:pPr>
      <w:r>
        <w:rPr>
          <w:rFonts w:eastAsia="Arial" w:cs="Arial"/>
          <w:b/>
          <w:color w:val="0E0F0F"/>
          <w:sz w:val="27"/>
        </w:rPr>
        <w:t>Domain:</w:t>
      </w:r>
      <w:r>
        <w:rPr>
          <w:rFonts w:eastAsia="Arial" w:cs="Arial"/>
          <w:color w:val="0E0F0F"/>
          <w:sz w:val="27"/>
        </w:rPr>
        <w:t> cyberinabox.net</w:t>
      </w:r>
    </w:p>
    <w:p>
      <w:pPr>
        <w:pStyle w:val="Normal"/>
        <w:pBdr/>
        <w:shd w:val="clear" w:color="FFFFFF" w:fill="FFFFFF"/>
        <w:spacing w:before="84" w:after="84"/>
        <w:ind w:left="84" w:right="84" w:hanging="0"/>
        <w:rPr/>
      </w:pPr>
      <w:r>
        <w:rPr>
          <w:rFonts w:eastAsia="Arial" w:cs="Arial"/>
          <w:b/>
          <w:color w:val="0E0F0F"/>
          <w:sz w:val="27"/>
        </w:rPr>
        <w:t>Version 1.0 - DRAFT</w:t>
      </w:r>
    </w:p>
    <w:p>
      <w:pPr>
        <w:pStyle w:val="Normal"/>
        <w:pBdr/>
        <w:shd w:val="clear" w:color="FFFFFF" w:fill="FFFFFF"/>
        <w:spacing w:before="84" w:after="84"/>
        <w:ind w:left="84" w:right="84" w:hanging="0"/>
        <w:rPr/>
      </w:pPr>
      <w:r>
        <w:rPr>
          <w:rFonts w:eastAsia="Arial" w:cs="Arial"/>
          <w:b/>
          <w:color w:val="0E0F0F"/>
          <w:sz w:val="27"/>
        </w:rPr>
        <w:t>Date:</w:t>
      </w:r>
      <w:r>
        <w:rPr>
          <w:rFonts w:eastAsia="Arial" w:cs="Arial"/>
          <w:color w:val="0E0F0F"/>
          <w:sz w:val="27"/>
        </w:rPr>
        <w:t> October 26, 2025</w:t>
      </w:r>
    </w:p>
    <w:p>
      <w:pPr>
        <w:pStyle w:val="Normal"/>
        <w:pBdr/>
        <w:shd w:val="clear" w:color="FFFFFF" w:fill="FFFFFF"/>
        <w:spacing w:before="84" w:after="84"/>
        <w:ind w:left="84" w:right="84" w:hanging="0"/>
        <w:rPr/>
      </w:pPr>
      <w:r>
        <w:rPr>
          <w:rFonts w:eastAsia="Arial" w:cs="Arial"/>
          <w:b/>
          <w:color w:val="0E0F0F"/>
          <w:sz w:val="27"/>
        </w:rPr>
        <w:t>Classification:</w:t>
      </w:r>
      <w:r>
        <w:rPr>
          <w:rFonts w:eastAsia="Arial" w:cs="Arial"/>
          <w:color w:val="0E0F0F"/>
          <w:sz w:val="27"/>
        </w:rPr>
        <w:t> CONTROLLED UNCLASSIFIED INFORMATION (CUI)</w:t>
      </w:r>
    </w:p>
    <w:p>
      <w:pPr>
        <w:pStyle w:val="Normal"/>
        <w:pBdr/>
        <w:shd w:val="clear" w:color="FFFFFF" w:fill="FFFFFF"/>
        <w:spacing w:before="84" w:after="84"/>
        <w:ind w:left="84" w:right="84" w:hanging="0"/>
        <w:rPr/>
      </w:pPr>
      <w:r>
        <w:rPr>
          <w:rFonts w:eastAsia="Arial" w:cs="Arial"/>
          <w:b/>
          <w:color w:val="0E0F0F"/>
          <w:sz w:val="27"/>
        </w:rPr>
        <w:t>Proprietary Information Pending Review and Submittal</w:t>
      </w:r>
    </w:p>
    <w:p>
      <w:pPr>
        <w:pStyle w:val="Normal"/>
        <w:pBdr/>
        <w:shd w:val="clear" w:color="FFFFFF" w:fill="FFFFFF"/>
        <w:spacing w:before="84" w:after="84"/>
        <w:ind w:left="84" w:right="84" w:hanging="0"/>
        <w:rPr/>
      </w:pPr>
      <w:r>
        <w:rPr>
          <w:rFonts w:eastAsia="Arial" w:cs="Arial"/>
          <w:b/>
          <w:color w:val="0E0F0F"/>
          <w:sz w:val="27"/>
        </w:rPr>
        <w:t>Target Completion:</w:t>
      </w:r>
      <w:r>
        <w:rPr>
          <w:rFonts w:eastAsia="Arial" w:cs="Arial"/>
          <w:color w:val="0E0F0F"/>
          <w:sz w:val="27"/>
        </w:rPr>
        <w:t> December 31, 2025</w:t>
      </w:r>
    </w:p>
    <w:p>
      <w:pPr>
        <w:pStyle w:val="Normal"/>
        <w:pBdr/>
        <w:shd w:val="clear" w:color="FFFFFF" w:fill="FFFFFF"/>
        <w:spacing w:before="84" w:after="84"/>
        <w:ind w:left="84" w:right="84" w:hanging="0"/>
        <w:rPr/>
      </w:pPr>
      <w:r>
        <w:rPr>
          <w:rFonts w:eastAsia="Arial" w:cs="Arial"/>
          <w:b/>
          <w:color w:val="0E0F0F"/>
          <w:sz w:val="27"/>
        </w:rPr>
        <w:t>DOCUMENT CONTROL</w:t>
      </w:r>
    </w:p>
    <w:p>
      <w:pPr>
        <w:pStyle w:val="Normal"/>
        <w:pBdr/>
        <w:shd w:val="clear" w:color="FFFFFF" w:fill="FFFFFF"/>
        <w:spacing w:before="84" w:after="84"/>
        <w:ind w:left="84" w:right="84" w:hanging="0"/>
        <w:rPr/>
      </w:pPr>
      <w:r>
        <w:rPr>
          <w:rFonts w:eastAsia="Arial" w:cs="Arial"/>
          <w:b/>
          <w:color w:val="0E0F0F"/>
          <w:sz w:val="27"/>
        </w:rPr>
        <w:t>Document Status:</w:t>
      </w:r>
      <w:r>
        <w:rPr>
          <w:rFonts w:eastAsia="Arial" w:cs="Arial"/>
          <w:color w:val="0E0F0F"/>
          <w:sz w:val="27"/>
        </w:rPr>
        <w:t> DRAFT - Implementation Phase</w:t>
      </w:r>
    </w:p>
    <w:p>
      <w:pPr>
        <w:pStyle w:val="Normal"/>
        <w:pBdr/>
        <w:shd w:val="clear" w:color="FFFFFF" w:fill="FFFFFF"/>
        <w:spacing w:before="84" w:after="84"/>
        <w:ind w:left="84" w:right="84" w:hanging="0"/>
        <w:rPr/>
      </w:pPr>
      <w:r>
        <w:rPr>
          <w:rFonts w:eastAsia="Arial" w:cs="Arial"/>
          <w:b/>
          <w:color w:val="0E0F0F"/>
          <w:sz w:val="27"/>
        </w:rPr>
        <w:t>Security Classification:</w:t>
      </w:r>
      <w:r>
        <w:rPr>
          <w:rFonts w:eastAsia="Arial" w:cs="Arial"/>
          <w:color w:val="0E0F0F"/>
          <w:sz w:val="27"/>
        </w:rPr>
        <w:t> CONTROLLED UNCLASSIFIED INFORMATION (CUI)</w:t>
      </w:r>
    </w:p>
    <w:p>
      <w:pPr>
        <w:pStyle w:val="Normal"/>
        <w:pBdr/>
        <w:shd w:val="clear" w:color="FFFFFF" w:fill="FFFFFF"/>
        <w:spacing w:before="84" w:after="84"/>
        <w:ind w:left="84" w:right="84" w:hanging="0"/>
        <w:rPr/>
      </w:pPr>
      <w:r>
        <w:rPr>
          <w:rFonts w:eastAsia="Arial" w:cs="Arial"/>
          <w:b/>
          <w:color w:val="0E0F0F"/>
          <w:sz w:val="27"/>
        </w:rPr>
        <w:t>Distribution:</w:t>
      </w:r>
      <w:r>
        <w:rPr>
          <w:rFonts w:eastAsia="Arial" w:cs="Arial"/>
          <w:color w:val="0E0F0F"/>
          <w:sz w:val="27"/>
        </w:rPr>
        <w:t> Limited to authorized personnel only</w:t>
      </w:r>
    </w:p>
    <w:p>
      <w:pPr>
        <w:pStyle w:val="Normal"/>
        <w:pBdr/>
        <w:shd w:val="clear" w:color="FFFFFF" w:fill="FFFFFF"/>
        <w:spacing w:before="84" w:after="84"/>
        <w:ind w:left="84" w:right="84" w:hanging="0"/>
        <w:rPr/>
      </w:pPr>
      <w:r>
        <w:rPr>
          <w:rFonts w:eastAsia="Arial" w:cs="Arial"/>
          <w:b/>
          <w:color w:val="0E0F0F"/>
          <w:sz w:val="27"/>
        </w:rPr>
        <w:t>Name / Title</w:t>
      </w:r>
      <w:r>
        <w:rPr>
          <w:rFonts w:eastAsia="Arial" w:cs="Arial"/>
          <w:color w:val="0E0F0F"/>
          <w:sz w:val="27"/>
        </w:rPr>
        <w:t> </w:t>
      </w:r>
      <w:r>
        <w:rPr>
          <w:rFonts w:eastAsia="Arial" w:cs="Arial"/>
          <w:b/>
          <w:color w:val="0E0F0F"/>
          <w:sz w:val="27"/>
        </w:rPr>
        <w:t>Role</w:t>
      </w:r>
      <w:r>
        <w:rPr>
          <w:rFonts w:eastAsia="Arial" w:cs="Arial"/>
          <w:color w:val="0E0F0F"/>
          <w:sz w:val="27"/>
        </w:rPr>
        <w:t> </w:t>
      </w:r>
      <w:r>
        <w:rPr>
          <w:rFonts w:eastAsia="Arial" w:cs="Arial"/>
          <w:b/>
          <w:color w:val="0E0F0F"/>
          <w:sz w:val="27"/>
        </w:rPr>
        <w:t>Signature / Date</w:t>
      </w:r>
    </w:p>
    <w:p>
      <w:pPr>
        <w:pStyle w:val="Normal"/>
        <w:pBdr/>
        <w:shd w:val="clear" w:color="FFFFFF" w:fill="FFFFFF"/>
        <w:spacing w:before="84" w:after="84"/>
        <w:ind w:left="84" w:right="84" w:hanging="0"/>
        <w:rPr>
          <w:rFonts w:ascii="Arial" w:hAnsi="Arial" w:eastAsia="Arial" w:cs="Arial"/>
          <w:color w:val="0E0F0F"/>
          <w:sz w:val="27"/>
          <w:szCs w:val="27"/>
        </w:rPr>
      </w:pPr>
      <w:r>
        <w:rPr>
          <w:rFonts w:eastAsia="Arial" w:cs="Arial"/>
          <w:color w:val="0E0F0F"/>
          <w:sz w:val="27"/>
        </w:rPr>
        <w:t xml:space="preserve">Donald E. Shannon Owner/Principal System Owner _______________________ </w:t>
      </w:r>
    </w:p>
    <w:p>
      <w:pPr>
        <w:pStyle w:val="Normal"/>
        <w:pBdr/>
        <w:shd w:val="clear" w:color="FFFFFF" w:fill="FFFFFF"/>
        <w:spacing w:before="84" w:after="84"/>
        <w:ind w:left="84" w:right="84" w:hanging="0"/>
        <w:rPr/>
      </w:pPr>
      <w:r>
        <w:rPr>
          <w:rFonts w:eastAsia="Arial" w:cs="Arial"/>
          <w:color w:val="0E0F0F"/>
          <w:sz w:val="27"/>
        </w:rPr>
        <w:t>Date: _____________________________________</w:t>
      </w:r>
    </w:p>
    <w:p>
      <w:pPr>
        <w:pStyle w:val="Normal"/>
        <w:pBdr/>
        <w:shd w:val="clear" w:color="FFFFFF" w:fill="FFFFFF"/>
        <w:spacing w:before="84" w:after="84"/>
        <w:ind w:left="84" w:right="84" w:hanging="0"/>
        <w:rPr/>
      </w:pPr>
      <w:r>
        <w:rPr>
          <w:rFonts w:eastAsia="Arial" w:cs="Arial"/>
          <w:color w:val="0E0F0F"/>
          <w:sz w:val="27"/>
        </w:rPr>
        <w:t>Donald E. Shannon Owner/Principal ISSO _______________________ Date: _____________________________________</w:t>
      </w:r>
    </w:p>
    <w:p>
      <w:pPr>
        <w:pStyle w:val="Normal"/>
        <w:pBdr/>
        <w:shd w:val="clear" w:color="FFFFFF" w:fill="FFFFFF"/>
        <w:spacing w:before="84" w:after="84"/>
        <w:ind w:left="84" w:right="84" w:hanging="0"/>
        <w:rPr/>
      </w:pPr>
      <w:r>
        <w:rPr>
          <w:rFonts w:eastAsia="Arial" w:cs="Arial"/>
          <w:b/>
          <w:color w:val="0E0F0F"/>
          <w:sz w:val="27"/>
        </w:rPr>
        <w:t>Review Schedule:</w:t>
      </w:r>
      <w:r>
        <w:rPr>
          <w:rFonts w:eastAsia="Arial" w:cs="Arial"/>
          <w:color w:val="0E0F0F"/>
          <w:sz w:val="27"/>
        </w:rPr>
        <w:t> Quarterly or upon significant system changes</w:t>
      </w:r>
    </w:p>
    <w:p>
      <w:pPr>
        <w:pStyle w:val="Normal"/>
        <w:pBdr/>
        <w:shd w:val="clear" w:color="FFFFFF" w:fill="FFFFFF"/>
        <w:spacing w:before="84" w:after="84"/>
        <w:ind w:left="84" w:right="84" w:hanging="0"/>
        <w:rPr/>
      </w:pPr>
      <w:r>
        <w:rPr>
          <w:rFonts w:eastAsia="Arial" w:cs="Arial"/>
          <w:b/>
          <w:color w:val="0E0F0F"/>
          <w:sz w:val="27"/>
        </w:rPr>
        <w:t>Next Review Date:</w:t>
      </w:r>
      <w:r>
        <w:rPr>
          <w:rFonts w:eastAsia="Arial" w:cs="Arial"/>
          <w:color w:val="0E0F0F"/>
          <w:sz w:val="27"/>
        </w:rPr>
        <w:t> January 31, 2026</w:t>
      </w:r>
    </w:p>
    <w:p>
      <w:pPr>
        <w:pStyle w:val="Normal"/>
        <w:pBdr/>
        <w:shd w:val="clear" w:color="FFFFFF" w:fill="FFFFFF"/>
        <w:spacing w:before="84" w:after="84"/>
        <w:ind w:left="84" w:right="84" w:hanging="0"/>
        <w:rPr/>
      </w:pPr>
      <w:r>
        <w:rPr>
          <w:rFonts w:eastAsia="Arial" w:cs="Arial"/>
          <w:b/>
          <w:color w:val="0E0F0F"/>
          <w:sz w:val="27"/>
        </w:rPr>
        <w:t>Document Revision History</w:t>
      </w:r>
    </w:p>
    <w:tbl>
      <w:tblPr>
        <w:tblStyle w:val="809"/>
        <w:tblW w:w="9360" w:type="dxa"/>
        <w:jc w:val="left"/>
        <w:tblInd w:w="0" w:type="dxa"/>
        <w:tblLayout w:type="fixed"/>
        <w:tblCellMar>
          <w:top w:w="210" w:type="dxa"/>
          <w:left w:w="225" w:type="dxa"/>
          <w:bottom w:w="210" w:type="dxa"/>
          <w:right w:w="225" w:type="dxa"/>
        </w:tblCellMar>
        <w:tblLook w:val="04a0" w:noHBand="0" w:noVBand="1" w:firstColumn="1" w:lastRow="0" w:lastColumn="0" w:firstRow="1"/>
      </w:tblPr>
      <w:tblGrid>
        <w:gridCol w:w="1591"/>
        <w:gridCol w:w="1793"/>
        <w:gridCol w:w="1781"/>
        <w:gridCol w:w="4194"/>
      </w:tblGrid>
      <w:tr>
        <w:trPr/>
        <w:tc>
          <w:tcPr>
            <w:tcW w:w="1591"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VERSION</w:t>
            </w:r>
          </w:p>
        </w:tc>
        <w:tc>
          <w:tcPr>
            <w:tcW w:w="1793"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DATE</w:t>
            </w:r>
          </w:p>
        </w:tc>
        <w:tc>
          <w:tcPr>
            <w:tcW w:w="1781"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AUTHOR</w:t>
            </w:r>
          </w:p>
        </w:tc>
        <w:tc>
          <w:tcPr>
            <w:tcW w:w="4194"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DESCRIPTION</w:t>
            </w:r>
          </w:p>
        </w:tc>
      </w:tr>
      <w:tr>
        <w:trPr/>
        <w:tc>
          <w:tcPr>
            <w:tcW w:w="159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1.0</w:t>
            </w:r>
          </w:p>
        </w:tc>
        <w:tc>
          <w:tcPr>
            <w:tcW w:w="1793"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10/26/2025</w:t>
            </w:r>
          </w:p>
        </w:tc>
        <w:tc>
          <w:tcPr>
            <w:tcW w:w="178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D. Shannon</w:t>
            </w:r>
          </w:p>
        </w:tc>
        <w:tc>
          <w:tcPr>
            <w:tcW w:w="4194"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Initial SSP - Implementation Phase</w:t>
            </w:r>
          </w:p>
        </w:tc>
      </w:tr>
    </w:tbl>
    <w:p>
      <w:pPr>
        <w:pStyle w:val="Normal"/>
        <w:pBdr/>
        <w:shd w:val="clear" w:color="FFFFFF" w:fill="FFFFFF"/>
        <w:spacing w:before="84" w:after="84"/>
        <w:ind w:left="84" w:right="84" w:hanging="0"/>
        <w:rPr>
          <w:rFonts w:ascii="Arial" w:hAnsi="Arial" w:eastAsia="Arial" w:cs="Arial"/>
          <w:b/>
          <w:b/>
          <w:color w:val="0E0F0F"/>
          <w:sz w:val="27"/>
        </w:rPr>
      </w:pPr>
      <w:r>
        <w:rPr>
          <w:rFonts w:eastAsia="Arial" w:cs="Arial"/>
          <w:b/>
          <w:color w:val="0E0F0F"/>
          <w:sz w:val="27"/>
        </w:rPr>
      </w:r>
    </w:p>
    <w:p>
      <w:pPr>
        <w:pStyle w:val="Normal"/>
        <w:rPr>
          <w:rFonts w:ascii="Arial" w:hAnsi="Arial" w:eastAsia="Arial" w:cs="Arial"/>
          <w:b/>
          <w:b/>
          <w:color w:val="0E0F0F"/>
          <w:sz w:val="27"/>
        </w:rPr>
      </w:pPr>
      <w:r>
        <w:rPr>
          <w:rFonts w:eastAsia="Arial" w:cs="Arial"/>
          <w:b/>
          <w:color w:val="0E0F0F"/>
          <w:sz w:val="27"/>
        </w:rPr>
      </w:r>
      <w:r>
        <w:br w:type="page"/>
      </w:r>
    </w:p>
    <w:p>
      <w:pPr>
        <w:pStyle w:val="Heading1"/>
        <w:rPr/>
      </w:pPr>
      <w:bookmarkStart w:id="0" w:name="_Toc1"/>
      <w:r>
        <w:rPr>
          <w:rFonts w:eastAsia="Arial" w:cs="Arial"/>
          <w:b/>
          <w:color w:val="0E0F0F"/>
          <w:sz w:val="27"/>
        </w:rPr>
        <w:t>EXECUTIVE SUMMARY</w:t>
      </w:r>
      <w:bookmarkEnd w:id="0"/>
    </w:p>
    <w:p>
      <w:pPr>
        <w:pStyle w:val="Normal"/>
        <w:pBdr/>
        <w:shd w:val="clear" w:color="FFFFFF" w:fill="FFFFFF"/>
        <w:spacing w:before="84" w:after="84"/>
        <w:ind w:left="84" w:right="84" w:hanging="0"/>
        <w:rPr/>
      </w:pPr>
      <w:r>
        <w:rPr>
          <w:rFonts w:eastAsia="Arial" w:cs="Arial"/>
          <w:color w:val="0E0F0F"/>
          <w:sz w:val="27"/>
        </w:rPr>
        <w:t>The CyberHygiene Production Network (cyberinabox.net) is a</w:t>
      </w:r>
      <w:r>
        <w:rPr>
          <w:rFonts w:eastAsia="Arial" w:cs="Arial"/>
          <w:color w:val="0E0F0F"/>
          <w:sz w:val="27"/>
        </w:rPr>
        <w:t xml:space="preserve">n </w:t>
      </w:r>
      <w:r>
        <w:rPr>
          <w:rFonts w:eastAsia="Arial" w:cs="Arial"/>
          <w:color w:val="0E0F0F"/>
          <w:sz w:val="27"/>
        </w:rPr>
        <w:t xml:space="preserve">open-source infrastructure built on Rocky Linux 9.6 to provide secure identity management, file storage, email services, and client workstation management for The Contract Coach’s </w:t>
      </w:r>
      <w:r>
        <w:rPr>
          <w:rFonts w:eastAsia="Arial" w:cs="Arial"/>
          <w:color w:val="0E0F0F"/>
          <w:sz w:val="27"/>
        </w:rPr>
        <w:t xml:space="preserve">exploratory Cyberhygiene Project geared towards assisting very small businesses comply with </w:t>
      </w:r>
      <w:r>
        <w:rPr>
          <w:rFonts w:eastAsia="Arial" w:cs="Arial"/>
          <w:color w:val="0E0F0F"/>
          <w:sz w:val="27"/>
        </w:rPr>
        <w:t xml:space="preserve">government </w:t>
      </w:r>
      <w:r>
        <w:rPr>
          <w:rFonts w:eastAsia="Arial" w:cs="Arial"/>
          <w:color w:val="0E0F0F"/>
          <w:sz w:val="27"/>
        </w:rPr>
        <w:t xml:space="preserve">cyber requirements needed for their </w:t>
      </w:r>
      <w:r>
        <w:rPr>
          <w:rFonts w:eastAsia="Arial" w:cs="Arial"/>
          <w:color w:val="0E0F0F"/>
          <w:sz w:val="27"/>
        </w:rPr>
        <w:t>contracting operations.</w:t>
      </w:r>
    </w:p>
    <w:p>
      <w:pPr>
        <w:pStyle w:val="Normal"/>
        <w:rPr/>
      </w:pPr>
      <w:r>
        <w:rPr>
          <w:rFonts w:eastAsia="Arial" w:cs="Arial"/>
          <w:color w:val="0E0F0F"/>
          <w:sz w:val="27"/>
        </w:rPr>
        <w:t xml:space="preserve">This System Security Plan (SSP) documents the security controls implemented for the CyberHygiene Production Network environment that processes, stores, and transmits Federal Contract Information (FCI) </w:t>
      </w:r>
      <w:r>
        <w:rPr>
          <w:rFonts w:eastAsia="Arial" w:cs="Arial"/>
          <w:color w:val="0E0F0F"/>
          <w:sz w:val="27"/>
        </w:rPr>
        <w:t xml:space="preserve">and with appropriate certification, </w:t>
      </w:r>
      <w:r>
        <w:rPr>
          <w:rFonts w:eastAsia="Arial" w:cs="Arial"/>
          <w:color w:val="0E0F0F"/>
          <w:sz w:val="27"/>
        </w:rPr>
        <w:t xml:space="preserve">Controlled Unclassified Information (CUI). This SSP demonstrates compliance with NIST SP 800-171 Rev 2 requirements as mandated by FAR 52.204-21 and </w:t>
      </w:r>
      <w:r>
        <w:rPr>
          <w:rFonts w:eastAsia="Arial" w:cs="Arial"/>
          <w:color w:val="0E0F0F"/>
          <w:sz w:val="27"/>
        </w:rPr>
        <w:t xml:space="preserve">DFARS 252.204.7012 and </w:t>
      </w:r>
      <w:r>
        <w:rPr>
          <w:rFonts w:eastAsia="Arial" w:cs="Arial"/>
          <w:color w:val="0E0F0F"/>
          <w:sz w:val="27"/>
        </w:rPr>
        <w:t xml:space="preserve">supports Cybersecurity Maturity Model Certification (CMMC) </w:t>
      </w:r>
      <w:r>
        <w:rPr>
          <w:rFonts w:eastAsia="Arial" w:cs="Arial"/>
          <w:color w:val="0E0F0F"/>
          <w:sz w:val="27"/>
        </w:rPr>
        <w:t xml:space="preserve">self certification at </w:t>
      </w:r>
      <w:r>
        <w:rPr>
          <w:rFonts w:eastAsia="Arial" w:cs="Arial"/>
          <w:color w:val="0E0F0F"/>
          <w:sz w:val="27"/>
        </w:rPr>
        <w:t>Level 1 and Level 2.</w:t>
      </w:r>
    </w:p>
    <w:p>
      <w:pPr>
        <w:pStyle w:val="Heading1"/>
        <w:rPr/>
      </w:pPr>
      <w:bookmarkStart w:id="1" w:name="_Toc2"/>
      <w:r>
        <w:rPr>
          <w:rFonts w:eastAsia="Arial" w:cs="Arial"/>
          <w:b/>
          <w:color w:val="0E0F0F"/>
          <w:sz w:val="27"/>
        </w:rPr>
        <w:t>SYSTEM OVERVIEW</w:t>
      </w:r>
      <w:bookmarkEnd w:id="1"/>
    </w:p>
    <w:p>
      <w:pPr>
        <w:pStyle w:val="Normal"/>
        <w:pBdr/>
        <w:shd w:val="clear" w:color="FFFFFF" w:fill="FFFFFF"/>
        <w:spacing w:before="84" w:after="84"/>
        <w:ind w:left="84" w:right="84" w:hanging="0"/>
        <w:rPr/>
      </w:pPr>
      <w:r>
        <w:rPr>
          <w:rFonts w:eastAsia="Arial" w:cs="Arial"/>
          <w:color w:val="0E0F0F"/>
          <w:sz w:val="27"/>
        </w:rPr>
        <w:t xml:space="preserve">The CyberHygiene Production Network is a open-source infrastructure built </w:t>
      </w:r>
      <w:r>
        <w:rPr>
          <w:rFonts w:eastAsia="Arial" w:cs="Arial"/>
          <w:color w:val="0E0F0F"/>
          <w:sz w:val="27"/>
        </w:rPr>
        <w:t>up</w:t>
      </w:r>
      <w:r>
        <w:rPr>
          <w:rFonts w:eastAsia="Arial" w:cs="Arial"/>
          <w:color w:val="0E0F0F"/>
          <w:sz w:val="27"/>
        </w:rPr>
        <w:t xml:space="preserve">on Rocky Linux 9.6 to provide secure identity management, file storage, email services, and client workstation management for The Contract Coach’s government contracting operations.  </w:t>
      </w:r>
      <w:r>
        <w:rPr>
          <w:rFonts w:eastAsia="Arial" w:cs="Arial"/>
          <w:color w:val="0E0F0F"/>
          <w:sz w:val="27"/>
        </w:rPr>
        <w:t>The network comprises a single server and three workstations plus the interconnecting hardware.  The components are located in the business owner’s home office and are installed in an enterprise quality fully enclosed and locking server rack.</w:t>
      </w:r>
    </w:p>
    <w:p>
      <w:pPr>
        <w:pStyle w:val="Normal"/>
        <w:pBdr/>
        <w:shd w:val="clear" w:color="FFFFFF" w:fill="FFFFFF"/>
        <w:spacing w:before="84" w:after="84"/>
        <w:ind w:left="84" w:right="84" w:hanging="0"/>
        <w:rPr/>
      </w:pPr>
      <w:r>
        <w:rPr>
          <w:rFonts w:eastAsia="Arial" w:cs="Arial"/>
          <w:color w:val="0E0F0F"/>
          <w:sz w:val="27"/>
        </w:rPr>
        <w:t xml:space="preserve">The system has a dedicated business class internet connection through Comcast Business and has business class isolation and perimeter defense through a NetGate router/firewall running Suricata IPS and pfSense firewall software.  External access to the network is not currently supported but is planned for 2026 implementation via  a Virtual Private Network </w:t>
      </w:r>
      <w:r>
        <w:rPr>
          <w:rFonts w:eastAsia="Arial" w:cs="Arial"/>
          <w:color w:val="0E0F0F"/>
          <w:sz w:val="27"/>
        </w:rPr>
        <w:t>(VPN) or a zero trust network such as tailscale.</w:t>
      </w:r>
    </w:p>
    <w:p>
      <w:pPr>
        <w:pStyle w:val="Normal"/>
        <w:pBdr/>
        <w:shd w:val="clear" w:color="FFFFFF" w:fill="FFFFFF"/>
        <w:spacing w:before="84" w:after="84"/>
        <w:ind w:left="84" w:right="84" w:hanging="0"/>
        <w:rPr/>
      </w:pPr>
      <w:r>
        <w:rPr>
          <w:rFonts w:eastAsia="Arial" w:cs="Arial"/>
          <w:b/>
          <w:color w:val="0E0F0F"/>
          <w:sz w:val="27"/>
        </w:rPr>
        <w:t>Current Implementation Status:</w:t>
      </w:r>
      <w:r>
        <w:rPr>
          <w:rFonts w:eastAsia="Arial" w:cs="Arial"/>
          <w:color w:val="0E0F0F"/>
          <w:sz w:val="27"/>
        </w:rPr>
        <w:t> 85% Complete (as of October 26, 2025)</w:t>
      </w:r>
    </w:p>
    <w:p>
      <w:pPr>
        <w:pStyle w:val="Normal"/>
        <w:pBdr/>
        <w:shd w:val="clear" w:color="FFFFFF" w:fill="FFFFFF"/>
        <w:spacing w:before="84" w:after="84"/>
        <w:ind w:left="84" w:right="84" w:hanging="0"/>
        <w:rPr/>
      </w:pPr>
      <w:r>
        <w:rPr>
          <w:rFonts w:eastAsia="Arial" w:cs="Arial"/>
          <w:b/>
          <w:color w:val="0E0F0F"/>
          <w:sz w:val="27"/>
        </w:rPr>
        <w:t>Target Completion Date:</w:t>
      </w:r>
      <w:r>
        <w:rPr>
          <w:rFonts w:eastAsia="Arial" w:cs="Arial"/>
          <w:color w:val="0E0F0F"/>
          <w:sz w:val="27"/>
        </w:rPr>
        <w:t> December 31, 2025</w:t>
      </w:r>
    </w:p>
    <w:p>
      <w:pPr>
        <w:pStyle w:val="Normal"/>
        <w:pBdr/>
        <w:shd w:val="clear" w:color="FFFFFF" w:fill="FFFFFF"/>
        <w:spacing w:before="84" w:after="84"/>
        <w:ind w:left="84" w:right="84" w:hanging="0"/>
        <w:rPr/>
      </w:pPr>
      <w:r>
        <w:rPr>
          <w:rFonts w:eastAsia="Arial" w:cs="Arial"/>
          <w:b/>
          <w:color w:val="0E0F0F"/>
          <w:sz w:val="27"/>
        </w:rPr>
        <w:t>Compliance Verification:</w:t>
      </w:r>
      <w:r>
        <w:rPr>
          <w:rFonts w:eastAsia="Arial" w:cs="Arial"/>
          <w:color w:val="0E0F0F"/>
          <w:sz w:val="27"/>
        </w:rPr>
        <w:t> 100% OpenSCAP CUI Profile (105/105 checks passed on [insert date])</w:t>
      </w:r>
    </w:p>
    <w:p>
      <w:pPr>
        <w:pStyle w:val="Normal"/>
        <w:pBdr/>
        <w:shd w:val="clear" w:color="FFFFFF" w:fill="FFFFFF"/>
        <w:spacing w:before="84" w:after="84"/>
        <w:ind w:left="84" w:right="84" w:hanging="0"/>
        <w:rPr/>
      </w:pPr>
      <w:r>
        <w:rPr>
          <w:rFonts w:eastAsia="Arial" w:cs="Arial"/>
          <w:b/>
          <w:color w:val="0E0F0F"/>
          <w:sz w:val="27"/>
        </w:rPr>
        <w:t>SECURITY CONTROLS</w:t>
      </w:r>
    </w:p>
    <w:p>
      <w:pPr>
        <w:pStyle w:val="Normal"/>
        <w:pBdr/>
        <w:shd w:val="clear" w:color="FFFFFF" w:fill="FFFFFF"/>
        <w:spacing w:before="84" w:after="84"/>
        <w:ind w:left="84" w:right="84" w:hanging="0"/>
        <w:rPr/>
      </w:pPr>
      <w:r>
        <w:rPr>
          <w:rFonts w:eastAsia="Arial" w:cs="Arial"/>
          <w:color w:val="0E0F0F"/>
          <w:sz w:val="27"/>
        </w:rPr>
        <w:t>The following security controls are implemented to protect the CyberHygiene Production Network:</w:t>
      </w:r>
    </w:p>
    <w:p>
      <w:pPr>
        <w:pStyle w:val="ListParagraph"/>
        <w:numPr>
          <w:ilvl w:val="0"/>
          <w:numId w:val="1"/>
        </w:numPr>
        <w:pBdr/>
        <w:shd w:val="clear" w:color="FFFFFF" w:fill="FFFFFF"/>
        <w:rPr/>
      </w:pPr>
      <w:r>
        <w:rPr>
          <w:rFonts w:eastAsia="Arial" w:cs="Arial"/>
          <w:b/>
          <w:color w:val="0E0F0F"/>
          <w:sz w:val="27"/>
        </w:rPr>
        <w:t>Access Control (AC)</w:t>
      </w:r>
      <w:r>
        <w:rPr>
          <w:rFonts w:eastAsia="Arial" w:cs="Arial"/>
          <w:color w:val="0E0F0F"/>
          <w:sz w:val="27"/>
        </w:rPr>
        <w:t>: Implement role-based access control to ensure only authorized personnel have access to sensitive data and systems.</w:t>
      </w:r>
    </w:p>
    <w:p>
      <w:pPr>
        <w:pStyle w:val="ListParagraph"/>
        <w:numPr>
          <w:ilvl w:val="0"/>
          <w:numId w:val="1"/>
        </w:numPr>
        <w:pBdr/>
        <w:shd w:val="clear" w:color="FFFFFF" w:fill="FFFFFF"/>
        <w:rPr/>
      </w:pPr>
      <w:r>
        <w:rPr>
          <w:rFonts w:eastAsia="Arial" w:cs="Arial"/>
          <w:b/>
          <w:color w:val="0E0F0F"/>
          <w:sz w:val="27"/>
        </w:rPr>
        <w:t>Awareness and Training (AT)</w:t>
      </w:r>
      <w:r>
        <w:rPr>
          <w:rFonts w:eastAsia="Arial" w:cs="Arial"/>
          <w:color w:val="0E0F0F"/>
          <w:sz w:val="27"/>
        </w:rPr>
        <w:t>: Provide regular cybersecurity awareness training for all personnel with access to the CyberHygiene Production Network.</w:t>
      </w:r>
    </w:p>
    <w:p>
      <w:pPr>
        <w:pStyle w:val="ListParagraph"/>
        <w:numPr>
          <w:ilvl w:val="0"/>
          <w:numId w:val="1"/>
        </w:numPr>
        <w:pBdr/>
        <w:shd w:val="clear" w:color="FFFFFF" w:fill="FFFFFF"/>
        <w:rPr/>
      </w:pPr>
      <w:r>
        <w:rPr>
          <w:rFonts w:eastAsia="Arial" w:cs="Arial"/>
          <w:b/>
          <w:color w:val="0E0F0F"/>
          <w:sz w:val="27"/>
        </w:rPr>
        <w:t>Audit and Accountability (AU)</w:t>
      </w:r>
      <w:r>
        <w:rPr>
          <w:rFonts w:eastAsia="Arial" w:cs="Arial"/>
          <w:color w:val="0E0F0F"/>
          <w:sz w:val="27"/>
        </w:rPr>
        <w:t>: Implement auditing and logging mechanisms to track system activity and ensure accountability.</w:t>
      </w:r>
    </w:p>
    <w:p>
      <w:pPr>
        <w:pStyle w:val="ListParagraph"/>
        <w:numPr>
          <w:ilvl w:val="0"/>
          <w:numId w:val="1"/>
        </w:numPr>
        <w:pBdr/>
        <w:shd w:val="clear" w:color="FFFFFF" w:fill="FFFFFF"/>
        <w:rPr/>
      </w:pPr>
      <w:r>
        <w:rPr>
          <w:rFonts w:eastAsia="Arial" w:cs="Arial"/>
          <w:b/>
          <w:color w:val="0E0F0F"/>
          <w:sz w:val="27"/>
        </w:rPr>
        <w:t>Configuration Management (CM)</w:t>
      </w:r>
      <w:r>
        <w:rPr>
          <w:rFonts w:eastAsia="Arial" w:cs="Arial"/>
          <w:color w:val="0E0F0F"/>
          <w:sz w:val="27"/>
        </w:rPr>
        <w:t>: Establish a configuration management process to ensure accurate tracking of system components and changes.</w:t>
      </w:r>
    </w:p>
    <w:p>
      <w:pPr>
        <w:pStyle w:val="ListParagraph"/>
        <w:numPr>
          <w:ilvl w:val="0"/>
          <w:numId w:val="1"/>
        </w:numPr>
        <w:pBdr/>
        <w:shd w:val="clear" w:color="FFFFFF" w:fill="FFFFFF"/>
        <w:rPr/>
      </w:pPr>
      <w:r>
        <w:rPr>
          <w:rFonts w:eastAsia="Arial" w:cs="Arial"/>
          <w:b/>
          <w:color w:val="0E0F0F"/>
          <w:sz w:val="27"/>
        </w:rPr>
        <w:t>Identification and Authentication (IA)</w:t>
      </w:r>
      <w:r>
        <w:rPr>
          <w:rFonts w:eastAsia="Arial" w:cs="Arial"/>
          <w:color w:val="0E0F0F"/>
          <w:sz w:val="27"/>
        </w:rPr>
        <w:t>: Implement multi-factor authentication for all personnel with access to the CyberHygiene Production Network.</w:t>
      </w:r>
    </w:p>
    <w:p>
      <w:pPr>
        <w:pStyle w:val="ListParagraph"/>
        <w:numPr>
          <w:ilvl w:val="0"/>
          <w:numId w:val="1"/>
        </w:numPr>
        <w:pBdr/>
        <w:shd w:val="clear" w:color="FFFFFF" w:fill="FFFFFF"/>
        <w:rPr/>
      </w:pPr>
      <w:r>
        <w:rPr>
          <w:rFonts w:eastAsia="Arial" w:cs="Arial"/>
          <w:b/>
          <w:color w:val="0E0F0F"/>
          <w:sz w:val="27"/>
        </w:rPr>
        <w:t>Incident Response (IR)</w:t>
      </w:r>
      <w:r>
        <w:rPr>
          <w:rFonts w:eastAsia="Arial" w:cs="Arial"/>
          <w:color w:val="0E0F0F"/>
          <w:sz w:val="27"/>
        </w:rPr>
        <w:t>: Establish an incident response plan to respond quickly and effectively in the event of a security incident.</w:t>
      </w:r>
    </w:p>
    <w:p>
      <w:pPr>
        <w:pStyle w:val="ListParagraph"/>
        <w:numPr>
          <w:ilvl w:val="0"/>
          <w:numId w:val="1"/>
        </w:numPr>
        <w:pBdr/>
        <w:shd w:val="clear" w:color="FFFFFF" w:fill="FFFFFF"/>
        <w:rPr/>
      </w:pPr>
      <w:r>
        <w:rPr>
          <w:rFonts w:eastAsia="Arial" w:cs="Arial"/>
          <w:b/>
          <w:color w:val="0E0F0F"/>
          <w:sz w:val="27"/>
        </w:rPr>
        <w:t>Maintenance (MA)</w:t>
      </w:r>
      <w:r>
        <w:rPr>
          <w:rFonts w:eastAsia="Arial" w:cs="Arial"/>
          <w:color w:val="0E0F0F"/>
          <w:sz w:val="27"/>
        </w:rPr>
        <w:t>: Perform regular system maintenance, including software updates and patches, to ensure system integrity.</w:t>
      </w:r>
    </w:p>
    <w:p>
      <w:pPr>
        <w:pStyle w:val="ListParagraph"/>
        <w:numPr>
          <w:ilvl w:val="0"/>
          <w:numId w:val="1"/>
        </w:numPr>
        <w:pBdr/>
        <w:shd w:val="clear" w:color="FFFFFF" w:fill="FFFFFF"/>
        <w:rPr/>
      </w:pPr>
      <w:r>
        <w:rPr>
          <w:rFonts w:eastAsia="Arial" w:cs="Arial"/>
          <w:b/>
          <w:color w:val="0E0F0F"/>
          <w:sz w:val="27"/>
        </w:rPr>
        <w:t>Media Protection (MP)</w:t>
      </w:r>
      <w:r>
        <w:rPr>
          <w:rFonts w:eastAsia="Arial" w:cs="Arial"/>
          <w:color w:val="0E0F0F"/>
          <w:sz w:val="27"/>
        </w:rPr>
        <w:t>: Implement procedures for securely storing and handling sensitive data on removable media.</w:t>
      </w:r>
    </w:p>
    <w:p>
      <w:pPr>
        <w:pStyle w:val="ListParagraph"/>
        <w:numPr>
          <w:ilvl w:val="0"/>
          <w:numId w:val="1"/>
        </w:numPr>
        <w:pBdr/>
        <w:shd w:val="clear" w:color="FFFFFF" w:fill="FFFFFF"/>
        <w:rPr/>
      </w:pPr>
      <w:r>
        <w:rPr>
          <w:rFonts w:eastAsia="Arial" w:cs="Arial"/>
          <w:b/>
          <w:color w:val="0E0F0F"/>
          <w:sz w:val="27"/>
        </w:rPr>
        <w:t>Network Access Control (NAC)</w:t>
      </w:r>
      <w:r>
        <w:rPr>
          <w:rFonts w:eastAsia="Arial" w:cs="Arial"/>
          <w:color w:val="0E0F0F"/>
          <w:sz w:val="27"/>
        </w:rPr>
        <w:t>: Implement network access control mechanisms to restrict unauthorized access to the CyberHygiene Production Network.</w:t>
      </w:r>
    </w:p>
    <w:p>
      <w:pPr>
        <w:pStyle w:val="ListParagraph"/>
        <w:numPr>
          <w:ilvl w:val="0"/>
          <w:numId w:val="1"/>
        </w:numPr>
        <w:pBdr/>
        <w:shd w:val="clear" w:color="FFFFFF" w:fill="FFFFFF"/>
        <w:rPr/>
      </w:pPr>
      <w:r>
        <w:rPr>
          <w:rFonts w:eastAsia="Arial" w:cs="Arial"/>
          <w:b/>
          <w:color w:val="0E0F0F"/>
          <w:sz w:val="27"/>
        </w:rPr>
        <w:t>Personnel Security (PS)</w:t>
      </w:r>
      <w:r>
        <w:rPr>
          <w:rFonts w:eastAsia="Arial" w:cs="Arial"/>
          <w:color w:val="0E0F0F"/>
          <w:sz w:val="27"/>
        </w:rPr>
        <w:t>: Establish personnel security policies and procedures to ensure only authorized personnel have access to sensitive data and systems.</w:t>
      </w:r>
    </w:p>
    <w:p>
      <w:pPr>
        <w:pStyle w:val="ListParagraph"/>
        <w:numPr>
          <w:ilvl w:val="0"/>
          <w:numId w:val="1"/>
        </w:numPr>
        <w:pBdr/>
        <w:shd w:val="clear" w:color="FFFFFF" w:fill="FFFFFF"/>
        <w:rPr/>
      </w:pPr>
      <w:r>
        <w:rPr>
          <w:rFonts w:eastAsia="Arial" w:cs="Arial"/>
          <w:b/>
          <w:color w:val="0E0F0F"/>
          <w:sz w:val="27"/>
        </w:rPr>
        <w:t>Physical and Environmental Protection (PE)</w:t>
      </w:r>
      <w:r>
        <w:rPr>
          <w:rFonts w:eastAsia="Arial" w:cs="Arial"/>
          <w:color w:val="0E0F0F"/>
          <w:sz w:val="27"/>
        </w:rPr>
        <w:t>: Implement physical and environmental protection measures to prevent damage or unauthorized access to system components.</w:t>
      </w:r>
    </w:p>
    <w:p>
      <w:pPr>
        <w:pStyle w:val="ListParagraph"/>
        <w:numPr>
          <w:ilvl w:val="0"/>
          <w:numId w:val="1"/>
        </w:numPr>
        <w:pBdr/>
        <w:shd w:val="clear" w:color="FFFFFF" w:fill="FFFFFF"/>
        <w:rPr/>
      </w:pPr>
      <w:r>
        <w:rPr>
          <w:rFonts w:eastAsia="Arial" w:cs="Arial"/>
          <w:b/>
          <w:color w:val="0E0F0F"/>
          <w:sz w:val="27"/>
        </w:rPr>
        <w:t>Risk Assessment (RA)</w:t>
      </w:r>
      <w:r>
        <w:rPr>
          <w:rFonts w:eastAsia="Arial" w:cs="Arial"/>
          <w:color w:val="0E0F0F"/>
          <w:sz w:val="27"/>
        </w:rPr>
        <w:t>: Conduct regular risk assessments to identify vulnerabilities and prioritize remediation efforts.</w:t>
      </w:r>
    </w:p>
    <w:p>
      <w:pPr>
        <w:pStyle w:val="ListParagraph"/>
        <w:numPr>
          <w:ilvl w:val="0"/>
          <w:numId w:val="1"/>
        </w:numPr>
        <w:pBdr/>
        <w:shd w:val="clear" w:color="FFFFFF" w:fill="FFFFFF"/>
        <w:rPr/>
      </w:pPr>
      <w:r>
        <w:rPr>
          <w:rFonts w:eastAsia="Arial" w:cs="Arial"/>
          <w:b/>
          <w:color w:val="0E0F0F"/>
          <w:sz w:val="27"/>
        </w:rPr>
        <w:t>System and Communications Protection (SC)</w:t>
      </w:r>
      <w:r>
        <w:rPr>
          <w:rFonts w:eastAsia="Arial" w:cs="Arial"/>
          <w:color w:val="0E0F0F"/>
          <w:sz w:val="27"/>
        </w:rPr>
        <w:t>: Implement system and communications protection mechanisms, including encryption and firewalls, to protect against unauthorized access and data breaches.</w:t>
      </w:r>
    </w:p>
    <w:p>
      <w:pPr>
        <w:pStyle w:val="Heading1"/>
        <w:rPr/>
      </w:pPr>
      <w:bookmarkStart w:id="2" w:name="_Toc3"/>
      <w:r>
        <w:rPr>
          <w:rFonts w:eastAsia="Arial" w:cs="Arial"/>
          <w:b/>
          <w:color w:val="0E0F0F"/>
          <w:sz w:val="27"/>
        </w:rPr>
        <w:t>COMPLIANCE STATEMENT</w:t>
      </w:r>
      <w:bookmarkEnd w:id="2"/>
    </w:p>
    <w:p>
      <w:pPr>
        <w:pStyle w:val="Normal"/>
        <w:pBdr/>
        <w:shd w:val="clear" w:color="FFFFFF" w:fill="FFFFFF"/>
        <w:spacing w:before="84" w:after="84"/>
        <w:ind w:left="84" w:right="84" w:hanging="0"/>
        <w:rPr/>
      </w:pPr>
      <w:r>
        <w:rPr>
          <w:rFonts w:eastAsia="Arial" w:cs="Arial"/>
          <w:color w:val="0E0F0F"/>
          <w:sz w:val="27"/>
        </w:rPr>
        <w:t>The CyberHygiene Production Network is compliant with NIST SP 800-171 Rev 2 requirements as mandated by FAR 52.204-21 and supports CMMC Level 1 and Level 2 certification readiness.</w:t>
      </w:r>
    </w:p>
    <w:p>
      <w:pPr>
        <w:pStyle w:val="Heading1"/>
        <w:rPr/>
      </w:pPr>
      <w:bookmarkStart w:id="3" w:name="_Toc4"/>
      <w:r>
        <w:rPr>
          <w:rFonts w:eastAsia="Arial" w:cs="Arial"/>
          <w:b/>
          <w:color w:val="0E0F0F"/>
          <w:sz w:val="27"/>
        </w:rPr>
        <w:t>PLAN OF ACTION AND MILESTONES</w:t>
      </w:r>
      <w:bookmarkEnd w:id="3"/>
    </w:p>
    <w:p>
      <w:pPr>
        <w:pStyle w:val="Normal"/>
        <w:pBdr/>
        <w:shd w:val="clear" w:color="FFFFFF" w:fill="FFFFFF"/>
        <w:spacing w:before="84" w:after="84"/>
        <w:ind w:left="84" w:right="84" w:hanging="0"/>
        <w:rPr/>
      </w:pPr>
      <w:r>
        <w:rPr>
          <w:rFonts w:eastAsia="Arial" w:cs="Arial"/>
          <w:color w:val="0E0F0F"/>
          <w:sz w:val="27"/>
        </w:rPr>
        <w:t>The following plan of action and milestones outlines the remaining implementation tasks to achieve full compliance with NIST SP 800-171 Rev 2:</w:t>
      </w:r>
    </w:p>
    <w:tbl>
      <w:tblPr>
        <w:tblStyle w:val="809"/>
        <w:tblW w:w="9360" w:type="dxa"/>
        <w:jc w:val="left"/>
        <w:tblInd w:w="0" w:type="dxa"/>
        <w:tblLayout w:type="fixed"/>
        <w:tblCellMar>
          <w:top w:w="210" w:type="dxa"/>
          <w:left w:w="225" w:type="dxa"/>
          <w:bottom w:w="210" w:type="dxa"/>
          <w:right w:w="225" w:type="dxa"/>
        </w:tblCellMar>
        <w:tblLook w:val="04a0" w:noHBand="0" w:noVBand="1" w:firstColumn="1" w:lastRow="0" w:lastColumn="0" w:firstRow="1"/>
      </w:tblPr>
      <w:tblGrid>
        <w:gridCol w:w="5907"/>
        <w:gridCol w:w="3452"/>
      </w:tblGrid>
      <w:tr>
        <w:trPr/>
        <w:tc>
          <w:tcPr>
            <w:tcW w:w="5907"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TASK</w:t>
            </w:r>
          </w:p>
        </w:tc>
        <w:tc>
          <w:tcPr>
            <w:tcW w:w="3452"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MILESTONE DATE</w:t>
            </w:r>
          </w:p>
        </w:tc>
      </w:tr>
      <w:tr>
        <w:trPr/>
        <w:tc>
          <w:tcPr>
            <w:tcW w:w="5907"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Complete implementation of access control mechanisms</w:t>
            </w:r>
          </w:p>
        </w:tc>
        <w:tc>
          <w:tcPr>
            <w:tcW w:w="3452"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December 15, 2025</w:t>
            </w:r>
          </w:p>
        </w:tc>
      </w:tr>
      <w:tr>
        <w:trPr/>
        <w:tc>
          <w:tcPr>
            <w:tcW w:w="5907"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Conduct regular cybersecurity awareness training for all personnel</w:t>
            </w:r>
          </w:p>
        </w:tc>
        <w:tc>
          <w:tcPr>
            <w:tcW w:w="3452"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Quarterly, starting January 31, 2026</w:t>
            </w:r>
          </w:p>
        </w:tc>
      </w:tr>
      <w:tr>
        <w:trPr/>
        <w:tc>
          <w:tcPr>
            <w:tcW w:w="5907"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Implement auditing and logging mechanisms</w:t>
            </w:r>
          </w:p>
        </w:tc>
        <w:tc>
          <w:tcPr>
            <w:tcW w:w="3452"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November 30, 2025</w:t>
            </w:r>
          </w:p>
        </w:tc>
      </w:tr>
      <w:tr>
        <w:trPr/>
        <w:tc>
          <w:tcPr>
            <w:tcW w:w="5907"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Establish a configuration management process</w:t>
            </w:r>
          </w:p>
        </w:tc>
        <w:tc>
          <w:tcPr>
            <w:tcW w:w="3452"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December 10, 2025</w:t>
            </w:r>
          </w:p>
        </w:tc>
      </w:tr>
    </w:tbl>
    <w:p>
      <w:pPr>
        <w:pStyle w:val="Normal"/>
        <w:rPr/>
      </w:pPr>
      <w:r>
        <w:rPr/>
      </w:r>
    </w:p>
    <w:p>
      <w:pPr>
        <w:pStyle w:val="Normal"/>
        <w:rPr/>
      </w:pPr>
      <w:r>
        <w:rPr/>
      </w:r>
    </w:p>
    <w:p>
      <w:pPr>
        <w:pStyle w:val="Normal"/>
        <w:pBdr/>
        <w:shd w:val="clear" w:color="FFFFFF" w:fill="FFFFFF"/>
        <w:spacing w:before="84" w:after="84"/>
        <w:ind w:left="84" w:right="84" w:hanging="0"/>
        <w:rPr/>
      </w:pPr>
      <w:r>
        <w:rPr>
          <w:rFonts w:eastAsia="Arial" w:cs="Arial"/>
          <w:b/>
          <w:color w:val="0E0F0F"/>
          <w:sz w:val="27"/>
        </w:rPr>
        <w:t>Risk Management Procedure</w:t>
      </w:r>
      <w:r>
        <w:rPr>
          <w:rFonts w:eastAsia="Arial" w:cs="Arial"/>
          <w:color w:val="0E0F0F"/>
          <w:sz w:val="27"/>
        </w:rPr>
        <w:t> The risk management framework for The Contract Coach involves identifying, assessing, prioritizing, responding to, and monitoring risks to organizational systems containing CUI.</w:t>
      </w:r>
    </w:p>
    <w:p>
      <w:pPr>
        <w:pStyle w:val="Normal"/>
        <w:pBdr/>
        <w:shd w:val="clear" w:color="FFFFFF" w:fill="FFFFFF"/>
        <w:spacing w:before="84" w:after="84"/>
        <w:ind w:left="84" w:right="84" w:hanging="0"/>
        <w:rPr/>
      </w:pPr>
      <w:r>
        <w:rPr>
          <w:rFonts w:eastAsia="Arial" w:cs="Arial"/>
          <w:b/>
          <w:color w:val="0E0F0F"/>
          <w:sz w:val="27"/>
        </w:rPr>
        <w:t>Incident Response Policy</w:t>
      </w:r>
      <w:r>
        <w:rPr>
          <w:rFonts w:eastAsia="Arial" w:cs="Arial"/>
          <w:color w:val="0E0F0F"/>
          <w:sz w:val="27"/>
        </w:rPr>
        <w:t> Establish goals and vision for incident response process…</w:t>
      </w:r>
    </w:p>
    <w:p>
      <w:pPr>
        <w:pStyle w:val="Normal"/>
        <w:pBdr/>
        <w:shd w:val="clear" w:color="FFFFFF" w:fill="FFFFFF"/>
        <w:spacing w:before="84" w:after="84"/>
        <w:ind w:left="84" w:right="84" w:hanging="0"/>
        <w:rPr/>
      </w:pPr>
      <w:r>
        <w:rPr>
          <w:rFonts w:eastAsia="Arial" w:cs="Arial"/>
          <w:b/>
          <w:color w:val="0E0F0F"/>
          <w:sz w:val="27"/>
        </w:rPr>
        <w:t>Cyber Risk Policy</w:t>
      </w:r>
      <w:r>
        <w:rPr>
          <w:rFonts w:eastAsia="Arial" w:cs="Arial"/>
          <w:color w:val="0E0F0F"/>
          <w:sz w:val="27"/>
        </w:rPr>
        <w:t> Establish risk management framework for The Contract Coach…</w:t>
      </w:r>
    </w:p>
    <w:p>
      <w:pPr>
        <w:pStyle w:val="Normal"/>
        <w:pBdr/>
        <w:shd w:val="clear" w:color="FFFFFF" w:fill="FFFFFF"/>
        <w:spacing w:before="84" w:after="84"/>
        <w:ind w:left="84" w:right="84" w:hanging="0"/>
        <w:rPr/>
      </w:pPr>
      <w:r>
        <w:rPr>
          <w:rFonts w:eastAsia="Arial" w:cs="Arial"/>
          <w:b/>
          <w:color w:val="0E0F0F"/>
          <w:sz w:val="27"/>
        </w:rPr>
        <w:t>Intrusion Protection</w:t>
      </w:r>
      <w:r>
        <w:rPr>
          <w:rFonts w:eastAsia="Arial" w:cs="Arial"/>
          <w:color w:val="0E0F0F"/>
          <w:sz w:val="27"/>
        </w:rPr>
        <w:t> Procedures for protecting CUI media from unauthorized access, use, disclosure, modification, or destruction…</w:t>
      </w:r>
    </w:p>
    <w:p>
      <w:pPr>
        <w:pStyle w:val="Normal"/>
        <w:pBdr/>
        <w:shd w:val="clear" w:color="FFFFFF" w:fill="FFFFFF"/>
        <w:spacing w:before="84" w:after="84"/>
        <w:ind w:left="84" w:right="84" w:hanging="0"/>
        <w:rPr/>
      </w:pPr>
      <w:r>
        <w:rPr>
          <w:rFonts w:eastAsia="Arial" w:cs="Arial"/>
          <w:b/>
          <w:color w:val="0E0F0F"/>
          <w:sz w:val="27"/>
        </w:rPr>
        <w:t>Personnel Security</w:t>
      </w:r>
      <w:r>
        <w:rPr>
          <w:rFonts w:eastAsia="Arial" w:cs="Arial"/>
          <w:color w:val="0E0F0F"/>
          <w:sz w:val="27"/>
        </w:rPr>
        <w:t> Procedures for screening personnel with access to CUI…</w:t>
      </w:r>
    </w:p>
    <w:p>
      <w:pPr>
        <w:pStyle w:val="Normal"/>
        <w:pBdr/>
        <w:shd w:val="clear" w:color="FFFFFF" w:fill="FFFFFF"/>
        <w:spacing w:before="84" w:after="84"/>
        <w:ind w:left="84" w:right="84" w:hanging="0"/>
        <w:rPr/>
      </w:pPr>
      <w:r>
        <w:rPr>
          <w:rFonts w:eastAsia="Arial" w:cs="Arial"/>
          <w:b/>
          <w:color w:val="0E0F0F"/>
          <w:sz w:val="27"/>
        </w:rPr>
        <w:t>Physical/Media Protection</w:t>
      </w:r>
      <w:r>
        <w:rPr>
          <w:rFonts w:eastAsia="Arial" w:cs="Arial"/>
          <w:color w:val="0E0F0F"/>
          <w:sz w:val="27"/>
        </w:rPr>
        <w:t> Procedures for protecting physical and electronic media from unauthorized access, use, disclosure, modification, or destruction…</w:t>
      </w:r>
    </w:p>
    <w:p>
      <w:pPr>
        <w:pStyle w:val="Normal"/>
        <w:pBdr/>
        <w:shd w:val="clear" w:color="FFFFFF" w:fill="FFFFFF"/>
        <w:spacing w:before="84" w:after="84"/>
        <w:ind w:left="84" w:right="84" w:hanging="0"/>
        <w:rPr/>
      </w:pPr>
      <w:r>
        <w:rPr>
          <w:rFonts w:eastAsia="Arial" w:cs="Arial"/>
          <w:b/>
          <w:color w:val="0E0F0F"/>
          <w:sz w:val="27"/>
        </w:rPr>
        <w:t>System and Information Integrity</w:t>
      </w:r>
      <w:r>
        <w:rPr>
          <w:rFonts w:eastAsia="Arial" w:cs="Arial"/>
          <w:color w:val="0E0F0F"/>
          <w:sz w:val="27"/>
        </w:rPr>
        <w:t> Procedures for ensuring system and information integrity…</w:t>
      </w:r>
    </w:p>
    <w:p>
      <w:pPr>
        <w:pStyle w:val="Normal"/>
        <w:pBdr/>
        <w:shd w:val="clear" w:color="FFFFFF" w:fill="FFFFFF"/>
        <w:spacing w:before="84" w:after="84"/>
        <w:ind w:left="84" w:right="84" w:hanging="0"/>
        <w:rPr/>
      </w:pPr>
      <w:r>
        <w:rPr>
          <w:rFonts w:eastAsia="Arial" w:cs="Arial"/>
          <w:b/>
          <w:color w:val="0E0F0F"/>
          <w:sz w:val="27"/>
        </w:rPr>
        <w:t>Configuration Management</w:t>
      </w:r>
      <w:r>
        <w:rPr>
          <w:rFonts w:eastAsia="Arial" w:cs="Arial"/>
          <w:color w:val="0E0F0F"/>
          <w:sz w:val="27"/>
        </w:rPr>
        <w:t> Procedures for establishing and maintaining baseline configurations…</w:t>
      </w:r>
    </w:p>
    <w:p>
      <w:pPr>
        <w:pStyle w:val="Normal"/>
        <w:rPr/>
      </w:pPr>
      <w:r>
        <w:rPr/>
      </w:r>
    </w:p>
    <w:p>
      <w:pPr>
        <w:pStyle w:val="Chapter"/>
        <w:rPr>
          <w:sz w:val="36"/>
          <w:szCs w:val="36"/>
        </w:rPr>
      </w:pPr>
      <w:r>
        <w:rPr>
          <w:rFonts w:eastAsia="Arial" w:cs="Arial"/>
          <w:b/>
          <w:color w:val="0E0F0F"/>
          <w:sz w:val="36"/>
          <w:szCs w:val="36"/>
        </w:rPr>
        <w:t>Appendix 1 - Risk Management</w:t>
      </w:r>
    </w:p>
    <w:p>
      <w:pPr>
        <w:pStyle w:val="Heading1"/>
        <w:rPr/>
      </w:pPr>
      <w:bookmarkStart w:id="4" w:name="_Toc5"/>
      <w:r>
        <w:rPr>
          <w:rFonts w:eastAsia="Arial" w:cs="Arial"/>
          <w:b/>
          <w:color w:val="0E0F0F"/>
          <w:sz w:val="27"/>
        </w:rPr>
        <w:t>Introduction</w:t>
      </w:r>
      <w:bookmarkEnd w:id="4"/>
    </w:p>
    <w:p>
      <w:pPr>
        <w:pStyle w:val="Normal"/>
        <w:pBdr/>
        <w:shd w:val="clear" w:color="FFFFFF" w:fill="FFFFFF"/>
        <w:spacing w:before="84" w:after="84"/>
        <w:ind w:left="84" w:right="84" w:hanging="0"/>
        <w:rPr/>
      </w:pPr>
      <w:r>
        <w:rPr>
          <w:rFonts w:eastAsia="Arial" w:cs="Arial"/>
          <w:color w:val="0E0F0F"/>
          <w:sz w:val="27"/>
        </w:rPr>
        <w:t>Risk management is an essential component of the CyberHygiene Production Network’s System Security Plan (SSP). This appendix provides a detailed description of the risk management process, which is designed to identify, assess, and mitigate risks to the network and its associated systems.</w:t>
      </w:r>
    </w:p>
    <w:p>
      <w:pPr>
        <w:pStyle w:val="Heading1"/>
        <w:rPr/>
      </w:pPr>
      <w:bookmarkStart w:id="5" w:name="_Toc6"/>
      <w:r>
        <w:rPr>
          <w:rFonts w:eastAsia="Arial" w:cs="Arial"/>
          <w:b/>
          <w:color w:val="0E0F0F"/>
          <w:sz w:val="27"/>
        </w:rPr>
        <w:t>Risk Management Framework</w:t>
      </w:r>
      <w:bookmarkEnd w:id="5"/>
    </w:p>
    <w:p>
      <w:pPr>
        <w:pStyle w:val="Normal"/>
        <w:pBdr/>
        <w:shd w:val="clear" w:color="FFFFFF" w:fill="FFFFFF"/>
        <w:spacing w:before="84" w:after="84"/>
        <w:ind w:left="84" w:right="84" w:hanging="0"/>
        <w:rPr/>
      </w:pPr>
      <w:r>
        <w:rPr>
          <w:rFonts w:eastAsia="Arial" w:cs="Arial"/>
          <w:color w:val="0E0F0F"/>
          <w:sz w:val="27"/>
        </w:rPr>
        <w:t>The CyberHygiene Production Network’s risk management framework is based on the NIST Risk Management Framework (RMF) and incorporates the following steps:</w:t>
      </w:r>
    </w:p>
    <w:p>
      <w:pPr>
        <w:pStyle w:val="ListParagraph"/>
        <w:numPr>
          <w:ilvl w:val="0"/>
          <w:numId w:val="2"/>
        </w:numPr>
        <w:pBdr/>
        <w:shd w:val="clear" w:color="FFFFFF" w:fill="FFFFFF"/>
        <w:spacing w:lineRule="atLeast" w:line="334"/>
        <w:rPr/>
      </w:pPr>
      <w:r>
        <w:rPr>
          <w:rFonts w:eastAsia="Arial" w:cs="Arial"/>
          <w:b/>
          <w:color w:val="0E0F0F"/>
          <w:sz w:val="27"/>
        </w:rPr>
        <w:t>Risk Identification</w:t>
      </w:r>
      <w:r>
        <w:rPr>
          <w:rFonts w:eastAsia="Arial" w:cs="Arial"/>
          <w:color w:val="0E0F0F"/>
          <w:sz w:val="27"/>
        </w:rPr>
        <w:t>: Identify potential risks to the network and its associated systems.</w:t>
      </w:r>
    </w:p>
    <w:p>
      <w:pPr>
        <w:pStyle w:val="ListParagraph"/>
        <w:numPr>
          <w:ilvl w:val="0"/>
          <w:numId w:val="2"/>
        </w:numPr>
        <w:pBdr/>
        <w:shd w:val="clear" w:color="FFFFFF" w:fill="FFFFFF"/>
        <w:spacing w:lineRule="atLeast" w:line="334"/>
        <w:rPr/>
      </w:pPr>
      <w:r>
        <w:rPr>
          <w:rFonts w:eastAsia="Arial" w:cs="Arial"/>
          <w:b/>
          <w:color w:val="0E0F0F"/>
          <w:sz w:val="27"/>
        </w:rPr>
        <w:t>Risk Assessment</w:t>
      </w:r>
      <w:r>
        <w:rPr>
          <w:rFonts w:eastAsia="Arial" w:cs="Arial"/>
          <w:color w:val="0E0F0F"/>
          <w:sz w:val="27"/>
        </w:rPr>
        <w:t>: Assess the identified risks to determine their likelihood and impact.</w:t>
      </w:r>
    </w:p>
    <w:p>
      <w:pPr>
        <w:pStyle w:val="ListParagraph"/>
        <w:numPr>
          <w:ilvl w:val="0"/>
          <w:numId w:val="2"/>
        </w:numPr>
        <w:pBdr/>
        <w:shd w:val="clear" w:color="FFFFFF" w:fill="FFFFFF"/>
        <w:spacing w:lineRule="atLeast" w:line="334"/>
        <w:rPr/>
      </w:pPr>
      <w:r>
        <w:rPr>
          <w:rFonts w:eastAsia="Arial" w:cs="Arial"/>
          <w:b/>
          <w:color w:val="0E0F0F"/>
          <w:sz w:val="27"/>
        </w:rPr>
        <w:t>Risk Mitigation</w:t>
      </w:r>
      <w:r>
        <w:rPr>
          <w:rFonts w:eastAsia="Arial" w:cs="Arial"/>
          <w:color w:val="0E0F0F"/>
          <w:sz w:val="27"/>
        </w:rPr>
        <w:t>: Implement controls and countermeasures to mitigate or reduce the identified risks.</w:t>
      </w:r>
    </w:p>
    <w:p>
      <w:pPr>
        <w:pStyle w:val="ListParagraph"/>
        <w:numPr>
          <w:ilvl w:val="0"/>
          <w:numId w:val="2"/>
        </w:numPr>
        <w:pBdr/>
        <w:shd w:val="clear" w:color="FFFFFF" w:fill="FFFFFF"/>
        <w:spacing w:lineRule="atLeast" w:line="334"/>
        <w:rPr/>
      </w:pPr>
      <w:r>
        <w:rPr>
          <w:rFonts w:eastAsia="Arial" w:cs="Arial"/>
          <w:b/>
          <w:color w:val="0E0F0F"/>
          <w:sz w:val="27"/>
        </w:rPr>
        <w:t>Risk Monitoring</w:t>
      </w:r>
      <w:r>
        <w:rPr>
          <w:rFonts w:eastAsia="Arial" w:cs="Arial"/>
          <w:color w:val="0E0F0F"/>
          <w:sz w:val="27"/>
        </w:rPr>
        <w:t>: Continuously monitor the network and its associated systems for new or emerging risks.</w:t>
      </w:r>
    </w:p>
    <w:p>
      <w:pPr>
        <w:pStyle w:val="Heading1"/>
        <w:rPr/>
      </w:pPr>
      <w:bookmarkStart w:id="6" w:name="_Toc7"/>
      <w:r>
        <w:rPr>
          <w:rFonts w:eastAsia="Arial" w:cs="Arial"/>
          <w:b/>
          <w:color w:val="0E0F0F"/>
          <w:sz w:val="27"/>
        </w:rPr>
        <w:t>Risk Identification</w:t>
      </w:r>
      <w:bookmarkEnd w:id="6"/>
    </w:p>
    <w:p>
      <w:pPr>
        <w:pStyle w:val="Normal"/>
        <w:pBdr/>
        <w:shd w:val="clear" w:color="FFFFFF" w:fill="FFFFFF"/>
        <w:spacing w:before="84" w:after="84"/>
        <w:ind w:left="84" w:right="84" w:hanging="0"/>
        <w:rPr/>
      </w:pPr>
      <w:r>
        <w:rPr>
          <w:rFonts w:eastAsia="Arial" w:cs="Arial"/>
          <w:color w:val="0E0F0F"/>
          <w:sz w:val="27"/>
        </w:rPr>
        <w:t>The risk identification process involves identifying potential risks to the network and its associated systems. This includes:</w:t>
      </w:r>
    </w:p>
    <w:p>
      <w:pPr>
        <w:pStyle w:val="ListParagraph"/>
        <w:numPr>
          <w:ilvl w:val="0"/>
          <w:numId w:val="3"/>
        </w:numPr>
        <w:pBdr/>
        <w:shd w:val="clear" w:color="FFFFFF" w:fill="FFFFFF"/>
        <w:rPr/>
      </w:pPr>
      <w:r>
        <w:rPr>
          <w:rFonts w:eastAsia="Arial" w:cs="Arial"/>
          <w:b/>
          <w:color w:val="0E0F0F"/>
          <w:sz w:val="27"/>
        </w:rPr>
        <w:t>Threat Analysis</w:t>
      </w:r>
      <w:r>
        <w:rPr>
          <w:rFonts w:eastAsia="Arial" w:cs="Arial"/>
          <w:color w:val="0E0F0F"/>
          <w:sz w:val="27"/>
        </w:rPr>
        <w:t>: Identify potential threats to the network, including cyber-attacks, insider threats, and physical attacks.</w:t>
      </w:r>
    </w:p>
    <w:p>
      <w:pPr>
        <w:pStyle w:val="ListParagraph"/>
        <w:numPr>
          <w:ilvl w:val="0"/>
          <w:numId w:val="3"/>
        </w:numPr>
        <w:pBdr/>
        <w:shd w:val="clear" w:color="FFFFFF" w:fill="FFFFFF"/>
        <w:rPr/>
      </w:pPr>
      <w:r>
        <w:rPr>
          <w:rFonts w:eastAsia="Arial" w:cs="Arial"/>
          <w:b/>
          <w:color w:val="0E0F0F"/>
          <w:sz w:val="27"/>
        </w:rPr>
        <w:t>Vulnerability Analysis</w:t>
      </w:r>
      <w:r>
        <w:rPr>
          <w:rFonts w:eastAsia="Arial" w:cs="Arial"/>
          <w:color w:val="0E0F0F"/>
          <w:sz w:val="27"/>
        </w:rPr>
        <w:t>: Identify vulnerabilities in the network and its associated systems, including software and hardware weaknesses.</w:t>
      </w:r>
    </w:p>
    <w:p>
      <w:pPr>
        <w:pStyle w:val="ListParagraph"/>
        <w:numPr>
          <w:ilvl w:val="0"/>
          <w:numId w:val="3"/>
        </w:numPr>
        <w:pBdr/>
        <w:shd w:val="clear" w:color="FFFFFF" w:fill="FFFFFF"/>
        <w:rPr/>
      </w:pPr>
      <w:r>
        <w:rPr>
          <w:rFonts w:eastAsia="Arial" w:cs="Arial"/>
          <w:b/>
          <w:color w:val="0E0F0F"/>
          <w:sz w:val="27"/>
        </w:rPr>
        <w:t>Impact Analysis</w:t>
      </w:r>
      <w:r>
        <w:rPr>
          <w:rFonts w:eastAsia="Arial" w:cs="Arial"/>
          <w:color w:val="0E0F0F"/>
          <w:sz w:val="27"/>
        </w:rPr>
        <w:t>: Assess the potential impact of identified risks on the network and its associated systems.</w:t>
      </w:r>
    </w:p>
    <w:p>
      <w:pPr>
        <w:pStyle w:val="Heading1"/>
        <w:rPr/>
      </w:pPr>
      <w:bookmarkStart w:id="7" w:name="_Toc8"/>
      <w:r>
        <w:rPr>
          <w:rFonts w:eastAsia="Arial" w:cs="Arial"/>
          <w:b/>
          <w:color w:val="0E0F0F"/>
          <w:sz w:val="27"/>
        </w:rPr>
        <w:t>Risk Assessment</w:t>
      </w:r>
      <w:bookmarkEnd w:id="7"/>
    </w:p>
    <w:p>
      <w:pPr>
        <w:pStyle w:val="Normal"/>
        <w:pBdr/>
        <w:shd w:val="clear" w:color="FFFFFF" w:fill="FFFFFF"/>
        <w:spacing w:before="84" w:after="84"/>
        <w:ind w:left="84" w:right="84" w:hanging="0"/>
        <w:rPr/>
      </w:pPr>
      <w:r>
        <w:rPr>
          <w:rFonts w:eastAsia="Arial" w:cs="Arial"/>
          <w:color w:val="0E0F0F"/>
          <w:sz w:val="27"/>
        </w:rPr>
        <w:t>The risk assessment process involves assessing the identified risks to determine their likelihood and impact. This includes:</w:t>
      </w:r>
    </w:p>
    <w:p>
      <w:pPr>
        <w:pStyle w:val="ListParagraph"/>
        <w:numPr>
          <w:ilvl w:val="0"/>
          <w:numId w:val="4"/>
        </w:numPr>
        <w:pBdr/>
        <w:shd w:val="clear" w:color="FFFFFF" w:fill="FFFFFF"/>
        <w:rPr/>
      </w:pPr>
      <w:r>
        <w:rPr>
          <w:rFonts w:eastAsia="Arial" w:cs="Arial"/>
          <w:b/>
          <w:color w:val="0E0F0F"/>
          <w:sz w:val="27"/>
        </w:rPr>
        <w:t>Likelihood Assessment</w:t>
      </w:r>
      <w:r>
        <w:rPr>
          <w:rFonts w:eastAsia="Arial" w:cs="Arial"/>
          <w:color w:val="0E0F0F"/>
          <w:sz w:val="27"/>
        </w:rPr>
        <w:t>: Assess the likelihood of each identified risk occurring.</w:t>
      </w:r>
    </w:p>
    <w:p>
      <w:pPr>
        <w:pStyle w:val="ListParagraph"/>
        <w:numPr>
          <w:ilvl w:val="0"/>
          <w:numId w:val="4"/>
        </w:numPr>
        <w:pBdr/>
        <w:shd w:val="clear" w:color="FFFFFF" w:fill="FFFFFF"/>
        <w:rPr/>
      </w:pPr>
      <w:r>
        <w:rPr>
          <w:rFonts w:eastAsia="Arial" w:cs="Arial"/>
          <w:b/>
          <w:color w:val="0E0F0F"/>
          <w:sz w:val="27"/>
        </w:rPr>
        <w:t>Impact Assessment</w:t>
      </w:r>
      <w:r>
        <w:rPr>
          <w:rFonts w:eastAsia="Arial" w:cs="Arial"/>
          <w:color w:val="0E0F0F"/>
          <w:sz w:val="27"/>
        </w:rPr>
        <w:t>: Assess the potential impact of each identified risk on the network and its associated systems.</w:t>
      </w:r>
    </w:p>
    <w:p>
      <w:pPr>
        <w:pStyle w:val="ListParagraph"/>
        <w:numPr>
          <w:ilvl w:val="0"/>
          <w:numId w:val="4"/>
        </w:numPr>
        <w:pBdr/>
        <w:shd w:val="clear" w:color="FFFFFF" w:fill="FFFFFF"/>
        <w:rPr/>
      </w:pPr>
      <w:r>
        <w:rPr>
          <w:rFonts w:eastAsia="Arial" w:cs="Arial"/>
          <w:b/>
          <w:color w:val="0E0F0F"/>
          <w:sz w:val="27"/>
        </w:rPr>
        <w:t>Risk Scoring</w:t>
      </w:r>
      <w:r>
        <w:rPr>
          <w:rFonts w:eastAsia="Arial" w:cs="Arial"/>
          <w:color w:val="0E0F0F"/>
          <w:sz w:val="27"/>
        </w:rPr>
        <w:t>: Assign a risk score to each identified risk based on its likelihood and impact.</w:t>
      </w:r>
    </w:p>
    <w:p>
      <w:pPr>
        <w:pStyle w:val="Heading1"/>
        <w:rPr/>
      </w:pPr>
      <w:bookmarkStart w:id="8" w:name="_Toc9"/>
      <w:r>
        <w:rPr>
          <w:rFonts w:eastAsia="Arial" w:cs="Arial"/>
          <w:b/>
          <w:color w:val="0E0F0F"/>
          <w:sz w:val="27"/>
        </w:rPr>
        <w:t>Risk Mitigation</w:t>
      </w:r>
      <w:bookmarkEnd w:id="8"/>
    </w:p>
    <w:p>
      <w:pPr>
        <w:pStyle w:val="Normal"/>
        <w:pBdr/>
        <w:shd w:val="clear" w:color="FFFFFF" w:fill="FFFFFF"/>
        <w:spacing w:before="84" w:after="84"/>
        <w:ind w:left="84" w:right="84" w:hanging="0"/>
        <w:rPr/>
      </w:pPr>
      <w:r>
        <w:rPr>
          <w:rFonts w:eastAsia="Arial" w:cs="Arial"/>
          <w:color w:val="0E0F0F"/>
          <w:sz w:val="27"/>
        </w:rPr>
        <w:t>The risk mitigation process involves implementing controls and countermeasures to mitigate or reduce the identified risks. This includes:</w:t>
      </w:r>
    </w:p>
    <w:p>
      <w:pPr>
        <w:pStyle w:val="ListParagraph"/>
        <w:numPr>
          <w:ilvl w:val="0"/>
          <w:numId w:val="5"/>
        </w:numPr>
        <w:pBdr/>
        <w:shd w:val="clear" w:color="FFFFFF" w:fill="FFFFFF"/>
        <w:rPr/>
      </w:pPr>
      <w:r>
        <w:rPr>
          <w:rFonts w:eastAsia="Arial" w:cs="Arial"/>
          <w:b/>
          <w:color w:val="0E0F0F"/>
          <w:sz w:val="27"/>
        </w:rPr>
        <w:t>Control Selection</w:t>
      </w:r>
      <w:r>
        <w:rPr>
          <w:rFonts w:eastAsia="Arial" w:cs="Arial"/>
          <w:color w:val="0E0F0F"/>
          <w:sz w:val="27"/>
        </w:rPr>
        <w:t>: Select controls and countermeasures to implement based on the risk assessment results.</w:t>
      </w:r>
    </w:p>
    <w:p>
      <w:pPr>
        <w:pStyle w:val="ListParagraph"/>
        <w:numPr>
          <w:ilvl w:val="0"/>
          <w:numId w:val="5"/>
        </w:numPr>
        <w:pBdr/>
        <w:shd w:val="clear" w:color="FFFFFF" w:fill="FFFFFF"/>
        <w:rPr/>
      </w:pPr>
      <w:r>
        <w:rPr>
          <w:rFonts w:eastAsia="Arial" w:cs="Arial"/>
          <w:b/>
          <w:color w:val="0E0F0F"/>
          <w:sz w:val="27"/>
        </w:rPr>
        <w:t>Control Implementation</w:t>
      </w:r>
      <w:r>
        <w:rPr>
          <w:rFonts w:eastAsia="Arial" w:cs="Arial"/>
          <w:color w:val="0E0F0F"/>
          <w:sz w:val="27"/>
        </w:rPr>
        <w:t>: Implement the selected controls and countermeasures.</w:t>
      </w:r>
    </w:p>
    <w:p>
      <w:pPr>
        <w:pStyle w:val="ListParagraph"/>
        <w:numPr>
          <w:ilvl w:val="0"/>
          <w:numId w:val="5"/>
        </w:numPr>
        <w:pBdr/>
        <w:shd w:val="clear" w:color="FFFFFF" w:fill="FFFFFF"/>
        <w:rPr/>
      </w:pPr>
      <w:r>
        <w:rPr>
          <w:rFonts w:eastAsia="Arial" w:cs="Arial"/>
          <w:b/>
          <w:color w:val="0E0F0F"/>
          <w:sz w:val="27"/>
        </w:rPr>
        <w:t>Control Effectiveness</w:t>
      </w:r>
      <w:r>
        <w:rPr>
          <w:rFonts w:eastAsia="Arial" w:cs="Arial"/>
          <w:color w:val="0E0F0F"/>
          <w:sz w:val="27"/>
        </w:rPr>
        <w:t>: Assess the effectiveness of implemented controls and countermeasures.</w:t>
      </w:r>
    </w:p>
    <w:p>
      <w:pPr>
        <w:pStyle w:val="Heading1"/>
        <w:rPr/>
      </w:pPr>
      <w:bookmarkStart w:id="9" w:name="_Toc10"/>
      <w:r>
        <w:rPr>
          <w:rFonts w:eastAsia="Arial" w:cs="Arial"/>
          <w:b/>
          <w:color w:val="0E0F0F"/>
          <w:sz w:val="27"/>
        </w:rPr>
        <w:t>Risk Monitoring</w:t>
      </w:r>
      <w:bookmarkEnd w:id="9"/>
    </w:p>
    <w:p>
      <w:pPr>
        <w:pStyle w:val="Normal"/>
        <w:pBdr/>
        <w:shd w:val="clear" w:color="FFFFFF" w:fill="FFFFFF"/>
        <w:spacing w:before="84" w:after="84"/>
        <w:ind w:left="84" w:right="84" w:hanging="0"/>
        <w:rPr/>
      </w:pPr>
      <w:r>
        <w:rPr>
          <w:rFonts w:eastAsia="Arial" w:cs="Arial"/>
          <w:color w:val="0E0F0F"/>
          <w:sz w:val="27"/>
        </w:rPr>
        <w:t>The risk monitoring process involves continuously monitoring the network and its associated systems for new or emerging risks. This includes:</w:t>
      </w:r>
    </w:p>
    <w:p>
      <w:pPr>
        <w:pStyle w:val="ListParagraph"/>
        <w:numPr>
          <w:ilvl w:val="0"/>
          <w:numId w:val="6"/>
        </w:numPr>
        <w:pBdr/>
        <w:shd w:val="clear" w:color="FFFFFF" w:fill="FFFFFF"/>
        <w:rPr/>
      </w:pPr>
      <w:r>
        <w:rPr>
          <w:rFonts w:eastAsia="Arial" w:cs="Arial"/>
          <w:b/>
          <w:color w:val="0E0F0F"/>
          <w:sz w:val="27"/>
        </w:rPr>
        <w:t>Vulnerability Scanning</w:t>
      </w:r>
      <w:r>
        <w:rPr>
          <w:rFonts w:eastAsia="Arial" w:cs="Arial"/>
          <w:color w:val="0E0F0F"/>
          <w:sz w:val="27"/>
        </w:rPr>
        <w:t>: Conduct regular vulnerability scans to identify new vulnerabilities.</w:t>
      </w:r>
    </w:p>
    <w:p>
      <w:pPr>
        <w:pStyle w:val="ListParagraph"/>
        <w:numPr>
          <w:ilvl w:val="0"/>
          <w:numId w:val="6"/>
        </w:numPr>
        <w:pBdr/>
        <w:shd w:val="clear" w:color="FFFFFF" w:fill="FFFFFF"/>
        <w:rPr/>
      </w:pPr>
      <w:r>
        <w:rPr>
          <w:rFonts w:eastAsia="Arial" w:cs="Arial"/>
          <w:b/>
          <w:color w:val="0E0F0F"/>
          <w:sz w:val="27"/>
        </w:rPr>
        <w:t>Threat Intelligence</w:t>
      </w:r>
      <w:r>
        <w:rPr>
          <w:rFonts w:eastAsia="Arial" w:cs="Arial"/>
          <w:color w:val="0E0F0F"/>
          <w:sz w:val="27"/>
        </w:rPr>
        <w:t>: Monitor threat intelligence feeds to stay informed about emerging threats.</w:t>
      </w:r>
    </w:p>
    <w:p>
      <w:pPr>
        <w:pStyle w:val="ListParagraph"/>
        <w:numPr>
          <w:ilvl w:val="0"/>
          <w:numId w:val="6"/>
        </w:numPr>
        <w:pBdr/>
        <w:shd w:val="clear" w:color="FFFFFF" w:fill="FFFFFF"/>
        <w:rPr/>
      </w:pPr>
      <w:r>
        <w:rPr>
          <w:rFonts w:eastAsia="Arial" w:cs="Arial"/>
          <w:b/>
          <w:color w:val="0E0F0F"/>
          <w:sz w:val="27"/>
        </w:rPr>
        <w:t>Incident Response</w:t>
      </w:r>
      <w:r>
        <w:rPr>
          <w:rFonts w:eastAsia="Arial" w:cs="Arial"/>
          <w:color w:val="0E0F0F"/>
          <w:sz w:val="27"/>
        </w:rPr>
        <w:t>: Establish an incident response plan to respond quickly and effectively in the event of a security incident.</w:t>
      </w:r>
    </w:p>
    <w:p>
      <w:pPr>
        <w:pStyle w:val="Heading1"/>
        <w:rPr/>
      </w:pPr>
      <w:bookmarkStart w:id="10" w:name="_Toc11"/>
      <w:r>
        <w:rPr>
          <w:rFonts w:eastAsia="Arial" w:cs="Arial"/>
          <w:b/>
          <w:color w:val="0E0F0F"/>
          <w:sz w:val="27"/>
        </w:rPr>
        <w:t>Risk Management Roles and Responsibilities</w:t>
      </w:r>
      <w:bookmarkEnd w:id="10"/>
    </w:p>
    <w:p>
      <w:pPr>
        <w:pStyle w:val="Normal"/>
        <w:pBdr/>
        <w:shd w:val="clear" w:color="FFFFFF" w:fill="FFFFFF"/>
        <w:spacing w:before="84" w:after="84"/>
        <w:ind w:left="84" w:right="84" w:hanging="0"/>
        <w:rPr/>
      </w:pPr>
      <w:r>
        <w:rPr>
          <w:rFonts w:eastAsia="Arial" w:cs="Arial"/>
          <w:color w:val="0E0F0F"/>
          <w:sz w:val="27"/>
        </w:rPr>
        <w:t>The following roles and responsibilities are assigned for risk management:</w:t>
      </w:r>
    </w:p>
    <w:p>
      <w:pPr>
        <w:pStyle w:val="ListParagraph"/>
        <w:numPr>
          <w:ilvl w:val="0"/>
          <w:numId w:val="7"/>
        </w:numPr>
        <w:pBdr/>
        <w:shd w:val="clear" w:color="FFFFFF" w:fill="FFFFFF"/>
        <w:rPr/>
      </w:pPr>
      <w:r>
        <w:rPr>
          <w:rFonts w:eastAsia="Arial" w:cs="Arial"/>
          <w:b/>
          <w:color w:val="0E0F0F"/>
          <w:sz w:val="27"/>
        </w:rPr>
        <w:t>System Owner</w:t>
      </w:r>
      <w:r>
        <w:rPr>
          <w:rFonts w:eastAsia="Arial" w:cs="Arial"/>
          <w:color w:val="0E0F0F"/>
          <w:sz w:val="27"/>
        </w:rPr>
        <w:t>: The System Owner is responsible for overseeing the risk management process and ensuring that risks are properly identified, assessed, and mitigated.</w:t>
      </w:r>
    </w:p>
    <w:p>
      <w:pPr>
        <w:pStyle w:val="ListParagraph"/>
        <w:numPr>
          <w:ilvl w:val="0"/>
          <w:numId w:val="7"/>
        </w:numPr>
        <w:pBdr/>
        <w:shd w:val="clear" w:color="FFFFFF" w:fill="FFFFFF"/>
        <w:rPr/>
      </w:pPr>
      <w:r>
        <w:rPr>
          <w:rFonts w:eastAsia="Arial" w:cs="Arial"/>
          <w:b/>
          <w:color w:val="0E0F0F"/>
          <w:sz w:val="27"/>
        </w:rPr>
        <w:t>Information System Security Officer (ISSO)</w:t>
      </w:r>
      <w:r>
        <w:rPr>
          <w:rFonts w:eastAsia="Arial" w:cs="Arial"/>
          <w:color w:val="0E0F0F"/>
          <w:sz w:val="27"/>
        </w:rPr>
        <w:t>: The ISSO is responsible for implementing and managing the risk management process.</w:t>
      </w:r>
    </w:p>
    <w:p>
      <w:pPr>
        <w:pStyle w:val="ListParagraph"/>
        <w:numPr>
          <w:ilvl w:val="0"/>
          <w:numId w:val="7"/>
        </w:numPr>
        <w:pBdr/>
        <w:shd w:val="clear" w:color="FFFFFF" w:fill="FFFFFF"/>
        <w:rPr/>
      </w:pPr>
      <w:r>
        <w:rPr>
          <w:rFonts w:eastAsia="Arial" w:cs="Arial"/>
          <w:b/>
          <w:color w:val="0E0F0F"/>
          <w:sz w:val="27"/>
        </w:rPr>
        <w:t>Security Team</w:t>
      </w:r>
      <w:r>
        <w:rPr>
          <w:rFonts w:eastAsia="Arial" w:cs="Arial"/>
          <w:color w:val="0E0F0F"/>
          <w:sz w:val="27"/>
        </w:rPr>
        <w:t>: The Security Team is responsible for conducting risk assessments, identifying vulnerabilities, and recommending controls and countermeasures.</w:t>
      </w:r>
    </w:p>
    <w:p>
      <w:pPr>
        <w:pStyle w:val="Heading1"/>
        <w:rPr/>
      </w:pPr>
      <w:bookmarkStart w:id="11" w:name="_Toc12"/>
      <w:r>
        <w:rPr>
          <w:rFonts w:eastAsia="Arial" w:cs="Arial"/>
          <w:b/>
          <w:color w:val="0E0F0F"/>
          <w:sz w:val="27"/>
        </w:rPr>
        <w:t>Risk Management Process Flow</w:t>
      </w:r>
      <w:bookmarkEnd w:id="11"/>
    </w:p>
    <w:p>
      <w:pPr>
        <w:pStyle w:val="Normal"/>
        <w:pBdr/>
        <w:shd w:val="clear" w:color="FFFFFF" w:fill="FFFFFF"/>
        <w:spacing w:before="84" w:after="84"/>
        <w:ind w:left="84" w:right="84" w:hanging="0"/>
        <w:rPr/>
      </w:pPr>
      <w:r>
        <w:rPr>
          <w:rFonts w:eastAsia="Arial" w:cs="Arial"/>
          <w:color w:val="0E0F0F"/>
          <w:sz w:val="27"/>
        </w:rPr>
        <w:t>The following diagram illustrates the risk management process flow:</w:t>
      </w:r>
    </w:p>
    <w:p>
      <w:pPr>
        <w:pStyle w:val="Normal"/>
        <w:pBdr/>
        <w:shd w:val="clear" w:color="075985" w:fill="075985"/>
        <w:spacing w:lineRule="atLeast" w:line="239" w:before="0" w:after="0"/>
        <w:jc w:val="center"/>
        <w:rPr/>
      </w:pPr>
      <w:r>
        <w:rPr>
          <w:rFonts w:eastAsia="Arial" w:cs="Arial"/>
          <w:color w:val="E2E8F0"/>
          <w:sz w:val="18"/>
        </w:rPr>
        <w:t>Copy block</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  Risk Identification  |</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v</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  Risk Assessment     |</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v</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  Risk Mitigation    |</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v</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  Risk Monitoring     |</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Fonts w:eastAsia="Courier New" w:cs="Courier New" w:ascii="Courier New" w:hAnsi="Courier New"/>
          <w:color w:val="24292E"/>
          <w:sz w:val="21"/>
        </w:rPr>
        <w:t xml:space="preserve">                                      </w:t>
      </w:r>
      <w:r>
        <w:rPr>
          <w:rFonts w:eastAsia="Courier New" w:cs="Courier New" w:ascii="Courier New" w:hAnsi="Courier New"/>
          <w:color w:val="24292E"/>
          <w:sz w:val="21"/>
        </w:rPr>
        <w:t>+---------------+</w:t>
      </w:r>
    </w:p>
    <w:p>
      <w:pPr>
        <w:pStyle w:val="Normal"/>
        <w:pBdr>
          <w:top w:val="single" w:sz="6" w:space="0" w:color="374151"/>
          <w:left w:val="single" w:sz="6" w:space="0" w:color="374151"/>
          <w:bottom w:val="single" w:sz="6" w:space="0" w:color="374151"/>
          <w:right w:val="single" w:sz="6" w:space="0" w:color="374151"/>
        </w:pBdr>
        <w:shd w:val="clear" w:color="FFFFFF" w:fill="FFFFFF"/>
        <w:spacing w:lineRule="atLeast" w:line="298"/>
        <w:rPr/>
      </w:pPr>
      <w:r>
        <w:rPr/>
      </w:r>
    </w:p>
    <w:p>
      <w:pPr>
        <w:pStyle w:val="Heading1"/>
        <w:rPr/>
      </w:pPr>
      <w:bookmarkStart w:id="12" w:name="_Toc13"/>
      <w:r>
        <w:rPr>
          <w:rFonts w:eastAsia="Arial" w:cs="Arial"/>
          <w:b/>
          <w:color w:val="0E0F0F"/>
          <w:sz w:val="27"/>
        </w:rPr>
        <w:t>Risk Management Tools and Techniques</w:t>
      </w:r>
      <w:bookmarkEnd w:id="12"/>
    </w:p>
    <w:p>
      <w:pPr>
        <w:pStyle w:val="Normal"/>
        <w:pBdr/>
        <w:shd w:val="clear" w:color="FFFFFF" w:fill="FFFFFF"/>
        <w:spacing w:before="84" w:after="84"/>
        <w:ind w:left="84" w:right="84" w:hanging="0"/>
        <w:rPr/>
      </w:pPr>
      <w:r>
        <w:rPr>
          <w:rFonts w:eastAsia="Arial" w:cs="Arial"/>
          <w:color w:val="0E0F0F"/>
          <w:sz w:val="27"/>
        </w:rPr>
        <w:t>The following tools and techniques are used to support the risk management process:</w:t>
      </w:r>
    </w:p>
    <w:p>
      <w:pPr>
        <w:pStyle w:val="ListParagraph"/>
        <w:numPr>
          <w:ilvl w:val="0"/>
          <w:numId w:val="8"/>
        </w:numPr>
        <w:pBdr/>
        <w:shd w:val="clear" w:color="FFFFFF" w:fill="FFFFFF"/>
        <w:rPr/>
      </w:pPr>
      <w:r>
        <w:rPr>
          <w:rFonts w:eastAsia="Arial" w:cs="Arial"/>
          <w:b/>
          <w:color w:val="0E0F0F"/>
          <w:sz w:val="27"/>
        </w:rPr>
        <w:t>NIST SP 800-30</w:t>
      </w:r>
      <w:r>
        <w:rPr>
          <w:rFonts w:eastAsia="Arial" w:cs="Arial"/>
          <w:color w:val="0E0F0F"/>
          <w:sz w:val="27"/>
        </w:rPr>
        <w:t>: The NIST Special Publication 800-30 provides guidelines for conducting risk assessments.</w:t>
      </w:r>
    </w:p>
    <w:p>
      <w:pPr>
        <w:pStyle w:val="ListParagraph"/>
        <w:numPr>
          <w:ilvl w:val="0"/>
          <w:numId w:val="8"/>
        </w:numPr>
        <w:pBdr/>
        <w:shd w:val="clear" w:color="FFFFFF" w:fill="FFFFFF"/>
        <w:rPr/>
      </w:pPr>
      <w:r>
        <w:rPr>
          <w:rFonts w:eastAsia="Arial" w:cs="Arial"/>
          <w:b/>
          <w:color w:val="0E0F0F"/>
          <w:sz w:val="27"/>
        </w:rPr>
        <w:t>OpenSCAP</w:t>
      </w:r>
      <w:r>
        <w:rPr>
          <w:rFonts w:eastAsia="Arial" w:cs="Arial"/>
          <w:color w:val="0E0F0F"/>
          <w:sz w:val="27"/>
        </w:rPr>
        <w:t>: OpenSCAP is an open-source tool used for vulnerability scanning and compliance verification.</w:t>
      </w:r>
    </w:p>
    <w:p>
      <w:pPr>
        <w:pStyle w:val="ListParagraph"/>
        <w:numPr>
          <w:ilvl w:val="0"/>
          <w:numId w:val="8"/>
        </w:numPr>
        <w:pBdr/>
        <w:shd w:val="clear" w:color="FFFFFF" w:fill="FFFFFF"/>
        <w:rPr/>
      </w:pPr>
      <w:r>
        <w:rPr>
          <w:rFonts w:eastAsia="Arial" w:cs="Arial"/>
          <w:b/>
          <w:color w:val="0E0F0F"/>
          <w:sz w:val="27"/>
        </w:rPr>
        <w:t>Threat Intelligence Feeds</w:t>
      </w:r>
      <w:r>
        <w:rPr>
          <w:rFonts w:eastAsia="Arial" w:cs="Arial"/>
          <w:color w:val="0E0F0F"/>
          <w:sz w:val="27"/>
        </w:rPr>
        <w:t>: Threat intelligence feeds are used to stay informed about emerging threats.</w:t>
      </w:r>
    </w:p>
    <w:p>
      <w:pPr>
        <w:pStyle w:val="Heading1"/>
        <w:rPr/>
      </w:pPr>
      <w:bookmarkStart w:id="13" w:name="_Toc14"/>
      <w:r>
        <w:rPr>
          <w:rFonts w:eastAsia="Arial" w:cs="Arial"/>
          <w:b/>
          <w:color w:val="0E0F0F"/>
          <w:sz w:val="27"/>
        </w:rPr>
        <w:t>Risk Management Plan of Action and Milestones</w:t>
      </w:r>
      <w:bookmarkEnd w:id="13"/>
    </w:p>
    <w:p>
      <w:pPr>
        <w:pStyle w:val="Normal"/>
        <w:pBdr/>
        <w:shd w:val="clear" w:color="FFFFFF" w:fill="FFFFFF"/>
        <w:spacing w:before="84" w:after="84"/>
        <w:ind w:left="84" w:right="84" w:hanging="0"/>
        <w:rPr/>
      </w:pPr>
      <w:r>
        <w:rPr>
          <w:rFonts w:eastAsia="Arial" w:cs="Arial"/>
          <w:color w:val="0E0F0F"/>
          <w:sz w:val="27"/>
        </w:rPr>
        <w:t>The following plan of action and milestones outlines the remaining implementation tasks to achieve full risk management capabilities:</w:t>
      </w:r>
    </w:p>
    <w:tbl>
      <w:tblPr>
        <w:tblStyle w:val="809"/>
        <w:tblW w:w="9360" w:type="dxa"/>
        <w:jc w:val="left"/>
        <w:tblInd w:w="0" w:type="dxa"/>
        <w:tblLayout w:type="fixed"/>
        <w:tblCellMar>
          <w:top w:w="210" w:type="dxa"/>
          <w:left w:w="225" w:type="dxa"/>
          <w:bottom w:w="210" w:type="dxa"/>
          <w:right w:w="225" w:type="dxa"/>
        </w:tblCellMar>
        <w:tblLook w:val="04a0" w:noHBand="0" w:noVBand="1" w:firstColumn="1" w:lastRow="0" w:lastColumn="0" w:firstRow="1"/>
      </w:tblPr>
      <w:tblGrid>
        <w:gridCol w:w="6798"/>
        <w:gridCol w:w="2561"/>
      </w:tblGrid>
      <w:tr>
        <w:trPr/>
        <w:tc>
          <w:tcPr>
            <w:tcW w:w="6798"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TASK</w:t>
            </w:r>
          </w:p>
        </w:tc>
        <w:tc>
          <w:tcPr>
            <w:tcW w:w="2561"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MILESTONE DATE</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Conduct a comprehensive risk assessment</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December 15, 2025</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Implement vulnerability scanning and threat intelligence feeds</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November 30, 2025</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Establish an incident response plan</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January 31, 2026</w:t>
            </w:r>
          </w:p>
        </w:tc>
      </w:tr>
    </w:tbl>
    <w:p>
      <w:pPr>
        <w:pStyle w:val="Normal"/>
        <w:rPr/>
      </w:pPr>
      <w:r>
        <w:rPr/>
        <w:br/>
      </w:r>
    </w:p>
    <w:p>
      <w:pPr>
        <w:pStyle w:val="Normal"/>
        <w:rPr/>
      </w:pPr>
      <w:r>
        <w:rPr/>
      </w:r>
      <w:r>
        <w:br w:type="page"/>
      </w:r>
    </w:p>
    <w:p>
      <w:pPr>
        <w:pStyle w:val="Chapter"/>
        <w:rPr>
          <w:sz w:val="36"/>
          <w:szCs w:val="36"/>
          <w14:ligatures w14:val="none"/>
        </w:rPr>
      </w:pPr>
      <w:r>
        <w:rPr>
          <w:sz w:val="36"/>
          <w:szCs w:val="36"/>
        </w:rPr>
        <w:t>Appendix 2 - Cyber Risk Policy</w:t>
      </w:r>
    </w:p>
    <w:p>
      <w:pPr>
        <w:pStyle w:val="Heading1"/>
        <w:rPr/>
      </w:pPr>
      <w:bookmarkStart w:id="14" w:name="_Toc15"/>
      <w:r>
        <w:rPr>
          <w:rFonts w:eastAsia="Arial" w:cs="Arial"/>
          <w:b/>
          <w:color w:val="0E0F0F"/>
          <w:sz w:val="27"/>
        </w:rPr>
        <w:t>Introduction</w:t>
      </w:r>
      <w:bookmarkEnd w:id="14"/>
    </w:p>
    <w:p>
      <w:pPr>
        <w:pStyle w:val="Normal"/>
        <w:pBdr/>
        <w:shd w:val="clear" w:color="FFFFFF" w:fill="FFFFFF"/>
        <w:spacing w:before="84" w:after="84"/>
        <w:ind w:left="84" w:right="84" w:hanging="0"/>
        <w:rPr/>
      </w:pPr>
      <w:r>
        <w:rPr>
          <w:rFonts w:eastAsia="Arial" w:cs="Arial"/>
          <w:color w:val="0E0F0F"/>
          <w:sz w:val="27"/>
        </w:rPr>
        <w:t>The CyberHygiene Production Network’s (CPN) Cyber Risk Policy outlines the organization’s approach to managing cyber risks associated with its systems, networks, and data. This policy is designed to ensure the confidentiality, integrity, and availability of CPN’s assets, while minimizing operational disruption to core functions such as proposal development, contract administration, and client communications.</w:t>
      </w:r>
    </w:p>
    <w:p>
      <w:pPr>
        <w:pStyle w:val="Heading1"/>
        <w:rPr/>
      </w:pPr>
      <w:bookmarkStart w:id="15" w:name="_Toc16"/>
      <w:r>
        <w:rPr>
          <w:rFonts w:eastAsia="Arial" w:cs="Arial"/>
          <w:b/>
          <w:color w:val="0E0F0F"/>
          <w:sz w:val="27"/>
        </w:rPr>
        <w:t>Scope</w:t>
      </w:r>
      <w:bookmarkEnd w:id="15"/>
    </w:p>
    <w:p>
      <w:pPr>
        <w:pStyle w:val="Normal"/>
        <w:pBdr/>
        <w:shd w:val="clear" w:color="FFFFFF" w:fill="FFFFFF"/>
        <w:spacing w:before="84" w:after="84"/>
        <w:ind w:left="84" w:right="84" w:hanging="0"/>
        <w:rPr/>
      </w:pPr>
      <w:r>
        <w:rPr>
          <w:rFonts w:eastAsia="Arial" w:cs="Arial"/>
          <w:color w:val="0E0F0F"/>
          <w:sz w:val="27"/>
        </w:rPr>
        <w:t>This policy applies to all CPN assets, including:</w:t>
      </w:r>
    </w:p>
    <w:p>
      <w:pPr>
        <w:pStyle w:val="ListParagraph"/>
        <w:numPr>
          <w:ilvl w:val="0"/>
          <w:numId w:val="9"/>
        </w:numPr>
        <w:pBdr/>
        <w:shd w:val="clear" w:color="FFFFFF" w:fill="FFFFFF"/>
        <w:rPr/>
      </w:pPr>
      <w:r>
        <w:rPr>
          <w:rFonts w:eastAsia="Arial" w:cs="Arial"/>
          <w:color w:val="0E0F0F"/>
          <w:sz w:val="27"/>
        </w:rPr>
        <w:t>Domain controller: dc1.cyberinabox.net (192.168.1.10)</w:t>
      </w:r>
    </w:p>
    <w:p>
      <w:pPr>
        <w:pStyle w:val="ListParagraph"/>
        <w:numPr>
          <w:ilvl w:val="0"/>
          <w:numId w:val="9"/>
        </w:numPr>
        <w:pBdr/>
        <w:shd w:val="clear" w:color="FFFFFF" w:fill="FFFFFF"/>
        <w:rPr/>
      </w:pPr>
      <w:r>
        <w:rPr>
          <w:rFonts w:eastAsia="Arial" w:cs="Arial"/>
          <w:color w:val="0E0F0F"/>
          <w:sz w:val="27"/>
        </w:rPr>
        <w:t>Workstations: LabRat (192.168.1.115), Engineering (192.168.1.104), Accounting (192.168.1.113)</w:t>
      </w:r>
    </w:p>
    <w:p>
      <w:pPr>
        <w:pStyle w:val="ListParagraph"/>
        <w:numPr>
          <w:ilvl w:val="0"/>
          <w:numId w:val="9"/>
        </w:numPr>
        <w:pBdr/>
        <w:shd w:val="clear" w:color="FFFFFF" w:fill="FFFFFF"/>
        <w:rPr/>
      </w:pPr>
      <w:r>
        <w:rPr>
          <w:rFonts w:eastAsia="Arial" w:cs="Arial"/>
          <w:color w:val="0E0F0F"/>
          <w:sz w:val="27"/>
        </w:rPr>
        <w:t>Network: pfSense firewall (192.168.1.1)</w:t>
      </w:r>
    </w:p>
    <w:p>
      <w:pPr>
        <w:pStyle w:val="ListParagraph"/>
        <w:numPr>
          <w:ilvl w:val="0"/>
          <w:numId w:val="9"/>
        </w:numPr>
        <w:pBdr/>
        <w:shd w:val="clear" w:color="FFFFFF" w:fill="FFFFFF"/>
        <w:rPr/>
      </w:pPr>
      <w:r>
        <w:rPr>
          <w:rFonts w:eastAsia="Arial" w:cs="Arial"/>
          <w:color w:val="0E0F0F"/>
          <w:sz w:val="27"/>
        </w:rPr>
        <w:t>Personnel: Employees, contractors, and subcontractors accessing CPN.</w:t>
      </w:r>
    </w:p>
    <w:p>
      <w:pPr>
        <w:pStyle w:val="Normal"/>
        <w:pBdr/>
        <w:shd w:val="clear" w:color="FFFFFF" w:fill="FFFFFF"/>
        <w:spacing w:before="84" w:after="84"/>
        <w:ind w:left="84" w:right="84" w:hanging="0"/>
        <w:rPr/>
      </w:pPr>
      <w:r>
        <w:rPr>
          <w:rFonts w:eastAsia="Arial" w:cs="Arial"/>
          <w:b/>
          <w:color w:val="0E0F0F"/>
          <w:sz w:val="27"/>
        </w:rPr>
        <w:t>Cyber Risk Management Objectives</w:t>
      </w:r>
    </w:p>
    <w:p>
      <w:pPr>
        <w:pStyle w:val="Normal"/>
        <w:pBdr/>
        <w:shd w:val="clear" w:color="FFFFFF" w:fill="FFFFFF"/>
        <w:spacing w:before="84" w:after="84"/>
        <w:ind w:left="84" w:right="84" w:hanging="0"/>
        <w:rPr/>
      </w:pPr>
      <w:r>
        <w:rPr>
          <w:rFonts w:eastAsia="Arial" w:cs="Arial"/>
          <w:color w:val="0E0F0F"/>
          <w:sz w:val="27"/>
        </w:rPr>
        <w:t>The objectives of CPN’s cyber risk management program are to:</w:t>
      </w:r>
    </w:p>
    <w:p>
      <w:pPr>
        <w:pStyle w:val="ListParagraph"/>
        <w:numPr>
          <w:ilvl w:val="0"/>
          <w:numId w:val="10"/>
        </w:numPr>
        <w:pBdr/>
        <w:shd w:val="clear" w:color="FFFFFF" w:fill="FFFFFF"/>
        <w:rPr/>
      </w:pPr>
      <w:r>
        <w:rPr>
          <w:rFonts w:eastAsia="Arial" w:cs="Arial"/>
          <w:color w:val="0E0F0F"/>
          <w:sz w:val="27"/>
        </w:rPr>
        <w:t>Identify and assess cyber risks to CPN’s systems, networks, and data</w:t>
      </w:r>
    </w:p>
    <w:p>
      <w:pPr>
        <w:pStyle w:val="ListParagraph"/>
        <w:numPr>
          <w:ilvl w:val="0"/>
          <w:numId w:val="10"/>
        </w:numPr>
        <w:pBdr/>
        <w:shd w:val="clear" w:color="FFFFFF" w:fill="FFFFFF"/>
        <w:rPr/>
      </w:pPr>
      <w:r>
        <w:rPr>
          <w:rFonts w:eastAsia="Arial" w:cs="Arial"/>
          <w:color w:val="0E0F0F"/>
          <w:sz w:val="27"/>
        </w:rPr>
        <w:t>Implement controls and countermeasures to mitigate or reduce identified cyber risks</w:t>
      </w:r>
    </w:p>
    <w:p>
      <w:pPr>
        <w:pStyle w:val="ListParagraph"/>
        <w:numPr>
          <w:ilvl w:val="0"/>
          <w:numId w:val="10"/>
        </w:numPr>
        <w:pBdr/>
        <w:shd w:val="clear" w:color="FFFFFF" w:fill="FFFFFF"/>
        <w:rPr/>
      </w:pPr>
      <w:r>
        <w:rPr>
          <w:rFonts w:eastAsia="Arial" w:cs="Arial"/>
          <w:color w:val="0E0F0F"/>
          <w:sz w:val="27"/>
        </w:rPr>
        <w:t>Monitor and review the effectiveness of implemented controls and countermeasures</w:t>
      </w:r>
    </w:p>
    <w:p>
      <w:pPr>
        <w:pStyle w:val="ListParagraph"/>
        <w:numPr>
          <w:ilvl w:val="0"/>
          <w:numId w:val="10"/>
        </w:numPr>
        <w:pBdr/>
        <w:shd w:val="clear" w:color="FFFFFF" w:fill="FFFFFF"/>
        <w:rPr/>
      </w:pPr>
      <w:r>
        <w:rPr>
          <w:rFonts w:eastAsia="Arial" w:cs="Arial"/>
          <w:color w:val="0E0F0F"/>
          <w:sz w:val="27"/>
        </w:rPr>
        <w:t>Ensure compliance with relevant laws, regulations, and industry standards</w:t>
      </w:r>
    </w:p>
    <w:p>
      <w:pPr>
        <w:pStyle w:val="Heading1"/>
        <w:rPr/>
      </w:pPr>
      <w:bookmarkStart w:id="16" w:name="_Toc17"/>
      <w:r>
        <w:rPr>
          <w:rFonts w:eastAsia="Arial" w:cs="Arial"/>
          <w:b/>
          <w:color w:val="0E0F0F"/>
          <w:sz w:val="27"/>
        </w:rPr>
        <w:t>Cyber Risk Management Framework</w:t>
      </w:r>
      <w:bookmarkEnd w:id="16"/>
    </w:p>
    <w:p>
      <w:pPr>
        <w:pStyle w:val="Normal"/>
        <w:pBdr/>
        <w:shd w:val="clear" w:color="FFFFFF" w:fill="FFFFFF"/>
        <w:spacing w:before="84" w:after="84"/>
        <w:ind w:left="84" w:right="84" w:hanging="0"/>
        <w:rPr/>
      </w:pPr>
      <w:r>
        <w:rPr>
          <w:rFonts w:eastAsia="Arial" w:cs="Arial"/>
          <w:color w:val="0E0F0F"/>
          <w:sz w:val="27"/>
        </w:rPr>
        <w:t>CPN’s cyber risk management framework is based on the NIST Cybersecurity Framework (CSF) and incorporates the following five functions:</w:t>
      </w:r>
    </w:p>
    <w:p>
      <w:pPr>
        <w:pStyle w:val="ListParagraph"/>
        <w:numPr>
          <w:ilvl w:val="0"/>
          <w:numId w:val="11"/>
        </w:numPr>
        <w:pBdr/>
        <w:shd w:val="clear" w:color="FFFFFF" w:fill="FFFFFF"/>
        <w:spacing w:lineRule="atLeast" w:line="334"/>
        <w:rPr/>
      </w:pPr>
      <w:r>
        <w:rPr>
          <w:rFonts w:eastAsia="Arial" w:cs="Arial"/>
          <w:b/>
          <w:color w:val="0E0F0F"/>
          <w:sz w:val="27"/>
        </w:rPr>
        <w:t>Identify</w:t>
      </w:r>
      <w:r>
        <w:rPr>
          <w:rFonts w:eastAsia="Arial" w:cs="Arial"/>
          <w:color w:val="0E0F0F"/>
          <w:sz w:val="27"/>
        </w:rPr>
        <w:t>: Identify cyber risks to CPN’s systems, networks, and data</w:t>
      </w:r>
    </w:p>
    <w:p>
      <w:pPr>
        <w:pStyle w:val="ListParagraph"/>
        <w:numPr>
          <w:ilvl w:val="0"/>
          <w:numId w:val="11"/>
        </w:numPr>
        <w:pBdr/>
        <w:shd w:val="clear" w:color="FFFFFF" w:fill="FFFFFF"/>
        <w:spacing w:lineRule="atLeast" w:line="334"/>
        <w:rPr/>
      </w:pPr>
      <w:r>
        <w:rPr>
          <w:rFonts w:eastAsia="Arial" w:cs="Arial"/>
          <w:b/>
          <w:color w:val="0E0F0F"/>
          <w:sz w:val="27"/>
        </w:rPr>
        <w:t>Protect</w:t>
      </w:r>
      <w:r>
        <w:rPr>
          <w:rFonts w:eastAsia="Arial" w:cs="Arial"/>
          <w:color w:val="0E0F0F"/>
          <w:sz w:val="27"/>
        </w:rPr>
        <w:t>: Implement controls and countermeasures to mitigate or reduce identified cyber risks</w:t>
      </w:r>
    </w:p>
    <w:p>
      <w:pPr>
        <w:pStyle w:val="ListParagraph"/>
        <w:numPr>
          <w:ilvl w:val="0"/>
          <w:numId w:val="11"/>
        </w:numPr>
        <w:pBdr/>
        <w:shd w:val="clear" w:color="FFFFFF" w:fill="FFFFFF"/>
        <w:spacing w:lineRule="atLeast" w:line="334"/>
        <w:rPr/>
      </w:pPr>
      <w:r>
        <w:rPr>
          <w:rFonts w:eastAsia="Arial" w:cs="Arial"/>
          <w:b/>
          <w:color w:val="0E0F0F"/>
          <w:sz w:val="27"/>
        </w:rPr>
        <w:t>Detect</w:t>
      </w:r>
      <w:r>
        <w:rPr>
          <w:rFonts w:eastAsia="Arial" w:cs="Arial"/>
          <w:color w:val="0E0F0F"/>
          <w:sz w:val="27"/>
        </w:rPr>
        <w:t>: Monitor and detect cyber security incidents in real-time</w:t>
      </w:r>
    </w:p>
    <w:p>
      <w:pPr>
        <w:pStyle w:val="ListParagraph"/>
        <w:numPr>
          <w:ilvl w:val="0"/>
          <w:numId w:val="11"/>
        </w:numPr>
        <w:pBdr/>
        <w:shd w:val="clear" w:color="FFFFFF" w:fill="FFFFFF"/>
        <w:spacing w:lineRule="atLeast" w:line="334"/>
        <w:rPr/>
      </w:pPr>
      <w:r>
        <w:rPr>
          <w:rFonts w:eastAsia="Arial" w:cs="Arial"/>
          <w:b/>
          <w:color w:val="0E0F0F"/>
          <w:sz w:val="27"/>
        </w:rPr>
        <w:t>Respond</w:t>
      </w:r>
      <w:r>
        <w:rPr>
          <w:rFonts w:eastAsia="Arial" w:cs="Arial"/>
          <w:color w:val="0E0F0F"/>
          <w:sz w:val="27"/>
        </w:rPr>
        <w:t>: Respond quickly and effectively to detected cyber security incidents</w:t>
      </w:r>
    </w:p>
    <w:p>
      <w:pPr>
        <w:pStyle w:val="ListParagraph"/>
        <w:numPr>
          <w:ilvl w:val="0"/>
          <w:numId w:val="11"/>
        </w:numPr>
        <w:pBdr/>
        <w:shd w:val="clear" w:color="FFFFFF" w:fill="FFFFFF"/>
        <w:spacing w:lineRule="atLeast" w:line="334"/>
        <w:rPr/>
      </w:pPr>
      <w:r>
        <w:rPr>
          <w:rFonts w:eastAsia="Arial" w:cs="Arial"/>
          <w:b/>
          <w:color w:val="0E0F0F"/>
          <w:sz w:val="27"/>
        </w:rPr>
        <w:t>Recover</w:t>
      </w:r>
      <w:r>
        <w:rPr>
          <w:rFonts w:eastAsia="Arial" w:cs="Arial"/>
          <w:color w:val="0E0F0F"/>
          <w:sz w:val="27"/>
        </w:rPr>
        <w:t>: Restore CPN’s systems, networks, and data after a cyber security incident</w:t>
      </w:r>
    </w:p>
    <w:p>
      <w:pPr>
        <w:pStyle w:val="Heading1"/>
        <w:rPr/>
      </w:pPr>
      <w:bookmarkStart w:id="17" w:name="_Toc18"/>
      <w:r>
        <w:rPr>
          <w:rFonts w:eastAsia="Arial" w:cs="Arial"/>
          <w:b/>
          <w:color w:val="0E0F0F"/>
          <w:sz w:val="27"/>
        </w:rPr>
        <w:t>Cyber Risk Management Roles and Responsibilities</w:t>
      </w:r>
      <w:bookmarkEnd w:id="17"/>
    </w:p>
    <w:p>
      <w:pPr>
        <w:pStyle w:val="Normal"/>
        <w:pBdr/>
        <w:shd w:val="clear" w:color="FFFFFF" w:fill="FFFFFF"/>
        <w:spacing w:before="84" w:after="84"/>
        <w:ind w:left="84" w:right="84" w:hanging="0"/>
        <w:rPr/>
      </w:pPr>
      <w:r>
        <w:rPr>
          <w:rFonts w:eastAsia="Arial" w:cs="Arial"/>
          <w:color w:val="0E0F0F"/>
          <w:sz w:val="27"/>
        </w:rPr>
        <w:t>The following roles and responsibilities are assigned for cyber risk management:</w:t>
      </w:r>
    </w:p>
    <w:p>
      <w:pPr>
        <w:pStyle w:val="ListParagraph"/>
        <w:numPr>
          <w:ilvl w:val="0"/>
          <w:numId w:val="12"/>
        </w:numPr>
        <w:pBdr/>
        <w:shd w:val="clear" w:color="FFFFFF" w:fill="FFFFFF"/>
        <w:rPr/>
      </w:pPr>
      <w:r>
        <w:rPr>
          <w:rFonts w:eastAsia="Arial" w:cs="Arial"/>
          <w:b/>
          <w:color w:val="0E0F0F"/>
          <w:sz w:val="27"/>
        </w:rPr>
        <w:t>System Owner</w:t>
      </w:r>
      <w:r>
        <w:rPr>
          <w:rFonts w:eastAsia="Arial" w:cs="Arial"/>
          <w:color w:val="0E0F0F"/>
          <w:sz w:val="27"/>
        </w:rPr>
        <w:t>: The System Owner is responsible for overseeing the cyber risk management program and ensuring that cyber risks are properly identified, assessed, and mitigated.</w:t>
      </w:r>
    </w:p>
    <w:p>
      <w:pPr>
        <w:pStyle w:val="ListParagraph"/>
        <w:numPr>
          <w:ilvl w:val="0"/>
          <w:numId w:val="12"/>
        </w:numPr>
        <w:pBdr/>
        <w:shd w:val="clear" w:color="FFFFFF" w:fill="FFFFFF"/>
        <w:rPr/>
      </w:pPr>
      <w:r>
        <w:rPr>
          <w:rFonts w:eastAsia="Arial" w:cs="Arial"/>
          <w:b/>
          <w:color w:val="0E0F0F"/>
          <w:sz w:val="27"/>
        </w:rPr>
        <w:t>Information System Security Officer (ISSO)</w:t>
      </w:r>
      <w:r>
        <w:rPr>
          <w:rFonts w:eastAsia="Arial" w:cs="Arial"/>
          <w:color w:val="0E0F0F"/>
          <w:sz w:val="27"/>
        </w:rPr>
        <w:t>: The ISSO is responsible for implementing and managing the cyber risk management program.</w:t>
      </w:r>
    </w:p>
    <w:p>
      <w:pPr>
        <w:pStyle w:val="ListParagraph"/>
        <w:numPr>
          <w:ilvl w:val="0"/>
          <w:numId w:val="12"/>
        </w:numPr>
        <w:pBdr/>
        <w:shd w:val="clear" w:color="FFFFFF" w:fill="FFFFFF"/>
        <w:rPr/>
      </w:pPr>
      <w:r>
        <w:rPr>
          <w:rFonts w:eastAsia="Arial" w:cs="Arial"/>
          <w:b/>
          <w:color w:val="0E0F0F"/>
          <w:sz w:val="27"/>
        </w:rPr>
        <w:t>Security Team</w:t>
      </w:r>
      <w:r>
        <w:rPr>
          <w:rFonts w:eastAsia="Arial" w:cs="Arial"/>
          <w:color w:val="0E0F0F"/>
          <w:sz w:val="27"/>
        </w:rPr>
        <w:t>: The Security Team is responsible for conducting risk assessments, identifying vulnerabilities, and recommending controls and countermeasures.</w:t>
      </w:r>
    </w:p>
    <w:p>
      <w:pPr>
        <w:pStyle w:val="Heading1"/>
        <w:rPr/>
      </w:pPr>
      <w:bookmarkStart w:id="18" w:name="_Toc19"/>
      <w:r>
        <w:rPr>
          <w:rFonts w:eastAsia="Arial" w:cs="Arial"/>
          <w:b/>
          <w:color w:val="0E0F0F"/>
          <w:sz w:val="27"/>
        </w:rPr>
        <w:t>Cyber Risk Assessment</w:t>
      </w:r>
      <w:bookmarkEnd w:id="18"/>
    </w:p>
    <w:p>
      <w:pPr>
        <w:pStyle w:val="Normal"/>
        <w:pBdr/>
        <w:shd w:val="clear" w:color="FFFFFF" w:fill="FFFFFF"/>
        <w:spacing w:before="84" w:after="84"/>
        <w:ind w:left="84" w:right="84" w:hanging="0"/>
        <w:rPr/>
      </w:pPr>
      <w:r>
        <w:rPr>
          <w:rFonts w:eastAsia="Arial" w:cs="Arial"/>
          <w:color w:val="0E0F0F"/>
          <w:sz w:val="27"/>
        </w:rPr>
        <w:t>CPN will conduct regular cyber risk assessments to identify potential cyber risks to its systems, networks, and data. The risk assessment process will include:</w:t>
      </w:r>
    </w:p>
    <w:p>
      <w:pPr>
        <w:pStyle w:val="ListParagraph"/>
        <w:numPr>
          <w:ilvl w:val="0"/>
          <w:numId w:val="13"/>
        </w:numPr>
        <w:pBdr/>
        <w:shd w:val="clear" w:color="FFFFFF" w:fill="FFFFFF"/>
        <w:rPr/>
      </w:pPr>
      <w:r>
        <w:rPr>
          <w:rFonts w:eastAsia="Arial" w:cs="Arial"/>
          <w:b/>
          <w:color w:val="0E0F0F"/>
          <w:sz w:val="27"/>
        </w:rPr>
        <w:t>Threat Analysis</w:t>
      </w:r>
      <w:r>
        <w:rPr>
          <w:rFonts w:eastAsia="Arial" w:cs="Arial"/>
          <w:color w:val="0E0F0F"/>
          <w:sz w:val="27"/>
        </w:rPr>
        <w:t>: Identify potential threats to CPN’s systems, networks, and data</w:t>
      </w:r>
    </w:p>
    <w:p>
      <w:pPr>
        <w:pStyle w:val="ListParagraph"/>
        <w:numPr>
          <w:ilvl w:val="0"/>
          <w:numId w:val="13"/>
        </w:numPr>
        <w:pBdr/>
        <w:shd w:val="clear" w:color="FFFFFF" w:fill="FFFFFF"/>
        <w:rPr/>
      </w:pPr>
      <w:r>
        <w:rPr>
          <w:rFonts w:eastAsia="Arial" w:cs="Arial"/>
          <w:b/>
          <w:color w:val="0E0F0F"/>
          <w:sz w:val="27"/>
        </w:rPr>
        <w:t>Vulnerability Analysis</w:t>
      </w:r>
      <w:r>
        <w:rPr>
          <w:rFonts w:eastAsia="Arial" w:cs="Arial"/>
          <w:color w:val="0E0F0F"/>
          <w:sz w:val="27"/>
        </w:rPr>
        <w:t>: Identify vulnerabilities in CPN’s systems, networks, and data</w:t>
      </w:r>
    </w:p>
    <w:p>
      <w:pPr>
        <w:pStyle w:val="ListParagraph"/>
        <w:numPr>
          <w:ilvl w:val="0"/>
          <w:numId w:val="13"/>
        </w:numPr>
        <w:pBdr/>
        <w:shd w:val="clear" w:color="FFFFFF" w:fill="FFFFFF"/>
        <w:rPr/>
      </w:pPr>
      <w:r>
        <w:rPr>
          <w:rFonts w:eastAsia="Arial" w:cs="Arial"/>
          <w:b/>
          <w:color w:val="0E0F0F"/>
          <w:sz w:val="27"/>
        </w:rPr>
        <w:t>Impact Analysis</w:t>
      </w:r>
      <w:r>
        <w:rPr>
          <w:rFonts w:eastAsia="Arial" w:cs="Arial"/>
          <w:color w:val="0E0F0F"/>
          <w:sz w:val="27"/>
        </w:rPr>
        <w:t>: Assess the potential impact of identified cyber risks on CPN’s operations</w:t>
      </w:r>
    </w:p>
    <w:p>
      <w:pPr>
        <w:pStyle w:val="Heading1"/>
        <w:rPr/>
      </w:pPr>
      <w:bookmarkStart w:id="19" w:name="_Toc20"/>
      <w:r>
        <w:rPr>
          <w:rFonts w:eastAsia="Arial" w:cs="Arial"/>
          <w:b/>
          <w:color w:val="0E0F0F"/>
          <w:sz w:val="27"/>
        </w:rPr>
        <w:t>Cyber Risk Mitigation</w:t>
      </w:r>
      <w:bookmarkEnd w:id="19"/>
    </w:p>
    <w:p>
      <w:pPr>
        <w:pStyle w:val="Normal"/>
        <w:pBdr/>
        <w:shd w:val="clear" w:color="FFFFFF" w:fill="FFFFFF"/>
        <w:spacing w:before="84" w:after="84"/>
        <w:ind w:left="84" w:right="84" w:hanging="0"/>
        <w:rPr/>
      </w:pPr>
      <w:r>
        <w:rPr>
          <w:rFonts w:eastAsia="Arial" w:cs="Arial"/>
          <w:color w:val="0E0F0F"/>
          <w:sz w:val="27"/>
        </w:rPr>
        <w:t>CPN will implement controls and countermeasures to mitigate or reduce identified cyber risks. This includes:</w:t>
      </w:r>
    </w:p>
    <w:p>
      <w:pPr>
        <w:pStyle w:val="ListParagraph"/>
        <w:numPr>
          <w:ilvl w:val="0"/>
          <w:numId w:val="14"/>
        </w:numPr>
        <w:pBdr/>
        <w:shd w:val="clear" w:color="FFFFFF" w:fill="FFFFFF"/>
        <w:rPr/>
      </w:pPr>
      <w:r>
        <w:rPr>
          <w:rFonts w:eastAsia="Arial" w:cs="Arial"/>
          <w:b/>
          <w:color w:val="0E0F0F"/>
          <w:sz w:val="27"/>
        </w:rPr>
        <w:t>Control Selection</w:t>
      </w:r>
      <w:r>
        <w:rPr>
          <w:rFonts w:eastAsia="Arial" w:cs="Arial"/>
          <w:color w:val="0E0F0F"/>
          <w:sz w:val="27"/>
        </w:rPr>
        <w:t>: Select controls and countermeasures based on risk assessment results</w:t>
      </w:r>
    </w:p>
    <w:p>
      <w:pPr>
        <w:pStyle w:val="ListParagraph"/>
        <w:numPr>
          <w:ilvl w:val="0"/>
          <w:numId w:val="14"/>
        </w:numPr>
        <w:pBdr/>
        <w:shd w:val="clear" w:color="FFFFFF" w:fill="FFFFFF"/>
        <w:rPr/>
      </w:pPr>
      <w:r>
        <w:rPr>
          <w:rFonts w:eastAsia="Arial" w:cs="Arial"/>
          <w:b/>
          <w:color w:val="0E0F0F"/>
          <w:sz w:val="27"/>
        </w:rPr>
        <w:t>Control Implementation</w:t>
      </w:r>
      <w:r>
        <w:rPr>
          <w:rFonts w:eastAsia="Arial" w:cs="Arial"/>
          <w:color w:val="0E0F0F"/>
          <w:sz w:val="27"/>
        </w:rPr>
        <w:t>: Implement selected controls and countermeasures</w:t>
      </w:r>
    </w:p>
    <w:p>
      <w:pPr>
        <w:pStyle w:val="ListParagraph"/>
        <w:numPr>
          <w:ilvl w:val="0"/>
          <w:numId w:val="14"/>
        </w:numPr>
        <w:pBdr/>
        <w:shd w:val="clear" w:color="FFFFFF" w:fill="FFFFFF"/>
        <w:rPr/>
      </w:pPr>
      <w:r>
        <w:rPr>
          <w:rFonts w:eastAsia="Arial" w:cs="Arial"/>
          <w:b/>
          <w:color w:val="0E0F0F"/>
          <w:sz w:val="27"/>
        </w:rPr>
        <w:t>Control Effectiveness</w:t>
      </w:r>
      <w:r>
        <w:rPr>
          <w:rFonts w:eastAsia="Arial" w:cs="Arial"/>
          <w:color w:val="0E0F0F"/>
          <w:sz w:val="27"/>
        </w:rPr>
        <w:t>: Assess the effectiveness of implemented controls and countermeasures</w:t>
      </w:r>
    </w:p>
    <w:p>
      <w:pPr>
        <w:pStyle w:val="Heading1"/>
        <w:rPr/>
      </w:pPr>
      <w:bookmarkStart w:id="20" w:name="_Toc21"/>
      <w:r>
        <w:rPr>
          <w:rFonts w:eastAsia="Arial" w:cs="Arial"/>
          <w:b/>
          <w:color w:val="0E0F0F"/>
          <w:sz w:val="27"/>
        </w:rPr>
        <w:t>Cyber Incident Response</w:t>
      </w:r>
      <w:bookmarkEnd w:id="20"/>
    </w:p>
    <w:p>
      <w:pPr>
        <w:pStyle w:val="Normal"/>
        <w:pBdr/>
        <w:shd w:val="clear" w:color="FFFFFF" w:fill="FFFFFF"/>
        <w:spacing w:before="84" w:after="84"/>
        <w:ind w:left="84" w:right="84" w:hanging="0"/>
        <w:rPr/>
      </w:pPr>
      <w:r>
        <w:rPr>
          <w:rFonts w:eastAsia="Arial" w:cs="Arial"/>
          <w:color w:val="0E0F0F"/>
          <w:sz w:val="27"/>
        </w:rPr>
        <w:t>CPN will establish an incident response plan to respond quickly and effectively in the event of a cyber security incident. The incident response plan will include:</w:t>
      </w:r>
    </w:p>
    <w:p>
      <w:pPr>
        <w:pStyle w:val="ListParagraph"/>
        <w:numPr>
          <w:ilvl w:val="0"/>
          <w:numId w:val="15"/>
        </w:numPr>
        <w:pBdr/>
        <w:shd w:val="clear" w:color="FFFFFF" w:fill="FFFFFF"/>
        <w:rPr/>
      </w:pPr>
      <w:r>
        <w:rPr>
          <w:rFonts w:eastAsia="Arial" w:cs="Arial"/>
          <w:b/>
          <w:color w:val="0E0F0F"/>
          <w:sz w:val="27"/>
        </w:rPr>
        <w:t>Incident Detection</w:t>
      </w:r>
      <w:r>
        <w:rPr>
          <w:rFonts w:eastAsia="Arial" w:cs="Arial"/>
          <w:color w:val="0E0F0F"/>
          <w:sz w:val="27"/>
        </w:rPr>
        <w:t>: Monitor and detect cyber security incidents in real-time</w:t>
      </w:r>
    </w:p>
    <w:p>
      <w:pPr>
        <w:pStyle w:val="ListParagraph"/>
        <w:numPr>
          <w:ilvl w:val="0"/>
          <w:numId w:val="15"/>
        </w:numPr>
        <w:pBdr/>
        <w:shd w:val="clear" w:color="FFFFFF" w:fill="FFFFFF"/>
        <w:rPr/>
      </w:pPr>
      <w:r>
        <w:rPr>
          <w:rFonts w:eastAsia="Arial" w:cs="Arial"/>
          <w:b/>
          <w:color w:val="0E0F0F"/>
          <w:sz w:val="27"/>
        </w:rPr>
        <w:t>Incident Reporting</w:t>
      </w:r>
      <w:r>
        <w:rPr>
          <w:rFonts w:eastAsia="Arial" w:cs="Arial"/>
          <w:color w:val="0E0F0F"/>
          <w:sz w:val="27"/>
        </w:rPr>
        <w:t>: Report detected cyber security incidents to the ISSO via email (Don@contractcoach.com) or phone (505.259.8485)</w:t>
      </w:r>
    </w:p>
    <w:p>
      <w:pPr>
        <w:pStyle w:val="ListParagraph"/>
        <w:numPr>
          <w:ilvl w:val="0"/>
          <w:numId w:val="15"/>
        </w:numPr>
        <w:pBdr/>
        <w:shd w:val="clear" w:color="FFFFFF" w:fill="FFFFFF"/>
        <w:rPr/>
      </w:pPr>
      <w:r>
        <w:rPr>
          <w:rFonts w:eastAsia="Arial" w:cs="Arial"/>
          <w:b/>
          <w:color w:val="0E0F0F"/>
          <w:sz w:val="27"/>
        </w:rPr>
        <w:t>Incident Response</w:t>
      </w:r>
      <w:r>
        <w:rPr>
          <w:rFonts w:eastAsia="Arial" w:cs="Arial"/>
          <w:color w:val="0E0F0F"/>
          <w:sz w:val="27"/>
        </w:rPr>
        <w:t>: Respond quickly and effectively to detected cyber security incidents</w:t>
      </w:r>
    </w:p>
    <w:p>
      <w:pPr>
        <w:pStyle w:val="Heading1"/>
        <w:rPr/>
      </w:pPr>
      <w:bookmarkStart w:id="21" w:name="_Toc22"/>
      <w:r>
        <w:rPr>
          <w:rFonts w:eastAsia="Arial" w:cs="Arial"/>
          <w:b/>
          <w:color w:val="0E0F0F"/>
          <w:sz w:val="27"/>
        </w:rPr>
        <w:t>Cyber Risk Management Plan of Action and Milestones</w:t>
      </w:r>
      <w:bookmarkEnd w:id="21"/>
    </w:p>
    <w:p>
      <w:pPr>
        <w:pStyle w:val="Normal"/>
        <w:pBdr/>
        <w:shd w:val="clear" w:color="FFFFFF" w:fill="FFFFFF"/>
        <w:spacing w:before="84" w:after="84"/>
        <w:ind w:left="84" w:right="84" w:hanging="0"/>
        <w:rPr/>
      </w:pPr>
      <w:r>
        <w:rPr>
          <w:rFonts w:eastAsia="Arial" w:cs="Arial"/>
          <w:color w:val="0E0F0F"/>
          <w:sz w:val="27"/>
        </w:rPr>
        <w:t>The following plan of action and milestones outlines the remaining implementation tasks to achieve full cyber risk management capabilities:</w:t>
      </w:r>
    </w:p>
    <w:tbl>
      <w:tblPr>
        <w:tblStyle w:val="809"/>
        <w:tblW w:w="9360" w:type="dxa"/>
        <w:jc w:val="left"/>
        <w:tblInd w:w="0" w:type="dxa"/>
        <w:tblLayout w:type="fixed"/>
        <w:tblCellMar>
          <w:top w:w="210" w:type="dxa"/>
          <w:left w:w="225" w:type="dxa"/>
          <w:bottom w:w="210" w:type="dxa"/>
          <w:right w:w="225" w:type="dxa"/>
        </w:tblCellMar>
        <w:tblLook w:val="04a0" w:noHBand="0" w:noVBand="1" w:firstColumn="1" w:lastRow="0" w:lastColumn="0" w:firstRow="1"/>
      </w:tblPr>
      <w:tblGrid>
        <w:gridCol w:w="6798"/>
        <w:gridCol w:w="2561"/>
      </w:tblGrid>
      <w:tr>
        <w:trPr/>
        <w:tc>
          <w:tcPr>
            <w:tcW w:w="6798"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TASK</w:t>
            </w:r>
          </w:p>
        </w:tc>
        <w:tc>
          <w:tcPr>
            <w:tcW w:w="2561" w:type="dxa"/>
            <w:tcBorders>
              <w:top w:val="nil"/>
              <w:left w:val="nil"/>
              <w:bottom w:val="single" w:sz="6" w:space="0" w:color="CDCDCD"/>
              <w:right w:val="nil"/>
            </w:tcBorders>
            <w:vAlign w:val="center"/>
          </w:tcPr>
          <w:p>
            <w:pPr>
              <w:pStyle w:val="Normal"/>
              <w:widowControl/>
              <w:spacing w:lineRule="auto" w:line="240" w:before="0" w:after="0"/>
              <w:jc w:val="left"/>
              <w:rPr>
                <w:kern w:val="0"/>
                <w:szCs w:val="22"/>
                <w:lang w:val="en-US" w:eastAsia="en-US" w:bidi="ar-SA"/>
              </w:rPr>
            </w:pPr>
            <w:r>
              <w:rPr>
                <w:rFonts w:eastAsia="Arial" w:cs="Arial"/>
                <w:b/>
                <w:color w:val="000000"/>
                <w:kern w:val="0"/>
                <w:sz w:val="20"/>
                <w:szCs w:val="22"/>
                <w:lang w:val="en-US" w:eastAsia="en-US" w:bidi="ar-SA"/>
              </w:rPr>
              <w:t>MILESTONE DATE</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Conduct a comprehensive cyber risk assessment</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December 15, 2025</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Implement vulnerability scanning and threat intelligence feeds</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November 30, 2025</w:t>
            </w:r>
          </w:p>
        </w:tc>
      </w:tr>
      <w:tr>
        <w:trPr/>
        <w:tc>
          <w:tcPr>
            <w:tcW w:w="6798"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Establish an incident response plan</w:t>
            </w:r>
          </w:p>
        </w:tc>
        <w:tc>
          <w:tcPr>
            <w:tcW w:w="2561" w:type="dxa"/>
            <w:tcBorders>
              <w:top w:val="nil"/>
              <w:left w:val="nil"/>
              <w:bottom w:val="single" w:sz="6" w:space="0" w:color="CDCDCD"/>
              <w:right w:val="nil"/>
            </w:tcBorders>
            <w:tcMar>
              <w:top w:w="120" w:type="dxa"/>
              <w:bottom w:w="120" w:type="dxa"/>
            </w:tcMar>
            <w:vAlign w:val="center"/>
          </w:tcPr>
          <w:p>
            <w:pPr>
              <w:pStyle w:val="Normal"/>
              <w:widowControl/>
              <w:spacing w:lineRule="auto" w:line="240" w:before="0" w:after="0"/>
              <w:jc w:val="left"/>
              <w:rPr>
                <w:kern w:val="0"/>
                <w:szCs w:val="22"/>
                <w:lang w:val="en-US" w:eastAsia="en-US" w:bidi="ar-SA"/>
              </w:rPr>
            </w:pPr>
            <w:r>
              <w:rPr>
                <w:rFonts w:eastAsia="Arial" w:cs="Arial"/>
                <w:color w:val="000000"/>
                <w:kern w:val="0"/>
                <w:sz w:val="20"/>
                <w:szCs w:val="22"/>
                <w:lang w:val="en-US" w:eastAsia="en-US" w:bidi="ar-SA"/>
              </w:rPr>
              <w:t>January 31, 2026</w:t>
            </w:r>
          </w:p>
        </w:tc>
      </w:tr>
    </w:tbl>
    <w:p>
      <w:pPr>
        <w:pStyle w:val="Heading1"/>
        <w:rPr/>
      </w:pPr>
      <w:bookmarkStart w:id="22" w:name="_Toc23"/>
      <w:r>
        <w:rPr>
          <w:rFonts w:eastAsia="Arial" w:cs="Arial"/>
          <w:b/>
          <w:color w:val="0E0F0F"/>
          <w:sz w:val="27"/>
        </w:rPr>
        <w:t>Compliance</w:t>
      </w:r>
      <w:bookmarkEnd w:id="22"/>
    </w:p>
    <w:p>
      <w:pPr>
        <w:pStyle w:val="Normal"/>
        <w:pBdr/>
        <w:shd w:val="clear" w:color="FFFFFF" w:fill="FFFFFF"/>
        <w:spacing w:before="84" w:after="84"/>
        <w:ind w:left="84" w:right="84" w:hanging="0"/>
        <w:rPr/>
      </w:pPr>
      <w:r>
        <w:rPr>
          <w:rFonts w:eastAsia="Arial" w:cs="Arial"/>
          <w:color w:val="0E0F0F"/>
          <w:sz w:val="27"/>
        </w:rPr>
        <w:t>CPN’s cyber risk management program will ensure compliance with relevant laws, regulations, and industry standards, including:</w:t>
      </w:r>
    </w:p>
    <w:p>
      <w:pPr>
        <w:pStyle w:val="ListParagraph"/>
        <w:numPr>
          <w:ilvl w:val="0"/>
          <w:numId w:val="16"/>
        </w:numPr>
        <w:pBdr/>
        <w:shd w:val="clear" w:color="FFFFFF" w:fill="FFFFFF"/>
        <w:rPr/>
      </w:pPr>
      <w:r>
        <w:rPr>
          <w:rFonts w:eastAsia="Arial" w:cs="Arial"/>
          <w:color w:val="0E0F0F"/>
          <w:sz w:val="27"/>
        </w:rPr>
        <w:t>NIST SP 800-171 Rev 2</w:t>
      </w:r>
    </w:p>
    <w:p>
      <w:pPr>
        <w:pStyle w:val="ListParagraph"/>
        <w:numPr>
          <w:ilvl w:val="0"/>
          <w:numId w:val="16"/>
        </w:numPr>
        <w:pBdr/>
        <w:shd w:val="clear" w:color="FFFFFF" w:fill="FFFFFF"/>
        <w:rPr/>
      </w:pPr>
      <w:r>
        <w:rPr>
          <w:rFonts w:eastAsia="Arial" w:cs="Arial"/>
          <w:color w:val="0E0F0F"/>
          <w:sz w:val="27"/>
        </w:rPr>
        <w:t>DFARS 252.204-7012</w:t>
      </w:r>
    </w:p>
    <w:p>
      <w:pPr>
        <w:pStyle w:val="ListParagraph"/>
        <w:numPr>
          <w:ilvl w:val="0"/>
          <w:numId w:val="16"/>
        </w:numPr>
        <w:pBdr/>
        <w:shd w:val="clear" w:color="FFFFFF" w:fill="FFFFFF"/>
        <w:rPr/>
      </w:pPr>
      <w:r>
        <w:rPr>
          <w:rFonts w:eastAsia="Arial" w:cs="Arial"/>
          <w:color w:val="0E0F0F"/>
          <w:sz w:val="27"/>
        </w:rPr>
        <w:t>CMMC Level 1 and Level 2 certification readiness</w:t>
      </w:r>
    </w:p>
    <w:p>
      <w:pPr>
        <w:pStyle w:val="Heading1"/>
        <w:rPr/>
      </w:pPr>
      <w:bookmarkStart w:id="23" w:name="_Toc24"/>
      <w:r>
        <w:rPr>
          <w:rFonts w:eastAsia="Arial" w:cs="Arial"/>
          <w:b/>
          <w:color w:val="0E0F0F"/>
          <w:sz w:val="27"/>
        </w:rPr>
        <w:t>Review and Revision</w:t>
      </w:r>
      <w:bookmarkEnd w:id="23"/>
    </w:p>
    <w:p>
      <w:pPr>
        <w:pStyle w:val="Normal"/>
        <w:pBdr/>
        <w:shd w:val="clear" w:color="FFFFFF" w:fill="FFFFFF"/>
        <w:spacing w:before="84" w:after="84"/>
        <w:ind w:left="84" w:right="84" w:hanging="0"/>
        <w:rPr/>
      </w:pPr>
      <w:r>
        <w:rPr>
          <w:rFonts w:eastAsia="Arial" w:cs="Arial"/>
          <w:color w:val="0E0F0F"/>
          <w:sz w:val="27"/>
        </w:rPr>
        <w:t>This policy will be reviewed and revised annually, or as needed, to ensure it remains effective and relevant.</w:t>
      </w:r>
    </w:p>
    <w:p>
      <w:pPr>
        <w:pStyle w:val="Heading1"/>
        <w:rPr/>
      </w:pPr>
      <w:bookmarkStart w:id="24" w:name="_Toc25"/>
      <w:r>
        <w:rPr>
          <w:rFonts w:eastAsia="Arial" w:cs="Arial"/>
          <w:b/>
          <w:color w:val="0E0F0F"/>
          <w:sz w:val="27"/>
        </w:rPr>
        <w:t>Approval</w:t>
      </w:r>
      <w:bookmarkEnd w:id="24"/>
    </w:p>
    <w:p>
      <w:pPr>
        <w:pStyle w:val="Normal"/>
        <w:pBdr/>
        <w:shd w:val="clear" w:color="FFFFFF" w:fill="FFFFFF"/>
        <w:spacing w:before="84" w:after="84"/>
        <w:ind w:left="84" w:right="84" w:hanging="0"/>
        <w:rPr/>
      </w:pPr>
      <w:r>
        <w:rPr>
          <w:rFonts w:eastAsia="Arial" w:cs="Arial"/>
          <w:color w:val="0E0F0F"/>
          <w:sz w:val="27"/>
        </w:rPr>
        <w:t>This policy was approved by Donald E. Shannon, Owner/Principal of The Contract Coach, on October 26, 2025.</w:t>
      </w:r>
    </w:p>
    <w:p>
      <w:pPr>
        <w:pStyle w:val="Normal"/>
        <w:pBdr/>
        <w:shd w:val="clear" w:color="FFFFFF" w:fill="FFFFFF"/>
        <w:spacing w:before="84" w:after="84"/>
        <w:ind w:left="84" w:right="84" w:hanging="0"/>
        <w:rPr/>
      </w:pPr>
      <w:r>
        <w:rPr>
          <w:rFonts w:eastAsia="Arial" w:cs="Arial"/>
          <w:color w:val="0E0F0F"/>
          <w:sz w:val="27"/>
        </w:rPr>
        <w:t>By following this cyber risk policy, CPN can effectively manage cyber risks and protect its systems, networks, and data from unauthorized access, use, disclosure, modification, or destruction.</w:t>
      </w:r>
    </w:p>
    <w:p>
      <w:pPr>
        <w:pStyle w:val="Normal"/>
        <w:rPr>
          <w:rFonts w:ascii="Arial" w:hAnsi="Arial" w:eastAsia="Arial" w:cs="Arial"/>
          <w:sz w:val="27"/>
          <w:szCs w:val="27"/>
        </w:rPr>
      </w:pPr>
      <w:r>
        <w:rPr>
          <w:rFonts w:eastAsia="Arial" w:cs="Arial"/>
          <w:sz w:val="27"/>
          <w:szCs w:val="27"/>
        </w:rPr>
      </w:r>
      <w:r>
        <w:br w:type="page"/>
      </w:r>
    </w:p>
    <w:p>
      <w:pPr>
        <w:pStyle w:val="Chapter"/>
        <w:rPr>
          <w:rFonts w:ascii="Arial" w:hAnsi="Arial" w:eastAsia="Arial" w:cs="Arial"/>
          <w:b/>
          <w:b/>
          <w:bCs/>
          <w:color w:val="0E0F0F"/>
          <w:sz w:val="36"/>
          <w:szCs w:val="36"/>
        </w:rPr>
      </w:pPr>
      <w:r>
        <w:rPr>
          <w:rFonts w:eastAsia="Arial" w:cs="Arial"/>
          <w:b/>
          <w:color w:val="0E0F0F"/>
          <w:sz w:val="36"/>
          <w:szCs w:val="36"/>
        </w:rPr>
        <w:t>Appendix 3 - Cyber Incident Response Plan</w:t>
      </w:r>
    </w:p>
    <w:p>
      <w:pPr>
        <w:pStyle w:val="Heading1"/>
        <w:rPr/>
      </w:pPr>
      <w:bookmarkStart w:id="25" w:name="_Toc26"/>
      <w:r>
        <w:rPr>
          <w:rFonts w:eastAsia="Arial" w:cs="Arial"/>
          <w:b/>
          <w:color w:val="0E0F0F"/>
          <w:sz w:val="27"/>
        </w:rPr>
        <w:t>Introduction</w:t>
      </w:r>
      <w:bookmarkEnd w:id="25"/>
    </w:p>
    <w:p>
      <w:pPr>
        <w:pStyle w:val="Normal"/>
        <w:pBdr/>
        <w:shd w:val="clear" w:color="FFFFFF" w:fill="FFFFFF"/>
        <w:spacing w:before="84" w:after="84"/>
        <w:ind w:left="84" w:right="84" w:hanging="0"/>
        <w:rPr/>
      </w:pPr>
      <w:r>
        <w:rPr>
          <w:rFonts w:eastAsia="Arial" w:cs="Arial"/>
          <w:color w:val="0E0F0F"/>
          <w:sz w:val="27"/>
        </w:rPr>
        <w:t>The CyberHygiene Production Network’s (CPN) Cyber Incident Response Plan outlines the procedures for responding to cyber security incidents affecting CPN’s systems, networks, and data. This plan is designed to ensure a quick and effective response to detected cyber security incidents, minimize operational disruption, and maintain compliance with relevant laws, regulations, and industry standards.</w:t>
      </w:r>
    </w:p>
    <w:p>
      <w:pPr>
        <w:pStyle w:val="Heading1"/>
        <w:rPr/>
      </w:pPr>
      <w:bookmarkStart w:id="26" w:name="_Toc27"/>
      <w:r>
        <w:rPr>
          <w:rFonts w:eastAsia="Arial" w:cs="Arial"/>
          <w:b/>
          <w:color w:val="0E0F0F"/>
          <w:sz w:val="27"/>
        </w:rPr>
        <w:t>Scope</w:t>
      </w:r>
      <w:bookmarkEnd w:id="26"/>
    </w:p>
    <w:p>
      <w:pPr>
        <w:pStyle w:val="Normal"/>
        <w:pBdr/>
        <w:shd w:val="clear" w:color="FFFFFF" w:fill="FFFFFF"/>
        <w:spacing w:before="84" w:after="84"/>
        <w:ind w:left="84" w:right="84" w:hanging="0"/>
        <w:rPr/>
      </w:pPr>
      <w:r>
        <w:rPr>
          <w:rFonts w:eastAsia="Arial" w:cs="Arial"/>
          <w:color w:val="0E0F0F"/>
          <w:sz w:val="27"/>
        </w:rPr>
        <w:t>This plan applies to all CPN assets, including:</w:t>
      </w:r>
    </w:p>
    <w:p>
      <w:pPr>
        <w:pStyle w:val="ListParagraph"/>
        <w:numPr>
          <w:ilvl w:val="0"/>
          <w:numId w:val="17"/>
        </w:numPr>
        <w:pBdr/>
        <w:shd w:val="clear" w:color="FFFFFF" w:fill="FFFFFF"/>
        <w:rPr/>
      </w:pPr>
      <w:r>
        <w:rPr>
          <w:rFonts w:eastAsia="Arial" w:cs="Arial"/>
          <w:color w:val="0E0F0F"/>
          <w:sz w:val="27"/>
        </w:rPr>
        <w:t>Domain controller: dc1.cyberinabox.net (192.168.1.10)</w:t>
      </w:r>
    </w:p>
    <w:p>
      <w:pPr>
        <w:pStyle w:val="ListParagraph"/>
        <w:numPr>
          <w:ilvl w:val="0"/>
          <w:numId w:val="17"/>
        </w:numPr>
        <w:pBdr/>
        <w:shd w:val="clear" w:color="FFFFFF" w:fill="FFFFFF"/>
        <w:rPr/>
      </w:pPr>
      <w:r>
        <w:rPr>
          <w:rFonts w:eastAsia="Arial" w:cs="Arial"/>
          <w:color w:val="0E0F0F"/>
          <w:sz w:val="27"/>
        </w:rPr>
        <w:t>Workstations: LabRat (192.168.1.115), Engineering (192.168.1.104), Accounting (192.168.1.113)</w:t>
      </w:r>
    </w:p>
    <w:p>
      <w:pPr>
        <w:pStyle w:val="ListParagraph"/>
        <w:numPr>
          <w:ilvl w:val="0"/>
          <w:numId w:val="17"/>
        </w:numPr>
        <w:pBdr/>
        <w:shd w:val="clear" w:color="FFFFFF" w:fill="FFFFFF"/>
        <w:rPr/>
      </w:pPr>
      <w:r>
        <w:rPr>
          <w:rFonts w:eastAsia="Arial" w:cs="Arial"/>
          <w:color w:val="0E0F0F"/>
          <w:sz w:val="27"/>
        </w:rPr>
        <w:t>Network: pfSense firewall (192.168.1.1)</w:t>
      </w:r>
    </w:p>
    <w:p>
      <w:pPr>
        <w:pStyle w:val="ListParagraph"/>
        <w:numPr>
          <w:ilvl w:val="0"/>
          <w:numId w:val="17"/>
        </w:numPr>
        <w:pBdr/>
        <w:shd w:val="clear" w:color="FFFFFF" w:fill="FFFFFF"/>
        <w:rPr/>
      </w:pPr>
      <w:r>
        <w:rPr>
          <w:rFonts w:eastAsia="Arial" w:cs="Arial"/>
          <w:color w:val="0E0F0F"/>
          <w:sz w:val="27"/>
        </w:rPr>
        <w:t>Personnel: Employees, contractors, and subcontractors accessing CPN.</w:t>
      </w:r>
    </w:p>
    <w:p>
      <w:pPr>
        <w:pStyle w:val="Normal"/>
        <w:pBdr/>
        <w:shd w:val="clear" w:color="FFFFFF" w:fill="FFFFFF"/>
        <w:spacing w:before="84" w:after="84"/>
        <w:ind w:left="84" w:right="84" w:hanging="0"/>
        <w:rPr/>
      </w:pPr>
      <w:r>
        <w:rPr>
          <w:rFonts w:eastAsia="Arial" w:cs="Arial"/>
          <w:b/>
          <w:color w:val="0E0F0F"/>
          <w:sz w:val="27"/>
        </w:rPr>
        <w:t>Cyber Incident Response Objectives</w:t>
      </w:r>
    </w:p>
    <w:p>
      <w:pPr>
        <w:pStyle w:val="Normal"/>
        <w:pBdr/>
        <w:shd w:val="clear" w:color="FFFFFF" w:fill="FFFFFF"/>
        <w:spacing w:before="84" w:after="84"/>
        <w:ind w:left="84" w:right="84" w:hanging="0"/>
        <w:rPr/>
      </w:pPr>
      <w:r>
        <w:rPr>
          <w:rFonts w:eastAsia="Arial" w:cs="Arial"/>
          <w:color w:val="0E0F0F"/>
          <w:sz w:val="27"/>
        </w:rPr>
        <w:t>The objectives of CPN’s cyber incident response plan are to:</w:t>
      </w:r>
    </w:p>
    <w:p>
      <w:pPr>
        <w:pStyle w:val="ListParagraph"/>
        <w:numPr>
          <w:ilvl w:val="0"/>
          <w:numId w:val="18"/>
        </w:numPr>
        <w:pBdr/>
        <w:shd w:val="clear" w:color="FFFFFF" w:fill="FFFFFF"/>
        <w:rPr/>
      </w:pPr>
      <w:r>
        <w:rPr>
          <w:rFonts w:eastAsia="Arial" w:cs="Arial"/>
          <w:color w:val="0E0F0F"/>
          <w:sz w:val="27"/>
        </w:rPr>
        <w:t>Respond quickly and effectively to detected cyber security incidents</w:t>
      </w:r>
    </w:p>
    <w:p>
      <w:pPr>
        <w:pStyle w:val="ListParagraph"/>
        <w:numPr>
          <w:ilvl w:val="0"/>
          <w:numId w:val="18"/>
        </w:numPr>
        <w:pBdr/>
        <w:shd w:val="clear" w:color="FFFFFF" w:fill="FFFFFF"/>
        <w:rPr/>
      </w:pPr>
      <w:r>
        <w:rPr>
          <w:rFonts w:eastAsia="Arial" w:cs="Arial"/>
          <w:color w:val="0E0F0F"/>
          <w:sz w:val="27"/>
        </w:rPr>
        <w:t>Contain and mitigate the impact of cyber security incidents</w:t>
      </w:r>
    </w:p>
    <w:p>
      <w:pPr>
        <w:pStyle w:val="ListParagraph"/>
        <w:numPr>
          <w:ilvl w:val="0"/>
          <w:numId w:val="18"/>
        </w:numPr>
        <w:pBdr/>
        <w:shd w:val="clear" w:color="FFFFFF" w:fill="FFFFFF"/>
        <w:rPr/>
      </w:pPr>
      <w:r>
        <w:rPr>
          <w:rFonts w:eastAsia="Arial" w:cs="Arial"/>
          <w:color w:val="0E0F0F"/>
          <w:sz w:val="27"/>
        </w:rPr>
        <w:t>Eradicate the root cause of cyber security incidents</w:t>
      </w:r>
    </w:p>
    <w:p>
      <w:pPr>
        <w:pStyle w:val="ListParagraph"/>
        <w:numPr>
          <w:ilvl w:val="0"/>
          <w:numId w:val="18"/>
        </w:numPr>
        <w:pBdr/>
        <w:shd w:val="clear" w:color="FFFFFF" w:fill="FFFFFF"/>
        <w:rPr/>
      </w:pPr>
      <w:r>
        <w:rPr>
          <w:rFonts w:eastAsia="Arial" w:cs="Arial"/>
          <w:color w:val="0E0F0F"/>
          <w:sz w:val="27"/>
        </w:rPr>
        <w:t>Restore affected systems, networks, and data</w:t>
      </w:r>
    </w:p>
    <w:p>
      <w:pPr>
        <w:pStyle w:val="ListParagraph"/>
        <w:numPr>
          <w:ilvl w:val="0"/>
          <w:numId w:val="18"/>
        </w:numPr>
        <w:pBdr/>
        <w:shd w:val="clear" w:color="FFFFFF" w:fill="FFFFFF"/>
        <w:rPr/>
      </w:pPr>
      <w:r>
        <w:rPr>
          <w:rFonts w:eastAsia="Arial" w:cs="Arial"/>
          <w:color w:val="0E0F0F"/>
          <w:sz w:val="27"/>
        </w:rPr>
        <w:t>Maintain compliance with relevant laws, regulations, and industry standards</w:t>
      </w:r>
    </w:p>
    <w:p>
      <w:pPr>
        <w:pStyle w:val="Normal"/>
        <w:pBdr/>
        <w:shd w:val="clear" w:color="FFFFFF" w:fill="FFFFFF"/>
        <w:spacing w:before="84" w:after="84"/>
        <w:ind w:left="84" w:right="84" w:hanging="0"/>
        <w:rPr/>
      </w:pPr>
      <w:r>
        <w:rPr>
          <w:rFonts w:eastAsia="Arial" w:cs="Arial"/>
          <w:b/>
          <w:color w:val="0E0F0F"/>
          <w:sz w:val="27"/>
        </w:rPr>
        <w:t>Cyber Incident Response Team</w:t>
      </w:r>
    </w:p>
    <w:p>
      <w:pPr>
        <w:pStyle w:val="Normal"/>
        <w:pBdr/>
        <w:shd w:val="clear" w:color="FFFFFF" w:fill="FFFFFF"/>
        <w:spacing w:before="84" w:after="84"/>
        <w:ind w:left="84" w:right="84" w:hanging="0"/>
        <w:rPr/>
      </w:pPr>
      <w:r>
        <w:rPr>
          <w:rFonts w:eastAsia="Arial" w:cs="Arial"/>
          <w:color w:val="0E0F0F"/>
          <w:sz w:val="27"/>
        </w:rPr>
        <w:t>The Cyber Incident Response Team (CIRT) is responsible for responding to cyber security incidents. The CIRT consists of:</w:t>
      </w:r>
    </w:p>
    <w:p>
      <w:pPr>
        <w:pStyle w:val="ListParagraph"/>
        <w:numPr>
          <w:ilvl w:val="0"/>
          <w:numId w:val="19"/>
        </w:numPr>
        <w:pBdr/>
        <w:shd w:val="clear" w:color="FFFFFF" w:fill="FFFFFF"/>
        <w:rPr/>
      </w:pPr>
      <w:r>
        <w:rPr>
          <w:rFonts w:eastAsia="Arial" w:cs="Arial"/>
          <w:b/>
          <w:color w:val="0E0F0F"/>
          <w:sz w:val="27"/>
        </w:rPr>
        <w:t>Information System Security Officer (ISSO)</w:t>
      </w:r>
      <w:r>
        <w:rPr>
          <w:rFonts w:eastAsia="Arial" w:cs="Arial"/>
          <w:color w:val="0E0F0F"/>
          <w:sz w:val="27"/>
        </w:rPr>
        <w:t>: Leads the incident response effort and ensures that incident response activities are properly coordinated.</w:t>
      </w:r>
    </w:p>
    <w:p>
      <w:pPr>
        <w:pStyle w:val="ListParagraph"/>
        <w:numPr>
          <w:ilvl w:val="0"/>
          <w:numId w:val="19"/>
        </w:numPr>
        <w:pBdr/>
        <w:shd w:val="clear" w:color="FFFFFF" w:fill="FFFFFF"/>
        <w:rPr/>
      </w:pPr>
      <w:r>
        <w:rPr>
          <w:rFonts w:eastAsia="Arial" w:cs="Arial"/>
          <w:b/>
          <w:color w:val="0E0F0F"/>
          <w:sz w:val="27"/>
        </w:rPr>
        <w:t>Security Team</w:t>
      </w:r>
      <w:r>
        <w:rPr>
          <w:rFonts w:eastAsia="Arial" w:cs="Arial"/>
          <w:color w:val="0E0F0F"/>
          <w:sz w:val="27"/>
        </w:rPr>
        <w:t>: Provides technical expertise and support for incident response activities.</w:t>
      </w:r>
    </w:p>
    <w:p>
      <w:pPr>
        <w:pStyle w:val="ListParagraph"/>
        <w:numPr>
          <w:ilvl w:val="0"/>
          <w:numId w:val="19"/>
        </w:numPr>
        <w:pBdr/>
        <w:shd w:val="clear" w:color="FFFFFF" w:fill="FFFFFF"/>
        <w:rPr/>
      </w:pPr>
      <w:r>
        <w:rPr>
          <w:rFonts w:eastAsia="Arial" w:cs="Arial"/>
          <w:b/>
          <w:color w:val="0E0F0F"/>
          <w:sz w:val="27"/>
        </w:rPr>
        <w:t>System Administrators</w:t>
      </w:r>
      <w:r>
        <w:rPr>
          <w:rFonts w:eastAsia="Arial" w:cs="Arial"/>
          <w:color w:val="0E0F0F"/>
          <w:sz w:val="27"/>
        </w:rPr>
        <w:t>: Assist with containment, eradication, and recovery efforts.</w:t>
      </w:r>
    </w:p>
    <w:p>
      <w:pPr>
        <w:pStyle w:val="Heading1"/>
        <w:rPr/>
      </w:pPr>
      <w:bookmarkStart w:id="27" w:name="_Toc28"/>
      <w:r>
        <w:rPr>
          <w:rFonts w:eastAsia="Arial" w:cs="Arial"/>
          <w:b/>
          <w:color w:val="0E0F0F"/>
          <w:sz w:val="27"/>
        </w:rPr>
        <w:t>Cyber Incident Response Procedures</w:t>
      </w:r>
      <w:bookmarkEnd w:id="27"/>
    </w:p>
    <w:p>
      <w:pPr>
        <w:pStyle w:val="Normal"/>
        <w:pBdr/>
        <w:shd w:val="clear" w:color="FFFFFF" w:fill="FFFFFF"/>
        <w:spacing w:before="84" w:after="84"/>
        <w:ind w:left="84" w:right="84" w:hanging="0"/>
        <w:rPr/>
      </w:pPr>
      <w:r>
        <w:rPr>
          <w:rFonts w:eastAsia="Arial" w:cs="Arial"/>
          <w:color w:val="0E0F0F"/>
          <w:sz w:val="27"/>
        </w:rPr>
        <w:t>The following procedures outline the steps to be taken in response to a cyber security incident:</w:t>
      </w:r>
    </w:p>
    <w:p>
      <w:pPr>
        <w:pStyle w:val="Heading3"/>
        <w:pBdr/>
        <w:shd w:val="clear" w:color="FFFFFF" w:fill="FFFFFF"/>
        <w:spacing w:lineRule="auto" w:line="336"/>
        <w:rPr/>
      </w:pPr>
      <w:bookmarkStart w:id="28" w:name="_Toc29"/>
      <w:r>
        <w:rPr>
          <w:b/>
          <w:color w:val="0E0F0F"/>
        </w:rPr>
        <w:t>1.</w:t>
      </w:r>
      <w:r>
        <w:rPr>
          <w:b/>
          <w:color w:val="0E0F0F"/>
          <w:sz w:val="27"/>
        </w:rPr>
        <w:t> Incident Detection</w:t>
      </w:r>
      <w:bookmarkEnd w:id="28"/>
    </w:p>
    <w:p>
      <w:pPr>
        <w:pStyle w:val="ListParagraph"/>
        <w:numPr>
          <w:ilvl w:val="0"/>
          <w:numId w:val="20"/>
        </w:numPr>
        <w:pBdr/>
        <w:shd w:val="clear" w:color="FFFFFF" w:fill="FFFFFF"/>
        <w:rPr/>
      </w:pPr>
      <w:r>
        <w:rPr>
          <w:rFonts w:eastAsia="Arial" w:cs="Arial"/>
          <w:color w:val="0E0F0F"/>
          <w:sz w:val="27"/>
        </w:rPr>
        <w:t>Monitor systems, networks, and data for signs of unauthorized access, use, disclosure, modification, or destruction.</w:t>
      </w:r>
    </w:p>
    <w:p>
      <w:pPr>
        <w:pStyle w:val="ListParagraph"/>
        <w:numPr>
          <w:ilvl w:val="0"/>
          <w:numId w:val="20"/>
        </w:numPr>
        <w:pBdr/>
        <w:shd w:val="clear" w:color="FFFFFF" w:fill="FFFFFF"/>
        <w:rPr/>
      </w:pPr>
      <w:r>
        <w:rPr>
          <w:rFonts w:eastAsia="Arial" w:cs="Arial"/>
          <w:color w:val="0E0F0F"/>
          <w:sz w:val="27"/>
        </w:rPr>
        <w:t>Use automated tools (e.g., intrusion detection systems, log analysis) to detect potential incidents.</w:t>
      </w:r>
    </w:p>
    <w:p>
      <w:pPr>
        <w:pStyle w:val="Heading3"/>
        <w:pBdr/>
        <w:shd w:val="clear" w:color="FFFFFF" w:fill="FFFFFF"/>
        <w:spacing w:lineRule="auto" w:line="336"/>
        <w:rPr/>
      </w:pPr>
      <w:bookmarkStart w:id="29" w:name="_Toc30"/>
      <w:r>
        <w:rPr>
          <w:b/>
          <w:color w:val="0E0F0F"/>
        </w:rPr>
        <w:t>2.</w:t>
      </w:r>
      <w:r>
        <w:rPr>
          <w:b/>
          <w:color w:val="0E0F0F"/>
          <w:sz w:val="27"/>
        </w:rPr>
        <w:t> Initial Response</w:t>
      </w:r>
      <w:bookmarkEnd w:id="29"/>
    </w:p>
    <w:p>
      <w:pPr>
        <w:pStyle w:val="ListParagraph"/>
        <w:numPr>
          <w:ilvl w:val="0"/>
          <w:numId w:val="21"/>
        </w:numPr>
        <w:pBdr/>
        <w:shd w:val="clear" w:color="FFFFFF" w:fill="FFFFFF"/>
        <w:rPr/>
      </w:pPr>
      <w:r>
        <w:rPr>
          <w:rFonts w:eastAsia="Arial" w:cs="Arial"/>
          <w:color w:val="0E0F0F"/>
          <w:sz w:val="27"/>
        </w:rPr>
        <w:t>The ISSO is notified of a suspected incident via email (Don@contractcoach.com) or phone (505.259.8485).</w:t>
      </w:r>
    </w:p>
    <w:p>
      <w:pPr>
        <w:pStyle w:val="ListParagraph"/>
        <w:numPr>
          <w:ilvl w:val="0"/>
          <w:numId w:val="21"/>
        </w:numPr>
        <w:pBdr/>
        <w:shd w:val="clear" w:color="FFFFFF" w:fill="FFFFFF"/>
        <w:rPr/>
      </w:pPr>
      <w:r>
        <w:rPr>
          <w:rFonts w:eastAsia="Arial" w:cs="Arial"/>
          <w:color w:val="0E0F0F"/>
          <w:sz w:val="27"/>
        </w:rPr>
        <w:t>The ISSO assesses the incident and determines the appropriate response.</w:t>
      </w:r>
    </w:p>
    <w:p>
      <w:pPr>
        <w:pStyle w:val="ListParagraph"/>
        <w:numPr>
          <w:ilvl w:val="0"/>
          <w:numId w:val="21"/>
        </w:numPr>
        <w:pBdr/>
        <w:shd w:val="clear" w:color="FFFFFF" w:fill="FFFFFF"/>
        <w:rPr/>
      </w:pPr>
      <w:r>
        <w:rPr>
          <w:rFonts w:eastAsia="Arial" w:cs="Arial"/>
          <w:color w:val="0E0F0F"/>
          <w:sz w:val="27"/>
        </w:rPr>
        <w:t>The CIRT is activated, and team members are notified.</w:t>
      </w:r>
    </w:p>
    <w:p>
      <w:pPr>
        <w:pStyle w:val="Heading3"/>
        <w:pBdr/>
        <w:shd w:val="clear" w:color="FFFFFF" w:fill="FFFFFF"/>
        <w:spacing w:lineRule="auto" w:line="336"/>
        <w:rPr/>
      </w:pPr>
      <w:bookmarkStart w:id="30" w:name="_Toc31"/>
      <w:r>
        <w:rPr>
          <w:b/>
          <w:color w:val="0E0F0F"/>
        </w:rPr>
        <w:t>3.</w:t>
      </w:r>
      <w:r>
        <w:rPr>
          <w:b/>
          <w:color w:val="0E0F0F"/>
          <w:sz w:val="27"/>
        </w:rPr>
        <w:t> Incident Containment</w:t>
      </w:r>
      <w:bookmarkEnd w:id="30"/>
    </w:p>
    <w:p>
      <w:pPr>
        <w:pStyle w:val="ListParagraph"/>
        <w:numPr>
          <w:ilvl w:val="0"/>
          <w:numId w:val="22"/>
        </w:numPr>
        <w:pBdr/>
        <w:shd w:val="clear" w:color="FFFFFF" w:fill="FFFFFF"/>
        <w:rPr/>
      </w:pPr>
      <w:r>
        <w:rPr>
          <w:rFonts w:eastAsia="Arial" w:cs="Arial"/>
          <w:color w:val="0E0F0F"/>
          <w:sz w:val="27"/>
        </w:rPr>
        <w:t>Isolate affected systems, networks, and data to prevent further damage.</w:t>
      </w:r>
    </w:p>
    <w:p>
      <w:pPr>
        <w:pStyle w:val="ListParagraph"/>
        <w:numPr>
          <w:ilvl w:val="0"/>
          <w:numId w:val="22"/>
        </w:numPr>
        <w:pBdr/>
        <w:shd w:val="clear" w:color="FFFFFF" w:fill="FFFFFF"/>
        <w:rPr/>
      </w:pPr>
      <w:r>
        <w:rPr>
          <w:rFonts w:eastAsia="Arial" w:cs="Arial"/>
          <w:color w:val="0E0F0F"/>
          <w:sz w:val="27"/>
        </w:rPr>
        <w:t>Implement temporary fixes or workarounds to minimize operational disruption.</w:t>
      </w:r>
    </w:p>
    <w:p>
      <w:pPr>
        <w:pStyle w:val="Heading3"/>
        <w:pBdr/>
        <w:shd w:val="clear" w:color="FFFFFF" w:fill="FFFFFF"/>
        <w:spacing w:lineRule="auto" w:line="336"/>
        <w:rPr/>
      </w:pPr>
      <w:bookmarkStart w:id="31" w:name="_Toc32"/>
      <w:r>
        <w:rPr>
          <w:b/>
          <w:color w:val="0E0F0F"/>
        </w:rPr>
        <w:t>4.</w:t>
      </w:r>
      <w:r>
        <w:rPr>
          <w:b/>
          <w:color w:val="0E0F0F"/>
          <w:sz w:val="27"/>
        </w:rPr>
        <w:t> Incident Analysis</w:t>
      </w:r>
      <w:bookmarkEnd w:id="31"/>
    </w:p>
    <w:p>
      <w:pPr>
        <w:pStyle w:val="ListParagraph"/>
        <w:numPr>
          <w:ilvl w:val="0"/>
          <w:numId w:val="23"/>
        </w:numPr>
        <w:pBdr/>
        <w:shd w:val="clear" w:color="FFFFFF" w:fill="FFFFFF"/>
        <w:rPr/>
      </w:pPr>
      <w:r>
        <w:rPr>
          <w:rFonts w:eastAsia="Arial" w:cs="Arial"/>
          <w:color w:val="0E0F0F"/>
          <w:sz w:val="27"/>
        </w:rPr>
        <w:t>Gather and analyze incident-related data (e.g., system logs, network traffic captures).</w:t>
      </w:r>
    </w:p>
    <w:p>
      <w:pPr>
        <w:pStyle w:val="ListParagraph"/>
        <w:numPr>
          <w:ilvl w:val="0"/>
          <w:numId w:val="23"/>
        </w:numPr>
        <w:pBdr/>
        <w:shd w:val="clear" w:color="FFFFFF" w:fill="FFFFFF"/>
        <w:rPr/>
      </w:pPr>
      <w:r>
        <w:rPr>
          <w:rFonts w:eastAsia="Arial" w:cs="Arial"/>
          <w:color w:val="0E0F0F"/>
          <w:sz w:val="27"/>
        </w:rPr>
        <w:t>Identify the root cause of the incident and determine the scope of affected systems, networks, and data.</w:t>
      </w:r>
    </w:p>
    <w:p>
      <w:pPr>
        <w:pStyle w:val="Heading3"/>
        <w:pBdr/>
        <w:shd w:val="clear" w:color="FFFFFF" w:fill="FFFFFF"/>
        <w:spacing w:lineRule="auto" w:line="336"/>
        <w:rPr/>
      </w:pPr>
      <w:bookmarkStart w:id="32" w:name="_Toc33"/>
      <w:r>
        <w:rPr>
          <w:b/>
          <w:color w:val="0E0F0F"/>
        </w:rPr>
        <w:t>5.</w:t>
      </w:r>
      <w:r>
        <w:rPr>
          <w:b/>
          <w:color w:val="0E0F0F"/>
          <w:sz w:val="27"/>
        </w:rPr>
        <w:t> Eradication</w:t>
      </w:r>
      <w:bookmarkEnd w:id="32"/>
    </w:p>
    <w:p>
      <w:pPr>
        <w:pStyle w:val="ListParagraph"/>
        <w:numPr>
          <w:ilvl w:val="0"/>
          <w:numId w:val="24"/>
        </w:numPr>
        <w:pBdr/>
        <w:shd w:val="clear" w:color="FFFFFF" w:fill="FFFFFF"/>
        <w:rPr/>
      </w:pPr>
      <w:r>
        <w:rPr>
          <w:rFonts w:eastAsia="Arial" w:cs="Arial"/>
          <w:color w:val="0E0F0F"/>
          <w:sz w:val="27"/>
        </w:rPr>
        <w:t>Remove the root cause of the incident (e.g., malware, unauthorized access).</w:t>
      </w:r>
    </w:p>
    <w:p>
      <w:pPr>
        <w:pStyle w:val="ListParagraph"/>
        <w:numPr>
          <w:ilvl w:val="0"/>
          <w:numId w:val="24"/>
        </w:numPr>
        <w:pBdr/>
        <w:shd w:val="clear" w:color="FFFFFF" w:fill="FFFFFF"/>
        <w:rPr/>
      </w:pPr>
      <w:r>
        <w:rPr>
          <w:rFonts w:eastAsia="Arial" w:cs="Arial"/>
          <w:color w:val="0E0F0F"/>
          <w:sz w:val="27"/>
        </w:rPr>
        <w:t>Implement permanent fixes or patches to prevent similar incidents.</w:t>
      </w:r>
    </w:p>
    <w:p>
      <w:pPr>
        <w:pStyle w:val="Heading3"/>
        <w:pBdr/>
        <w:shd w:val="clear" w:color="FFFFFF" w:fill="FFFFFF"/>
        <w:spacing w:lineRule="auto" w:line="336"/>
        <w:rPr/>
      </w:pPr>
      <w:bookmarkStart w:id="33" w:name="_Toc34"/>
      <w:r>
        <w:rPr>
          <w:b/>
          <w:color w:val="0E0F0F"/>
        </w:rPr>
        <w:t>6.</w:t>
      </w:r>
      <w:r>
        <w:rPr>
          <w:b/>
          <w:color w:val="0E0F0F"/>
          <w:sz w:val="27"/>
        </w:rPr>
        <w:t> Recovery</w:t>
      </w:r>
      <w:bookmarkEnd w:id="33"/>
    </w:p>
    <w:p>
      <w:pPr>
        <w:pStyle w:val="ListParagraph"/>
        <w:numPr>
          <w:ilvl w:val="0"/>
          <w:numId w:val="25"/>
        </w:numPr>
        <w:pBdr/>
        <w:shd w:val="clear" w:color="FFFFFF" w:fill="FFFFFF"/>
        <w:rPr/>
      </w:pPr>
      <w:r>
        <w:rPr>
          <w:rFonts w:eastAsia="Arial" w:cs="Arial"/>
          <w:color w:val="0E0F0F"/>
          <w:sz w:val="27"/>
        </w:rPr>
        <w:t>Restore affected systems, networks, and data to a known good state.</w:t>
      </w:r>
    </w:p>
    <w:p>
      <w:pPr>
        <w:pStyle w:val="ListParagraph"/>
        <w:numPr>
          <w:ilvl w:val="0"/>
          <w:numId w:val="25"/>
        </w:numPr>
        <w:pBdr/>
        <w:shd w:val="clear" w:color="FFFFFF" w:fill="FFFFFF"/>
        <w:rPr/>
      </w:pPr>
      <w:r>
        <w:rPr>
          <w:rFonts w:eastAsia="Arial" w:cs="Arial"/>
          <w:color w:val="0E0F0F"/>
          <w:sz w:val="27"/>
        </w:rPr>
        <w:t>Verify the integrity of restored systems, networks, and data.</w:t>
      </w:r>
    </w:p>
    <w:p>
      <w:pPr>
        <w:pStyle w:val="Heading3"/>
        <w:pBdr/>
        <w:shd w:val="clear" w:color="FFFFFF" w:fill="FFFFFF"/>
        <w:spacing w:lineRule="auto" w:line="336"/>
        <w:rPr/>
      </w:pPr>
      <w:bookmarkStart w:id="34" w:name="_Toc35"/>
      <w:r>
        <w:rPr>
          <w:b/>
          <w:color w:val="0E0F0F"/>
        </w:rPr>
        <w:t>7.</w:t>
      </w:r>
      <w:r>
        <w:rPr>
          <w:b/>
          <w:color w:val="0E0F0F"/>
          <w:sz w:val="27"/>
        </w:rPr>
        <w:t> Post-Incident Activities</w:t>
      </w:r>
      <w:bookmarkEnd w:id="34"/>
    </w:p>
    <w:p>
      <w:pPr>
        <w:pStyle w:val="ListParagraph"/>
        <w:numPr>
          <w:ilvl w:val="0"/>
          <w:numId w:val="26"/>
        </w:numPr>
        <w:pBdr/>
        <w:shd w:val="clear" w:color="FFFFFF" w:fill="FFFFFF"/>
        <w:rPr/>
      </w:pPr>
      <w:r>
        <w:rPr>
          <w:rFonts w:eastAsia="Arial" w:cs="Arial"/>
          <w:color w:val="0E0F0F"/>
          <w:sz w:val="27"/>
        </w:rPr>
        <w:t>Conduct a post-incident review to identify lessons learned and areas for improvement.</w:t>
      </w:r>
    </w:p>
    <w:p>
      <w:pPr>
        <w:pStyle w:val="ListParagraph"/>
        <w:numPr>
          <w:ilvl w:val="0"/>
          <w:numId w:val="26"/>
        </w:numPr>
        <w:pBdr/>
        <w:shd w:val="clear" w:color="FFFFFF" w:fill="FFFFFF"/>
        <w:rPr/>
      </w:pPr>
      <w:r>
        <w:rPr>
          <w:rFonts w:eastAsia="Arial" w:cs="Arial"/>
          <w:color w:val="0E0F0F"/>
          <w:sz w:val="27"/>
        </w:rPr>
        <w:t>Update incident response procedures and training as needed.</w:t>
      </w:r>
    </w:p>
    <w:p>
      <w:pPr>
        <w:pStyle w:val="ListParagraph"/>
        <w:numPr>
          <w:ilvl w:val="0"/>
          <w:numId w:val="26"/>
        </w:numPr>
        <w:pBdr/>
        <w:shd w:val="clear" w:color="FFFFFF" w:fill="FFFFFF"/>
        <w:rPr/>
      </w:pPr>
      <w:r>
        <w:rPr>
          <w:rFonts w:eastAsia="Arial" w:cs="Arial"/>
          <w:color w:val="0E0F0F"/>
          <w:sz w:val="27"/>
        </w:rPr>
        <w:t>Notify relevant stakeholders (e.g., management, customers) of the incident and response efforts.</w:t>
      </w:r>
    </w:p>
    <w:p>
      <w:pPr>
        <w:pStyle w:val="Heading1"/>
        <w:rPr/>
      </w:pPr>
      <w:bookmarkStart w:id="35" w:name="_Toc36"/>
      <w:r>
        <w:rPr>
          <w:rFonts w:eastAsia="Arial" w:cs="Arial"/>
          <w:b/>
          <w:color w:val="0E0F0F"/>
          <w:sz w:val="27"/>
        </w:rPr>
        <w:t>Cyber Incident Reporting</w:t>
      </w:r>
      <w:bookmarkEnd w:id="35"/>
    </w:p>
    <w:p>
      <w:pPr>
        <w:pStyle w:val="Normal"/>
        <w:pBdr/>
        <w:shd w:val="clear" w:color="FFFFFF" w:fill="FFFFFF"/>
        <w:spacing w:before="84" w:after="84"/>
        <w:ind w:left="84" w:right="84" w:hanging="0"/>
        <w:rPr/>
      </w:pPr>
      <w:r>
        <w:rPr>
          <w:rFonts w:eastAsia="Arial" w:cs="Arial"/>
          <w:color w:val="0E0F0F"/>
          <w:sz w:val="27"/>
        </w:rPr>
        <w:t>CPN will report detected cyber security incidents to the ISSO via email (Don@contractcoach.com) or phone (505.259.8485). The ISSO will notify the Security Team and System Administrators as needed.</w:t>
      </w:r>
    </w:p>
    <w:p>
      <w:pPr>
        <w:pStyle w:val="Heading1"/>
        <w:rPr/>
      </w:pPr>
      <w:bookmarkStart w:id="36" w:name="_Toc37"/>
      <w:r>
        <w:rPr>
          <w:rFonts w:eastAsia="Arial" w:cs="Arial"/>
          <w:b/>
          <w:color w:val="0E0F0F"/>
          <w:sz w:val="27"/>
        </w:rPr>
        <w:t>External Reporting</w:t>
      </w:r>
      <w:bookmarkEnd w:id="36"/>
    </w:p>
    <w:p>
      <w:pPr>
        <w:pStyle w:val="Normal"/>
        <w:pBdr/>
        <w:shd w:val="clear" w:color="FFFFFF" w:fill="FFFFFF"/>
        <w:spacing w:before="84" w:after="84"/>
        <w:ind w:left="84" w:right="84" w:hanging="0"/>
        <w:rPr/>
      </w:pPr>
      <w:r>
        <w:rPr>
          <w:rFonts w:eastAsia="Arial" w:cs="Arial"/>
          <w:color w:val="0E0F0F"/>
          <w:sz w:val="27"/>
        </w:rPr>
        <w:t>CPN will comply with relevant laws, regulations, and industry standards for external reporting of cyber security incidents, including:</w:t>
      </w:r>
    </w:p>
    <w:p>
      <w:pPr>
        <w:pStyle w:val="ListParagraph"/>
        <w:numPr>
          <w:ilvl w:val="0"/>
          <w:numId w:val="27"/>
        </w:numPr>
        <w:pBdr/>
        <w:shd w:val="clear" w:color="FFFFFF" w:fill="FFFFFF"/>
        <w:rPr/>
      </w:pPr>
      <w:r>
        <w:rPr>
          <w:rFonts w:eastAsia="Arial" w:cs="Arial"/>
          <w:color w:val="0E0F0F"/>
          <w:sz w:val="27"/>
        </w:rPr>
        <w:t>NIST SP 800-171 Rev 2</w:t>
      </w:r>
    </w:p>
    <w:p>
      <w:pPr>
        <w:pStyle w:val="ListParagraph"/>
        <w:numPr>
          <w:ilvl w:val="0"/>
          <w:numId w:val="27"/>
        </w:numPr>
        <w:pBdr/>
        <w:shd w:val="clear" w:color="FFFFFF" w:fill="FFFFFF"/>
        <w:rPr/>
      </w:pPr>
      <w:r>
        <w:rPr>
          <w:rFonts w:eastAsia="Arial" w:cs="Arial"/>
          <w:color w:val="0E0F0F"/>
          <w:sz w:val="27"/>
        </w:rPr>
        <w:t>DFARS 252.204-7012</w:t>
      </w:r>
    </w:p>
    <w:p>
      <w:pPr>
        <w:pStyle w:val="ListParagraph"/>
        <w:numPr>
          <w:ilvl w:val="0"/>
          <w:numId w:val="27"/>
        </w:numPr>
        <w:pBdr/>
        <w:shd w:val="clear" w:color="FFFFFF" w:fill="FFFFFF"/>
        <w:rPr/>
      </w:pPr>
      <w:r>
        <w:rPr>
          <w:rFonts w:eastAsia="Arial" w:cs="Arial"/>
          <w:color w:val="0E0F0F"/>
          <w:sz w:val="27"/>
        </w:rPr>
        <w:t>CMMC Level 1 and Level 2 certification readiness</w:t>
      </w:r>
    </w:p>
    <w:p>
      <w:pPr>
        <w:pStyle w:val="Heading1"/>
        <w:rPr/>
      </w:pPr>
      <w:bookmarkStart w:id="37" w:name="_Toc38"/>
      <w:r>
        <w:rPr>
          <w:rFonts w:eastAsia="Arial" w:cs="Arial"/>
          <w:b/>
          <w:color w:val="0E0F0F"/>
          <w:sz w:val="27"/>
        </w:rPr>
        <w:t>Training and Awareness</w:t>
      </w:r>
      <w:bookmarkEnd w:id="37"/>
    </w:p>
    <w:p>
      <w:pPr>
        <w:pStyle w:val="Normal"/>
        <w:pBdr/>
        <w:shd w:val="clear" w:color="FFFFFF" w:fill="FFFFFF"/>
        <w:spacing w:before="84" w:after="84"/>
        <w:ind w:left="84" w:right="84" w:hanging="0"/>
        <w:rPr/>
      </w:pPr>
      <w:r>
        <w:rPr>
          <w:rFonts w:eastAsia="Arial" w:cs="Arial"/>
          <w:color w:val="0E0F0F"/>
          <w:sz w:val="27"/>
        </w:rPr>
        <w:t>CPN will provide regular training and awareness programs for employees, contractors, and subcontractors to ensure they understand their roles and responsibilities in responding to cyber security incidents.</w:t>
      </w:r>
    </w:p>
    <w:p>
      <w:pPr>
        <w:pStyle w:val="Heading1"/>
        <w:rPr/>
      </w:pPr>
      <w:bookmarkStart w:id="38" w:name="_Toc39"/>
      <w:r>
        <w:rPr>
          <w:rFonts w:eastAsia="Arial" w:cs="Arial"/>
          <w:b/>
          <w:color w:val="0E0F0F"/>
          <w:sz w:val="27"/>
        </w:rPr>
        <w:t>Plan Review and Revision</w:t>
      </w:r>
      <w:bookmarkEnd w:id="38"/>
    </w:p>
    <w:p>
      <w:pPr>
        <w:pStyle w:val="Normal"/>
        <w:pBdr/>
        <w:shd w:val="clear" w:color="FFFFFF" w:fill="FFFFFF"/>
        <w:spacing w:before="84" w:after="84"/>
        <w:ind w:left="84" w:right="84" w:hanging="0"/>
        <w:rPr/>
      </w:pPr>
      <w:r>
        <w:rPr>
          <w:rFonts w:eastAsia="Arial" w:cs="Arial"/>
          <w:color w:val="0E0F0F"/>
          <w:sz w:val="27"/>
        </w:rPr>
        <w:t>This plan will be reviewed and revised annually, or as needed, to ensure it remains effective and relevant.</w:t>
      </w:r>
    </w:p>
    <w:p>
      <w:pPr>
        <w:pStyle w:val="Heading1"/>
        <w:rPr/>
      </w:pPr>
      <w:bookmarkStart w:id="39" w:name="_Toc40"/>
      <w:r>
        <w:rPr>
          <w:rFonts w:eastAsia="Arial" w:cs="Arial"/>
          <w:b/>
          <w:color w:val="0E0F0F"/>
          <w:sz w:val="27"/>
        </w:rPr>
        <w:t>Approval</w:t>
      </w:r>
      <w:bookmarkEnd w:id="39"/>
    </w:p>
    <w:p>
      <w:pPr>
        <w:pStyle w:val="Normal"/>
        <w:pBdr/>
        <w:shd w:val="clear" w:color="FFFFFF" w:fill="FFFFFF"/>
        <w:spacing w:before="84" w:after="84"/>
        <w:ind w:left="84" w:right="84" w:hanging="0"/>
        <w:rPr/>
      </w:pPr>
      <w:r>
        <w:rPr>
          <w:rFonts w:eastAsia="Arial" w:cs="Arial"/>
          <w:color w:val="0E0F0F"/>
          <w:sz w:val="27"/>
        </w:rPr>
        <w:t>This plan was approved by Donald E. Shannon, Owner/Principal of The Contract Coach, on October 26, 2025.</w:t>
      </w:r>
    </w:p>
    <w:p>
      <w:pPr>
        <w:pStyle w:val="Normal"/>
        <w:pBdr/>
        <w:shd w:val="clear" w:color="FFFFFF" w:fill="FFFFFF"/>
        <w:spacing w:before="84" w:after="84"/>
        <w:ind w:left="84" w:right="84" w:hanging="0"/>
        <w:rPr/>
      </w:pPr>
      <w:r>
        <w:rPr>
          <w:rFonts w:eastAsia="Arial" w:cs="Arial"/>
          <w:color w:val="0E0F0F"/>
          <w:sz w:val="27"/>
        </w:rPr>
        <w:t>By following this cyber incident response plan, CPN can quickly and effectively respond to detected cyber security incidents, minimize operational disruption, and maintain compliance with relevant laws, regulations, and industry standards.</w:t>
      </w:r>
    </w:p>
    <w:p>
      <w:pPr>
        <w:pStyle w:val="Normal"/>
        <w:rPr/>
      </w:pPr>
      <w:r>
        <w:rPr/>
      </w:r>
      <w:r>
        <w:br w:type="page"/>
      </w:r>
    </w:p>
    <w:p>
      <w:pPr>
        <w:pStyle w:val="Chapter"/>
        <w:rPr>
          <w:sz w:val="36"/>
          <w:szCs w:val="36"/>
        </w:rPr>
      </w:pPr>
      <w:r>
        <w:rPr>
          <w:rFonts w:eastAsia="Arial" w:cs="Arial"/>
          <w:b/>
          <w:color w:val="0E0F0F"/>
          <w:sz w:val="36"/>
          <w:szCs w:val="36"/>
        </w:rPr>
        <w:t>Appendix 5 - Personnel Security</w:t>
      </w:r>
    </w:p>
    <w:p>
      <w:pPr>
        <w:pStyle w:val="Heading1"/>
        <w:rPr/>
      </w:pPr>
      <w:bookmarkStart w:id="40" w:name="_Toc41"/>
      <w:r>
        <w:rPr>
          <w:rFonts w:eastAsia="Arial" w:cs="Arial"/>
          <w:b/>
          <w:color w:val="0E0F0F"/>
          <w:sz w:val="27"/>
        </w:rPr>
        <w:t>Introduction</w:t>
      </w:r>
      <w:bookmarkEnd w:id="40"/>
    </w:p>
    <w:p>
      <w:pPr>
        <w:pStyle w:val="Normal"/>
        <w:pBdr/>
        <w:shd w:val="clear" w:color="FFFFFF" w:fill="FFFFFF"/>
        <w:spacing w:before="84" w:after="84"/>
        <w:ind w:left="84" w:right="84" w:hanging="0"/>
        <w:rPr/>
      </w:pPr>
      <w:r>
        <w:rPr>
          <w:rFonts w:eastAsia="Arial" w:cs="Arial"/>
          <w:color w:val="0E0F0F"/>
          <w:sz w:val="27"/>
        </w:rPr>
        <w:t>The CyberHygiene Production Network’s (CPN) Personnel Security policy outlines the procedures for ensuring that personnel with access to CPN assets are trustworthy, reliable, and capable of performing their assigned duties without compromising the confidentiality, integrity, or availability of CPN’s systems, networks, and data.</w:t>
      </w:r>
    </w:p>
    <w:p>
      <w:pPr>
        <w:pStyle w:val="Heading1"/>
        <w:rPr/>
      </w:pPr>
      <w:bookmarkStart w:id="41" w:name="_Toc42"/>
      <w:r>
        <w:rPr>
          <w:rFonts w:eastAsia="Arial" w:cs="Arial"/>
          <w:b/>
          <w:color w:val="0E0F0F"/>
          <w:sz w:val="27"/>
        </w:rPr>
        <w:t>Scope</w:t>
      </w:r>
      <w:bookmarkEnd w:id="41"/>
    </w:p>
    <w:p>
      <w:pPr>
        <w:pStyle w:val="Normal"/>
        <w:pBdr/>
        <w:shd w:val="clear" w:color="FFFFFF" w:fill="FFFFFF"/>
        <w:spacing w:before="84" w:after="84"/>
        <w:ind w:left="84" w:right="84" w:hanging="0"/>
        <w:rPr/>
      </w:pPr>
      <w:r>
        <w:rPr>
          <w:rFonts w:eastAsia="Arial" w:cs="Arial"/>
          <w:color w:val="0E0F0F"/>
          <w:sz w:val="27"/>
        </w:rPr>
        <w:t>This policy applies to all personnel who require access to CPN assets, including:</w:t>
      </w:r>
    </w:p>
    <w:p>
      <w:pPr>
        <w:pStyle w:val="ListParagraph"/>
        <w:numPr>
          <w:ilvl w:val="0"/>
          <w:numId w:val="28"/>
        </w:numPr>
        <w:pBdr/>
        <w:shd w:val="clear" w:color="FFFFFF" w:fill="FFFFFF"/>
        <w:rPr/>
      </w:pPr>
      <w:r>
        <w:rPr>
          <w:rFonts w:eastAsia="Arial" w:cs="Arial"/>
          <w:color w:val="0E0F0F"/>
          <w:sz w:val="27"/>
        </w:rPr>
        <w:t>Employees</w:t>
      </w:r>
    </w:p>
    <w:p>
      <w:pPr>
        <w:pStyle w:val="ListParagraph"/>
        <w:numPr>
          <w:ilvl w:val="0"/>
          <w:numId w:val="28"/>
        </w:numPr>
        <w:pBdr/>
        <w:shd w:val="clear" w:color="FFFFFF" w:fill="FFFFFF"/>
        <w:rPr/>
      </w:pPr>
      <w:r>
        <w:rPr>
          <w:rFonts w:eastAsia="Arial" w:cs="Arial"/>
          <w:color w:val="0E0F0F"/>
          <w:sz w:val="27"/>
        </w:rPr>
        <w:t>Contractors</w:t>
      </w:r>
    </w:p>
    <w:p>
      <w:pPr>
        <w:pStyle w:val="ListParagraph"/>
        <w:numPr>
          <w:ilvl w:val="0"/>
          <w:numId w:val="28"/>
        </w:numPr>
        <w:pBdr/>
        <w:shd w:val="clear" w:color="FFFFFF" w:fill="FFFFFF"/>
        <w:rPr/>
      </w:pPr>
      <w:r>
        <w:rPr>
          <w:rFonts w:eastAsia="Arial" w:cs="Arial"/>
          <w:color w:val="0E0F0F"/>
          <w:sz w:val="27"/>
        </w:rPr>
        <w:t>Subcontractors</w:t>
      </w:r>
    </w:p>
    <w:p>
      <w:pPr>
        <w:pStyle w:val="ListParagraph"/>
        <w:numPr>
          <w:ilvl w:val="0"/>
          <w:numId w:val="28"/>
        </w:numPr>
        <w:pBdr/>
        <w:shd w:val="clear" w:color="FFFFFF" w:fill="FFFFFF"/>
        <w:rPr/>
      </w:pPr>
      <w:r>
        <w:rPr>
          <w:rFonts w:eastAsia="Arial" w:cs="Arial"/>
          <w:color w:val="0E0F0F"/>
          <w:sz w:val="27"/>
        </w:rPr>
        <w:t>Vendors</w:t>
      </w:r>
    </w:p>
    <w:p>
      <w:pPr>
        <w:pStyle w:val="ListParagraph"/>
        <w:numPr>
          <w:ilvl w:val="0"/>
          <w:numId w:val="28"/>
        </w:numPr>
        <w:pBdr/>
        <w:shd w:val="clear" w:color="FFFFFF" w:fill="FFFFFF"/>
        <w:rPr/>
      </w:pPr>
      <w:r>
        <w:rPr>
          <w:rFonts w:eastAsia="Arial" w:cs="Arial"/>
          <w:color w:val="0E0F0F"/>
          <w:sz w:val="27"/>
        </w:rPr>
        <w:t>Third-party service providers</w:t>
      </w:r>
    </w:p>
    <w:p>
      <w:pPr>
        <w:pStyle w:val="Normal"/>
        <w:pBdr/>
        <w:shd w:val="clear" w:color="FFFFFF" w:fill="FFFFFF"/>
        <w:spacing w:before="84" w:after="84"/>
        <w:ind w:left="84" w:right="84" w:hanging="0"/>
        <w:rPr/>
      </w:pPr>
      <w:r>
        <w:rPr>
          <w:rFonts w:eastAsia="Arial" w:cs="Arial"/>
          <w:b/>
          <w:color w:val="0E0F0F"/>
          <w:sz w:val="27"/>
        </w:rPr>
        <w:t>Personnel Security Objectives</w:t>
      </w:r>
    </w:p>
    <w:p>
      <w:pPr>
        <w:pStyle w:val="Normal"/>
        <w:pBdr/>
        <w:shd w:val="clear" w:color="FFFFFF" w:fill="FFFFFF"/>
        <w:spacing w:before="84" w:after="84"/>
        <w:ind w:left="84" w:right="84" w:hanging="0"/>
        <w:rPr/>
      </w:pPr>
      <w:r>
        <w:rPr>
          <w:rFonts w:eastAsia="Arial" w:cs="Arial"/>
          <w:color w:val="0E0F0F"/>
          <w:sz w:val="27"/>
        </w:rPr>
        <w:t>The objectives of CPN’s Personnel Security policy are to:</w:t>
      </w:r>
    </w:p>
    <w:p>
      <w:pPr>
        <w:pStyle w:val="ListParagraph"/>
        <w:numPr>
          <w:ilvl w:val="0"/>
          <w:numId w:val="29"/>
        </w:numPr>
        <w:pBdr/>
        <w:shd w:val="clear" w:color="FFFFFF" w:fill="FFFFFF"/>
        <w:rPr/>
      </w:pPr>
      <w:r>
        <w:rPr>
          <w:rFonts w:eastAsia="Arial" w:cs="Arial"/>
          <w:color w:val="0E0F0F"/>
          <w:sz w:val="27"/>
        </w:rPr>
        <w:t>Ensure that personnel with access to CPN assets are trustworthy and reliable</w:t>
      </w:r>
    </w:p>
    <w:p>
      <w:pPr>
        <w:pStyle w:val="ListParagraph"/>
        <w:numPr>
          <w:ilvl w:val="0"/>
          <w:numId w:val="29"/>
        </w:numPr>
        <w:pBdr/>
        <w:shd w:val="clear" w:color="FFFFFF" w:fill="FFFFFF"/>
        <w:rPr/>
      </w:pPr>
      <w:r>
        <w:rPr>
          <w:rFonts w:eastAsia="Arial" w:cs="Arial"/>
          <w:color w:val="0E0F0F"/>
          <w:sz w:val="27"/>
        </w:rPr>
        <w:t>Prevent unauthorized access, use, disclosure, modification, or destruction of CPN assets</w:t>
      </w:r>
    </w:p>
    <w:p>
      <w:pPr>
        <w:pStyle w:val="ListParagraph"/>
        <w:numPr>
          <w:ilvl w:val="0"/>
          <w:numId w:val="29"/>
        </w:numPr>
        <w:pBdr/>
        <w:shd w:val="clear" w:color="FFFFFF" w:fill="FFFFFF"/>
        <w:rPr/>
      </w:pPr>
      <w:r>
        <w:rPr>
          <w:rFonts w:eastAsia="Arial" w:cs="Arial"/>
          <w:color w:val="0E0F0F"/>
          <w:sz w:val="27"/>
        </w:rPr>
        <w:t>Maintain the confidentiality, integrity, and availability of CPN’s systems, networks, and data</w:t>
      </w:r>
    </w:p>
    <w:p>
      <w:pPr>
        <w:pStyle w:val="Heading1"/>
        <w:rPr/>
      </w:pPr>
      <w:bookmarkStart w:id="42" w:name="_Toc43"/>
      <w:r>
        <w:rPr>
          <w:rFonts w:eastAsia="Arial" w:cs="Arial"/>
          <w:b/>
          <w:color w:val="0E0F0F"/>
          <w:sz w:val="27"/>
        </w:rPr>
        <w:t>Personnel Screening</w:t>
      </w:r>
      <w:bookmarkEnd w:id="42"/>
    </w:p>
    <w:p>
      <w:pPr>
        <w:pStyle w:val="Normal"/>
        <w:pBdr/>
        <w:shd w:val="clear" w:color="FFFFFF" w:fill="FFFFFF"/>
        <w:spacing w:before="84" w:after="84"/>
        <w:ind w:left="84" w:right="84" w:hanging="0"/>
        <w:rPr/>
      </w:pPr>
      <w:r>
        <w:rPr>
          <w:rFonts w:eastAsia="Arial" w:cs="Arial"/>
          <w:color w:val="0E0F0F"/>
          <w:sz w:val="27"/>
        </w:rPr>
        <w:t>CPN will conduct background checks on all personnel who require access to CPN assets. The scope of the background check will include:</w:t>
      </w:r>
    </w:p>
    <w:p>
      <w:pPr>
        <w:pStyle w:val="ListParagraph"/>
        <w:numPr>
          <w:ilvl w:val="0"/>
          <w:numId w:val="30"/>
        </w:numPr>
        <w:pBdr/>
        <w:shd w:val="clear" w:color="FFFFFF" w:fill="FFFFFF"/>
        <w:rPr/>
      </w:pPr>
      <w:r>
        <w:rPr>
          <w:rFonts w:eastAsia="Arial" w:cs="Arial"/>
          <w:color w:val="0E0F0F"/>
          <w:sz w:val="27"/>
        </w:rPr>
        <w:t>Criminal history</w:t>
      </w:r>
    </w:p>
    <w:p>
      <w:pPr>
        <w:pStyle w:val="ListParagraph"/>
        <w:numPr>
          <w:ilvl w:val="0"/>
          <w:numId w:val="30"/>
        </w:numPr>
        <w:pBdr/>
        <w:shd w:val="clear" w:color="FFFFFF" w:fill="FFFFFF"/>
        <w:rPr/>
      </w:pPr>
      <w:r>
        <w:rPr>
          <w:rFonts w:eastAsia="Arial" w:cs="Arial"/>
          <w:color w:val="0E0F0F"/>
          <w:sz w:val="27"/>
        </w:rPr>
        <w:t>Credit history</w:t>
      </w:r>
    </w:p>
    <w:p>
      <w:pPr>
        <w:pStyle w:val="ListParagraph"/>
        <w:numPr>
          <w:ilvl w:val="0"/>
          <w:numId w:val="30"/>
        </w:numPr>
        <w:pBdr/>
        <w:shd w:val="clear" w:color="FFFFFF" w:fill="FFFFFF"/>
        <w:rPr/>
      </w:pPr>
      <w:r>
        <w:rPr>
          <w:rFonts w:eastAsia="Arial" w:cs="Arial"/>
          <w:color w:val="0E0F0F"/>
          <w:sz w:val="27"/>
        </w:rPr>
        <w:t>Education verification</w:t>
      </w:r>
    </w:p>
    <w:p>
      <w:pPr>
        <w:pStyle w:val="ListParagraph"/>
        <w:numPr>
          <w:ilvl w:val="0"/>
          <w:numId w:val="30"/>
        </w:numPr>
        <w:pBdr/>
        <w:shd w:val="clear" w:color="FFFFFF" w:fill="FFFFFF"/>
        <w:rPr/>
      </w:pPr>
      <w:r>
        <w:rPr>
          <w:rFonts w:eastAsia="Arial" w:cs="Arial"/>
          <w:color w:val="0E0F0F"/>
          <w:sz w:val="27"/>
        </w:rPr>
        <w:t>Employment history</w:t>
      </w:r>
    </w:p>
    <w:p>
      <w:pPr>
        <w:pStyle w:val="ListParagraph"/>
        <w:numPr>
          <w:ilvl w:val="0"/>
          <w:numId w:val="30"/>
        </w:numPr>
        <w:pBdr/>
        <w:shd w:val="clear" w:color="FFFFFF" w:fill="FFFFFF"/>
        <w:rPr/>
      </w:pPr>
      <w:r>
        <w:rPr>
          <w:rFonts w:eastAsia="Arial" w:cs="Arial"/>
          <w:color w:val="0E0F0F"/>
          <w:sz w:val="27"/>
        </w:rPr>
        <w:t>Reference checks</w:t>
      </w:r>
    </w:p>
    <w:p>
      <w:pPr>
        <w:pStyle w:val="Heading1"/>
        <w:rPr/>
      </w:pPr>
      <w:bookmarkStart w:id="43" w:name="_Toc44"/>
      <w:r>
        <w:rPr>
          <w:rFonts w:eastAsia="Arial" w:cs="Arial"/>
          <w:b/>
          <w:color w:val="0E0F0F"/>
          <w:sz w:val="27"/>
        </w:rPr>
        <w:t>Security Clearances</w:t>
      </w:r>
      <w:bookmarkEnd w:id="43"/>
    </w:p>
    <w:p>
      <w:pPr>
        <w:pStyle w:val="Normal"/>
        <w:pBdr/>
        <w:shd w:val="clear" w:color="FFFFFF" w:fill="FFFFFF"/>
        <w:spacing w:before="84" w:after="84"/>
        <w:ind w:left="84" w:right="84" w:hanging="0"/>
        <w:rPr/>
      </w:pPr>
      <w:r>
        <w:rPr>
          <w:rFonts w:eastAsia="Arial" w:cs="Arial"/>
          <w:color w:val="0E0F0F"/>
          <w:sz w:val="27"/>
        </w:rPr>
        <w:t>CPN will obtain security clearances for personnel who require access to sensitive information or systems. The level of clearance will be commensurate with the sensitivity of the information or system.</w:t>
      </w:r>
    </w:p>
    <w:p>
      <w:pPr>
        <w:pStyle w:val="Heading1"/>
        <w:rPr/>
      </w:pPr>
      <w:bookmarkStart w:id="44" w:name="_Toc45"/>
      <w:r>
        <w:rPr>
          <w:rFonts w:eastAsia="Arial" w:cs="Arial"/>
          <w:b/>
          <w:color w:val="0E0F0F"/>
          <w:sz w:val="27"/>
        </w:rPr>
        <w:t>Role-Based Access Control</w:t>
      </w:r>
      <w:bookmarkEnd w:id="44"/>
    </w:p>
    <w:p>
      <w:pPr>
        <w:pStyle w:val="Normal"/>
        <w:pBdr/>
        <w:shd w:val="clear" w:color="FFFFFF" w:fill="FFFFFF"/>
        <w:spacing w:before="84" w:after="84"/>
        <w:ind w:left="84" w:right="84" w:hanging="0"/>
        <w:rPr/>
      </w:pPr>
      <w:r>
        <w:rPr>
          <w:rFonts w:eastAsia="Arial" w:cs="Arial"/>
          <w:color w:val="0E0F0F"/>
          <w:sz w:val="27"/>
        </w:rPr>
        <w:t>CPN will implement role-based access control (RBAC) to ensure that personnel only have access to CPN assets necessary to perform their assigned duties. RBAC will be based on the principles of least privilege and separation of duties.</w:t>
      </w:r>
    </w:p>
    <w:p>
      <w:pPr>
        <w:pStyle w:val="Heading1"/>
        <w:rPr/>
      </w:pPr>
      <w:bookmarkStart w:id="45" w:name="_Toc46"/>
      <w:r>
        <w:rPr>
          <w:rFonts w:eastAsia="Arial" w:cs="Arial"/>
          <w:b/>
          <w:color w:val="0E0F0F"/>
          <w:sz w:val="27"/>
        </w:rPr>
        <w:t>Personnel Training and Awareness</w:t>
      </w:r>
      <w:bookmarkEnd w:id="45"/>
    </w:p>
    <w:p>
      <w:pPr>
        <w:pStyle w:val="Normal"/>
        <w:pBdr/>
        <w:shd w:val="clear" w:color="FFFFFF" w:fill="FFFFFF"/>
        <w:spacing w:before="84" w:after="84"/>
        <w:ind w:left="84" w:right="84" w:hanging="0"/>
        <w:rPr/>
      </w:pPr>
      <w:r>
        <w:rPr>
          <w:rFonts w:eastAsia="Arial" w:cs="Arial"/>
          <w:color w:val="0E0F0F"/>
          <w:sz w:val="27"/>
        </w:rPr>
        <w:t>CPN will provide regular training and awareness programs for personnel to ensure they understand their roles and responsibilities in maintaining the security of CPN’s systems, networks, and data. Training will include:</w:t>
      </w:r>
    </w:p>
    <w:p>
      <w:pPr>
        <w:pStyle w:val="ListParagraph"/>
        <w:numPr>
          <w:ilvl w:val="0"/>
          <w:numId w:val="31"/>
        </w:numPr>
        <w:pBdr/>
        <w:shd w:val="clear" w:color="FFFFFF" w:fill="FFFFFF"/>
        <w:rPr/>
      </w:pPr>
      <w:r>
        <w:rPr>
          <w:rFonts w:eastAsia="Arial" w:cs="Arial"/>
          <w:color w:val="0E0F0F"/>
          <w:sz w:val="27"/>
        </w:rPr>
        <w:t>Security policies and procedures</w:t>
      </w:r>
    </w:p>
    <w:p>
      <w:pPr>
        <w:pStyle w:val="ListParagraph"/>
        <w:numPr>
          <w:ilvl w:val="0"/>
          <w:numId w:val="31"/>
        </w:numPr>
        <w:pBdr/>
        <w:shd w:val="clear" w:color="FFFFFF" w:fill="FFFFFF"/>
        <w:rPr/>
      </w:pPr>
      <w:r>
        <w:rPr>
          <w:rFonts w:eastAsia="Arial" w:cs="Arial"/>
          <w:color w:val="0E0F0F"/>
          <w:sz w:val="27"/>
        </w:rPr>
        <w:t>Incident response procedures</w:t>
      </w:r>
    </w:p>
    <w:p>
      <w:pPr>
        <w:pStyle w:val="ListParagraph"/>
        <w:numPr>
          <w:ilvl w:val="0"/>
          <w:numId w:val="31"/>
        </w:numPr>
        <w:pBdr/>
        <w:shd w:val="clear" w:color="FFFFFF" w:fill="FFFFFF"/>
        <w:rPr/>
      </w:pPr>
      <w:r>
        <w:rPr>
          <w:rFonts w:eastAsia="Arial" w:cs="Arial"/>
          <w:color w:val="0E0F0F"/>
          <w:sz w:val="27"/>
        </w:rPr>
        <w:t>Confidentiality agreements</w:t>
      </w:r>
    </w:p>
    <w:p>
      <w:pPr>
        <w:pStyle w:val="ListParagraph"/>
        <w:numPr>
          <w:ilvl w:val="0"/>
          <w:numId w:val="31"/>
        </w:numPr>
        <w:pBdr/>
        <w:shd w:val="clear" w:color="FFFFFF" w:fill="FFFFFF"/>
        <w:rPr/>
      </w:pPr>
      <w:r>
        <w:rPr>
          <w:rFonts w:eastAsia="Arial" w:cs="Arial"/>
          <w:color w:val="0E0F0F"/>
          <w:sz w:val="27"/>
        </w:rPr>
        <w:t>Non-disclosure agreements</w:t>
      </w:r>
    </w:p>
    <w:p>
      <w:pPr>
        <w:pStyle w:val="Heading1"/>
        <w:rPr/>
      </w:pPr>
      <w:bookmarkStart w:id="46" w:name="_Toc47"/>
      <w:r>
        <w:rPr>
          <w:rFonts w:eastAsia="Arial" w:cs="Arial"/>
          <w:b/>
          <w:color w:val="0E0F0F"/>
          <w:sz w:val="27"/>
        </w:rPr>
        <w:t>Personnel Accountability</w:t>
      </w:r>
      <w:bookmarkEnd w:id="46"/>
    </w:p>
    <w:p>
      <w:pPr>
        <w:pStyle w:val="Normal"/>
        <w:pBdr/>
        <w:shd w:val="clear" w:color="FFFFFF" w:fill="FFFFFF"/>
        <w:spacing w:before="84" w:after="84"/>
        <w:ind w:left="84" w:right="84" w:hanging="0"/>
        <w:rPr/>
      </w:pPr>
      <w:r>
        <w:rPr>
          <w:rFonts w:eastAsia="Arial" w:cs="Arial"/>
          <w:color w:val="0E0F0F"/>
          <w:sz w:val="27"/>
        </w:rPr>
        <w:t>CPN will hold personnel accountable for their actions while accessing CPN assets. Personnel will be required to sign a confidentiality agreement and non-disclosure agreement prior to being granted access.</w:t>
      </w:r>
    </w:p>
    <w:p>
      <w:pPr>
        <w:pStyle w:val="Heading1"/>
        <w:rPr/>
      </w:pPr>
      <w:bookmarkStart w:id="47" w:name="_Toc48"/>
      <w:r>
        <w:rPr>
          <w:rFonts w:eastAsia="Arial" w:cs="Arial"/>
          <w:b/>
          <w:color w:val="0E0F0F"/>
          <w:sz w:val="27"/>
        </w:rPr>
        <w:t>Termination Procedures</w:t>
      </w:r>
      <w:bookmarkEnd w:id="47"/>
    </w:p>
    <w:p>
      <w:pPr>
        <w:pStyle w:val="Normal"/>
        <w:pBdr/>
        <w:shd w:val="clear" w:color="FFFFFF" w:fill="FFFFFF"/>
        <w:spacing w:before="84" w:after="84"/>
        <w:ind w:left="84" w:right="84" w:hanging="0"/>
        <w:rPr/>
      </w:pPr>
      <w:r>
        <w:rPr>
          <w:rFonts w:eastAsia="Arial" w:cs="Arial"/>
          <w:color w:val="0E0F0F"/>
          <w:sz w:val="27"/>
        </w:rPr>
        <w:t>CPN will have procedures in place for terminating personnel access to CPN assets upon separation from the organization. Termination procedures will include:</w:t>
      </w:r>
    </w:p>
    <w:p>
      <w:pPr>
        <w:pStyle w:val="ListParagraph"/>
        <w:numPr>
          <w:ilvl w:val="0"/>
          <w:numId w:val="32"/>
        </w:numPr>
        <w:pBdr/>
        <w:shd w:val="clear" w:color="FFFFFF" w:fill="FFFFFF"/>
        <w:rPr/>
      </w:pPr>
      <w:r>
        <w:rPr>
          <w:rFonts w:eastAsia="Arial" w:cs="Arial"/>
          <w:color w:val="0E0F0F"/>
          <w:sz w:val="27"/>
        </w:rPr>
        <w:t>Immediate revocation of access</w:t>
      </w:r>
    </w:p>
    <w:p>
      <w:pPr>
        <w:pStyle w:val="ListParagraph"/>
        <w:numPr>
          <w:ilvl w:val="0"/>
          <w:numId w:val="32"/>
        </w:numPr>
        <w:pBdr/>
        <w:shd w:val="clear" w:color="FFFFFF" w:fill="FFFFFF"/>
        <w:rPr/>
      </w:pPr>
      <w:r>
        <w:rPr>
          <w:rFonts w:eastAsia="Arial" w:cs="Arial"/>
          <w:color w:val="0E0F0F"/>
          <w:sz w:val="27"/>
        </w:rPr>
        <w:t>Return of all CPN property, including devices and media</w:t>
      </w:r>
    </w:p>
    <w:p>
      <w:pPr>
        <w:pStyle w:val="ListParagraph"/>
        <w:numPr>
          <w:ilvl w:val="0"/>
          <w:numId w:val="32"/>
        </w:numPr>
        <w:pBdr/>
        <w:shd w:val="clear" w:color="FFFFFF" w:fill="FFFFFF"/>
        <w:rPr/>
      </w:pPr>
      <w:r>
        <w:rPr>
          <w:rFonts w:eastAsia="Arial" w:cs="Arial"/>
          <w:color w:val="0E0F0F"/>
          <w:sz w:val="27"/>
        </w:rPr>
        <w:t>Deletion of accounts and credentials</w:t>
      </w:r>
    </w:p>
    <w:p>
      <w:pPr>
        <w:pStyle w:val="Heading1"/>
        <w:rPr/>
      </w:pPr>
      <w:bookmarkStart w:id="48" w:name="_Toc49"/>
      <w:r>
        <w:rPr>
          <w:rFonts w:eastAsia="Arial" w:cs="Arial"/>
          <w:b/>
          <w:color w:val="0E0F0F"/>
          <w:sz w:val="27"/>
        </w:rPr>
        <w:t>Personnel Security Incident Response</w:t>
      </w:r>
      <w:bookmarkEnd w:id="48"/>
    </w:p>
    <w:p>
      <w:pPr>
        <w:pStyle w:val="Normal"/>
        <w:pBdr/>
        <w:shd w:val="clear" w:color="FFFFFF" w:fill="FFFFFF"/>
        <w:spacing w:before="84" w:after="84"/>
        <w:ind w:left="84" w:right="84" w:hanging="0"/>
        <w:rPr/>
      </w:pPr>
      <w:r>
        <w:rPr>
          <w:rFonts w:eastAsia="Arial" w:cs="Arial"/>
          <w:color w:val="0E0F0F"/>
          <w:sz w:val="27"/>
        </w:rPr>
        <w:t>CPN will have procedures in place for responding to personnel security incidents, including:</w:t>
      </w:r>
    </w:p>
    <w:p>
      <w:pPr>
        <w:pStyle w:val="ListParagraph"/>
        <w:numPr>
          <w:ilvl w:val="0"/>
          <w:numId w:val="33"/>
        </w:numPr>
        <w:pBdr/>
        <w:shd w:val="clear" w:color="FFFFFF" w:fill="FFFFFF"/>
        <w:rPr/>
      </w:pPr>
      <w:r>
        <w:rPr>
          <w:rFonts w:eastAsia="Arial" w:cs="Arial"/>
          <w:color w:val="0E0F0F"/>
          <w:sz w:val="27"/>
        </w:rPr>
        <w:t>Unauthorized access or attempts to access CPN assets</w:t>
      </w:r>
    </w:p>
    <w:p>
      <w:pPr>
        <w:pStyle w:val="ListParagraph"/>
        <w:numPr>
          <w:ilvl w:val="0"/>
          <w:numId w:val="33"/>
        </w:numPr>
        <w:pBdr/>
        <w:shd w:val="clear" w:color="FFFFFF" w:fill="FFFFFF"/>
        <w:rPr/>
      </w:pPr>
      <w:r>
        <w:rPr>
          <w:rFonts w:eastAsia="Arial" w:cs="Arial"/>
          <w:color w:val="0E0F0F"/>
          <w:sz w:val="27"/>
        </w:rPr>
        <w:t>Misuse or unauthorized disclosure of sensitive information</w:t>
      </w:r>
    </w:p>
    <w:p>
      <w:pPr>
        <w:pStyle w:val="ListParagraph"/>
        <w:numPr>
          <w:ilvl w:val="0"/>
          <w:numId w:val="33"/>
        </w:numPr>
        <w:pBdr/>
        <w:shd w:val="clear" w:color="FFFFFF" w:fill="FFFFFF"/>
        <w:rPr/>
      </w:pPr>
      <w:r>
        <w:rPr>
          <w:rFonts w:eastAsia="Arial" w:cs="Arial"/>
          <w:color w:val="0E0F0F"/>
          <w:sz w:val="27"/>
        </w:rPr>
        <w:t>Failure to comply with security policies and procedures</w:t>
      </w:r>
    </w:p>
    <w:p>
      <w:pPr>
        <w:pStyle w:val="Heading1"/>
        <w:rPr/>
      </w:pPr>
      <w:bookmarkStart w:id="49" w:name="_Toc50"/>
      <w:r>
        <w:rPr>
          <w:rFonts w:eastAsia="Arial" w:cs="Arial"/>
          <w:b/>
          <w:color w:val="0E0F0F"/>
          <w:sz w:val="27"/>
        </w:rPr>
        <w:t>Personnel Security Policy Review and Revision</w:t>
      </w:r>
      <w:bookmarkEnd w:id="49"/>
    </w:p>
    <w:p>
      <w:pPr>
        <w:pStyle w:val="Normal"/>
        <w:pBdr/>
        <w:shd w:val="clear" w:color="FFFFFF" w:fill="FFFFFF"/>
        <w:spacing w:before="84" w:after="84"/>
        <w:ind w:left="84" w:right="84" w:hanging="0"/>
        <w:rPr/>
      </w:pPr>
      <w:r>
        <w:rPr>
          <w:rFonts w:eastAsia="Arial" w:cs="Arial"/>
          <w:color w:val="0E0F0F"/>
          <w:sz w:val="27"/>
        </w:rPr>
        <w:t>This policy will be reviewed and revised annually, or as needed, to ensure it remains effective and relevant.</w:t>
      </w:r>
    </w:p>
    <w:p>
      <w:pPr>
        <w:pStyle w:val="Heading1"/>
        <w:rPr/>
      </w:pPr>
      <w:bookmarkStart w:id="50" w:name="_Toc51"/>
      <w:r>
        <w:rPr>
          <w:rFonts w:eastAsia="Arial" w:cs="Arial"/>
          <w:b/>
          <w:color w:val="0E0F0F"/>
          <w:sz w:val="27"/>
        </w:rPr>
        <w:t>Approval</w:t>
      </w:r>
      <w:bookmarkEnd w:id="50"/>
    </w:p>
    <w:p>
      <w:pPr>
        <w:pStyle w:val="Normal"/>
        <w:pBdr/>
        <w:shd w:val="clear" w:color="FFFFFF" w:fill="FFFFFF"/>
        <w:spacing w:before="84" w:after="84"/>
        <w:ind w:left="84" w:right="84" w:hanging="0"/>
        <w:rPr/>
      </w:pPr>
      <w:r>
        <w:rPr>
          <w:rFonts w:eastAsia="Arial" w:cs="Arial"/>
          <w:color w:val="0E0F0F"/>
          <w:sz w:val="27"/>
        </w:rPr>
        <w:t>This policy was approved by Donald E. Shannon, Owner/Principal of The Contract Coach, on October 26, 2025.</w:t>
      </w:r>
    </w:p>
    <w:p>
      <w:pPr>
        <w:pStyle w:val="Normal"/>
        <w:pBdr/>
        <w:shd w:val="clear" w:color="FFFFFF" w:fill="FFFFFF"/>
        <w:spacing w:before="84" w:after="84"/>
        <w:ind w:left="84" w:right="84" w:hanging="0"/>
        <w:rPr/>
      </w:pPr>
      <w:r>
        <w:rPr>
          <w:rFonts w:eastAsia="Arial" w:cs="Arial"/>
          <w:color w:val="0E0F0F"/>
          <w:sz w:val="27"/>
        </w:rPr>
        <w:t>By following this personnel security policy, CPN can ensure that personnel with access to CPN assets are trustworthy, reliable, and capable of performing their assigned duties without compromising the confidentiality, integrity, or availability of CPN’s systems, networks, and data.</w:t>
      </w:r>
    </w:p>
    <w:p>
      <w:pPr>
        <w:pStyle w:val="Normal"/>
        <w:rPr/>
      </w:pPr>
      <w:r>
        <w:rPr/>
      </w:r>
      <w:r>
        <w:br w:type="page"/>
      </w:r>
    </w:p>
    <w:p>
      <w:pPr>
        <w:pStyle w:val="Chapter"/>
        <w:rPr>
          <w:sz w:val="36"/>
          <w:szCs w:val="36"/>
        </w:rPr>
      </w:pPr>
      <w:r>
        <w:rPr>
          <w:rFonts w:eastAsia="Arial" w:cs="Arial"/>
          <w:b/>
          <w:color w:val="0E0F0F"/>
          <w:sz w:val="36"/>
          <w:szCs w:val="36"/>
        </w:rPr>
        <w:t>Appendix 6 - Physical and Media Protection Policy</w:t>
      </w:r>
    </w:p>
    <w:p>
      <w:pPr>
        <w:pStyle w:val="Heading1"/>
        <w:rPr/>
      </w:pPr>
      <w:bookmarkStart w:id="51" w:name="_Toc52"/>
      <w:r>
        <w:rPr>
          <w:rFonts w:eastAsia="Arial" w:cs="Arial"/>
          <w:b/>
          <w:color w:val="0E0F0F"/>
          <w:sz w:val="27"/>
        </w:rPr>
        <w:t>Introduction</w:t>
      </w:r>
      <w:bookmarkEnd w:id="51"/>
    </w:p>
    <w:p>
      <w:pPr>
        <w:pStyle w:val="Normal"/>
        <w:pBdr/>
        <w:shd w:val="clear" w:color="FFFFFF" w:fill="FFFFFF"/>
        <w:spacing w:before="84" w:after="84"/>
        <w:ind w:left="84" w:right="84" w:hanging="0"/>
        <w:rPr/>
      </w:pPr>
      <w:r>
        <w:rPr>
          <w:rFonts w:eastAsia="Arial" w:cs="Arial"/>
          <w:color w:val="0E0F0F"/>
          <w:sz w:val="27"/>
        </w:rPr>
        <w:t>The CyberHygiene Production Network’s (CPN) Physical and Media Protection Policy outlines the procedures for protecting CPN’s physical assets, media, and information from unauthorized access, use, disclosure, modification, or destruction.</w:t>
      </w:r>
    </w:p>
    <w:p>
      <w:pPr>
        <w:pStyle w:val="Heading1"/>
        <w:rPr/>
      </w:pPr>
      <w:bookmarkStart w:id="52" w:name="_Toc53"/>
      <w:r>
        <w:rPr>
          <w:rFonts w:eastAsia="Arial" w:cs="Arial"/>
          <w:b/>
          <w:color w:val="0E0F0F"/>
          <w:sz w:val="27"/>
        </w:rPr>
        <w:t>Scope</w:t>
      </w:r>
      <w:bookmarkEnd w:id="52"/>
    </w:p>
    <w:p>
      <w:pPr>
        <w:pStyle w:val="Normal"/>
        <w:pBdr/>
        <w:shd w:val="clear" w:color="FFFFFF" w:fill="FFFFFF"/>
        <w:spacing w:before="84" w:after="84"/>
        <w:ind w:left="84" w:right="84" w:hanging="0"/>
        <w:rPr/>
      </w:pPr>
      <w:r>
        <w:rPr>
          <w:rFonts w:eastAsia="Arial" w:cs="Arial"/>
          <w:color w:val="0E0F0F"/>
          <w:sz w:val="27"/>
        </w:rPr>
        <w:t>This policy applies to all CPN personnel, including employees, contractors, subcontractors, vendors, and third-party service providers who have access to CPN’s physical assets, media, and information.</w:t>
      </w:r>
    </w:p>
    <w:p>
      <w:pPr>
        <w:pStyle w:val="Heading1"/>
        <w:rPr/>
      </w:pPr>
      <w:bookmarkStart w:id="53" w:name="_Toc54"/>
      <w:r>
        <w:rPr>
          <w:rFonts w:eastAsia="Arial" w:cs="Arial"/>
          <w:b/>
          <w:color w:val="0E0F0F"/>
          <w:sz w:val="27"/>
        </w:rPr>
        <w:t>Physical Security Objectives</w:t>
      </w:r>
      <w:bookmarkEnd w:id="53"/>
    </w:p>
    <w:p>
      <w:pPr>
        <w:pStyle w:val="Normal"/>
        <w:pBdr/>
        <w:shd w:val="clear" w:color="FFFFFF" w:fill="FFFFFF"/>
        <w:spacing w:before="84" w:after="84"/>
        <w:ind w:left="84" w:right="84" w:hanging="0"/>
        <w:rPr/>
      </w:pPr>
      <w:r>
        <w:rPr>
          <w:rFonts w:eastAsia="Arial" w:cs="Arial"/>
          <w:color w:val="0E0F0F"/>
          <w:sz w:val="27"/>
        </w:rPr>
        <w:t>The objectives of CPN’s Physical Security are to:</w:t>
      </w:r>
    </w:p>
    <w:p>
      <w:pPr>
        <w:pStyle w:val="ListParagraph"/>
        <w:numPr>
          <w:ilvl w:val="0"/>
          <w:numId w:val="34"/>
        </w:numPr>
        <w:pBdr/>
        <w:shd w:val="clear" w:color="FFFFFF" w:fill="FFFFFF"/>
        <w:rPr/>
      </w:pPr>
      <w:r>
        <w:rPr>
          <w:rFonts w:eastAsia="Arial" w:cs="Arial"/>
          <w:color w:val="0E0F0F"/>
          <w:sz w:val="27"/>
        </w:rPr>
        <w:t>Prevent unauthorized physical access to CPN facilities, systems, networks, and data</w:t>
      </w:r>
    </w:p>
    <w:p>
      <w:pPr>
        <w:pStyle w:val="ListParagraph"/>
        <w:numPr>
          <w:ilvl w:val="0"/>
          <w:numId w:val="34"/>
        </w:numPr>
        <w:pBdr/>
        <w:shd w:val="clear" w:color="FFFFFF" w:fill="FFFFFF"/>
        <w:rPr/>
      </w:pPr>
      <w:r>
        <w:rPr>
          <w:rFonts w:eastAsia="Arial" w:cs="Arial"/>
          <w:color w:val="0E0F0F"/>
          <w:sz w:val="27"/>
        </w:rPr>
        <w:t>Protect CPN’s physical assets from damage, theft, or loss</w:t>
      </w:r>
    </w:p>
    <w:p>
      <w:pPr>
        <w:pStyle w:val="ListParagraph"/>
        <w:numPr>
          <w:ilvl w:val="0"/>
          <w:numId w:val="34"/>
        </w:numPr>
        <w:pBdr/>
        <w:shd w:val="clear" w:color="FFFFFF" w:fill="FFFFFF"/>
        <w:rPr/>
      </w:pPr>
      <w:r>
        <w:rPr>
          <w:rFonts w:eastAsia="Arial" w:cs="Arial"/>
          <w:color w:val="0E0F0F"/>
          <w:sz w:val="27"/>
        </w:rPr>
        <w:t>Ensure the integrity and confidentiality of CPN’s information</w:t>
      </w:r>
    </w:p>
    <w:p>
      <w:pPr>
        <w:pStyle w:val="Heading1"/>
        <w:rPr/>
      </w:pPr>
      <w:bookmarkStart w:id="54" w:name="_Toc55"/>
      <w:r>
        <w:rPr>
          <w:rFonts w:eastAsia="Arial" w:cs="Arial"/>
          <w:b/>
          <w:color w:val="0E0F0F"/>
          <w:sz w:val="27"/>
        </w:rPr>
        <w:t>Physical Access Controls</w:t>
      </w:r>
      <w:bookmarkEnd w:id="54"/>
    </w:p>
    <w:p>
      <w:pPr>
        <w:pStyle w:val="Normal"/>
        <w:pBdr/>
        <w:shd w:val="clear" w:color="FFFFFF" w:fill="FFFFFF"/>
        <w:spacing w:before="84" w:after="84"/>
        <w:ind w:left="84" w:right="84" w:hanging="0"/>
        <w:rPr/>
      </w:pPr>
      <w:r>
        <w:rPr>
          <w:rFonts w:eastAsia="Arial" w:cs="Arial"/>
          <w:color w:val="0E0F0F"/>
          <w:sz w:val="27"/>
        </w:rPr>
        <w:t>CPN will implement the following physical access controls:</w:t>
      </w:r>
    </w:p>
    <w:p>
      <w:pPr>
        <w:pStyle w:val="ListParagraph"/>
        <w:numPr>
          <w:ilvl w:val="0"/>
          <w:numId w:val="35"/>
        </w:numPr>
        <w:pBdr/>
        <w:shd w:val="clear" w:color="FFFFFF" w:fill="FFFFFF"/>
        <w:rPr/>
      </w:pPr>
      <w:r>
        <w:rPr>
          <w:rFonts w:eastAsia="Arial" w:cs="Arial"/>
          <w:color w:val="0E0F0F"/>
          <w:sz w:val="27"/>
        </w:rPr>
        <w:t>Secure doors and windows with locks, alarms, and surveillance cameras</w:t>
      </w:r>
    </w:p>
    <w:p>
      <w:pPr>
        <w:pStyle w:val="ListParagraph"/>
        <w:numPr>
          <w:ilvl w:val="0"/>
          <w:numId w:val="35"/>
        </w:numPr>
        <w:pBdr/>
        <w:shd w:val="clear" w:color="FFFFFF" w:fill="FFFFFF"/>
        <w:rPr/>
      </w:pPr>
      <w:r>
        <w:rPr>
          <w:rFonts w:eastAsia="Arial" w:cs="Arial"/>
          <w:color w:val="0E0F0F"/>
          <w:sz w:val="27"/>
        </w:rPr>
        <w:t>Restricted access to sensitive areas, such as server rooms and data centers</w:t>
      </w:r>
    </w:p>
    <w:p>
      <w:pPr>
        <w:pStyle w:val="ListParagraph"/>
        <w:numPr>
          <w:ilvl w:val="0"/>
          <w:numId w:val="35"/>
        </w:numPr>
        <w:pBdr/>
        <w:shd w:val="clear" w:color="FFFFFF" w:fill="FFFFFF"/>
        <w:rPr/>
      </w:pPr>
      <w:r>
        <w:rPr>
          <w:rFonts w:eastAsia="Arial" w:cs="Arial"/>
          <w:color w:val="0E0F0F"/>
          <w:sz w:val="27"/>
        </w:rPr>
        <w:t>Biometric authentication (e.g., fingerprint or facial recognition) for high-risk areas</w:t>
      </w:r>
    </w:p>
    <w:p>
      <w:pPr>
        <w:pStyle w:val="ListParagraph"/>
        <w:numPr>
          <w:ilvl w:val="0"/>
          <w:numId w:val="35"/>
        </w:numPr>
        <w:pBdr/>
        <w:shd w:val="clear" w:color="FFFFFF" w:fill="FFFFFF"/>
        <w:rPr/>
      </w:pPr>
      <w:r>
        <w:rPr>
          <w:rFonts w:eastAsia="Arial" w:cs="Arial"/>
          <w:color w:val="0E0F0F"/>
          <w:sz w:val="27"/>
        </w:rPr>
        <w:t>Escort requirements for visitors and contractors</w:t>
      </w:r>
    </w:p>
    <w:p>
      <w:pPr>
        <w:pStyle w:val="Heading1"/>
        <w:rPr/>
      </w:pPr>
      <w:bookmarkStart w:id="55" w:name="_Toc56"/>
      <w:r>
        <w:rPr>
          <w:rFonts w:eastAsia="Arial" w:cs="Arial"/>
          <w:b/>
          <w:color w:val="0E0F0F"/>
          <w:sz w:val="27"/>
        </w:rPr>
        <w:t>Media Protection</w:t>
      </w:r>
      <w:bookmarkEnd w:id="55"/>
    </w:p>
    <w:p>
      <w:pPr>
        <w:pStyle w:val="Normal"/>
        <w:pBdr/>
        <w:shd w:val="clear" w:color="FFFFFF" w:fill="FFFFFF"/>
        <w:spacing w:before="84" w:after="84"/>
        <w:ind w:left="84" w:right="84" w:hanging="0"/>
        <w:rPr/>
      </w:pPr>
      <w:r>
        <w:rPr>
          <w:rFonts w:eastAsia="Arial" w:cs="Arial"/>
          <w:color w:val="0E0F0F"/>
          <w:sz w:val="27"/>
        </w:rPr>
        <w:t>CPN will protect media from unauthorized access, use, disclosure, modification, or destruction by implementing the following controls:</w:t>
      </w:r>
    </w:p>
    <w:p>
      <w:pPr>
        <w:pStyle w:val="ListParagraph"/>
        <w:numPr>
          <w:ilvl w:val="0"/>
          <w:numId w:val="36"/>
        </w:numPr>
        <w:pBdr/>
        <w:shd w:val="clear" w:color="FFFFFF" w:fill="FFFFFF"/>
        <w:rPr/>
      </w:pPr>
      <w:r>
        <w:rPr>
          <w:rFonts w:eastAsia="Arial" w:cs="Arial"/>
          <w:color w:val="0E0F0F"/>
          <w:sz w:val="27"/>
        </w:rPr>
        <w:t>Secure storage of media in locked cabinets, drawers, or rooms</w:t>
      </w:r>
    </w:p>
    <w:p>
      <w:pPr>
        <w:pStyle w:val="ListParagraph"/>
        <w:numPr>
          <w:ilvl w:val="0"/>
          <w:numId w:val="36"/>
        </w:numPr>
        <w:pBdr/>
        <w:shd w:val="clear" w:color="FFFFFF" w:fill="FFFFFF"/>
        <w:rPr/>
      </w:pPr>
      <w:r>
        <w:rPr>
          <w:rFonts w:eastAsia="Arial" w:cs="Arial"/>
          <w:color w:val="0E0F0F"/>
          <w:sz w:val="27"/>
        </w:rPr>
        <w:t>Encryption of media at rest using FIPS 140-2 compliant algorithms</w:t>
      </w:r>
    </w:p>
    <w:p>
      <w:pPr>
        <w:pStyle w:val="ListParagraph"/>
        <w:numPr>
          <w:ilvl w:val="0"/>
          <w:numId w:val="36"/>
        </w:numPr>
        <w:pBdr/>
        <w:shd w:val="clear" w:color="FFFFFF" w:fill="FFFFFF"/>
        <w:rPr/>
      </w:pPr>
      <w:r>
        <w:rPr>
          <w:rFonts w:eastAsia="Arial" w:cs="Arial"/>
          <w:color w:val="0E0F0F"/>
          <w:sz w:val="27"/>
        </w:rPr>
        <w:t>Sanitization of media prior to disposal or reuse</w:t>
      </w:r>
    </w:p>
    <w:p>
      <w:pPr>
        <w:pStyle w:val="ListParagraph"/>
        <w:numPr>
          <w:ilvl w:val="0"/>
          <w:numId w:val="36"/>
        </w:numPr>
        <w:pBdr/>
        <w:shd w:val="clear" w:color="FFFFFF" w:fill="FFFFFF"/>
        <w:rPr/>
      </w:pPr>
      <w:r>
        <w:rPr>
          <w:rFonts w:eastAsia="Arial" w:cs="Arial"/>
          <w:color w:val="0E0F0F"/>
          <w:sz w:val="27"/>
        </w:rPr>
        <w:t>Marking of media with CUI indicators per 32 CFR Part 2002</w:t>
      </w:r>
    </w:p>
    <w:p>
      <w:pPr>
        <w:pStyle w:val="Heading1"/>
        <w:rPr/>
      </w:pPr>
      <w:bookmarkStart w:id="56" w:name="_Toc57"/>
      <w:r>
        <w:rPr>
          <w:rFonts w:eastAsia="Arial" w:cs="Arial"/>
          <w:b/>
          <w:color w:val="0E0F0F"/>
          <w:sz w:val="27"/>
        </w:rPr>
        <w:t>Media Handling and Storage</w:t>
      </w:r>
      <w:bookmarkEnd w:id="56"/>
    </w:p>
    <w:p>
      <w:pPr>
        <w:pStyle w:val="Normal"/>
        <w:pBdr/>
        <w:shd w:val="clear" w:color="FFFFFF" w:fill="FFFFFF"/>
        <w:spacing w:before="84" w:after="84"/>
        <w:ind w:left="84" w:right="84" w:hanging="0"/>
        <w:rPr/>
      </w:pPr>
      <w:r>
        <w:rPr>
          <w:rFonts w:eastAsia="Arial" w:cs="Arial"/>
          <w:color w:val="0E0F0F"/>
          <w:sz w:val="27"/>
        </w:rPr>
        <w:t>CPN will handle and store media in accordance with the following procedures:</w:t>
      </w:r>
    </w:p>
    <w:p>
      <w:pPr>
        <w:pStyle w:val="ListParagraph"/>
        <w:numPr>
          <w:ilvl w:val="0"/>
          <w:numId w:val="37"/>
        </w:numPr>
        <w:pBdr/>
        <w:shd w:val="clear" w:color="FFFFFF" w:fill="FFFFFF"/>
        <w:rPr/>
      </w:pPr>
      <w:r>
        <w:rPr>
          <w:rFonts w:eastAsia="Arial" w:cs="Arial"/>
          <w:color w:val="0E0F0F"/>
          <w:sz w:val="27"/>
        </w:rPr>
        <w:t>Media will be handled only by authorized personnel</w:t>
      </w:r>
    </w:p>
    <w:p>
      <w:pPr>
        <w:pStyle w:val="ListParagraph"/>
        <w:numPr>
          <w:ilvl w:val="0"/>
          <w:numId w:val="37"/>
        </w:numPr>
        <w:pBdr/>
        <w:shd w:val="clear" w:color="FFFFFF" w:fill="FFFFFF"/>
        <w:rPr/>
      </w:pPr>
      <w:r>
        <w:rPr>
          <w:rFonts w:eastAsia="Arial" w:cs="Arial"/>
          <w:color w:val="0E0F0F"/>
          <w:sz w:val="27"/>
        </w:rPr>
        <w:t>Media will be stored in secure locations, such as locked cabinets or rooms</w:t>
      </w:r>
    </w:p>
    <w:p>
      <w:pPr>
        <w:pStyle w:val="ListParagraph"/>
        <w:numPr>
          <w:ilvl w:val="0"/>
          <w:numId w:val="37"/>
        </w:numPr>
        <w:pBdr/>
        <w:shd w:val="clear" w:color="FFFFFF" w:fill="FFFFFF"/>
        <w:rPr/>
      </w:pPr>
      <w:r>
        <w:rPr>
          <w:rFonts w:eastAsia="Arial" w:cs="Arial"/>
          <w:color w:val="0E0F0F"/>
          <w:sz w:val="27"/>
        </w:rPr>
        <w:t>Media will be labeled and inventoried to ensure accountability</w:t>
      </w:r>
    </w:p>
    <w:p>
      <w:pPr>
        <w:pStyle w:val="Heading1"/>
        <w:rPr/>
      </w:pPr>
      <w:bookmarkStart w:id="57" w:name="_Toc58"/>
      <w:r>
        <w:rPr>
          <w:rFonts w:eastAsia="Arial" w:cs="Arial"/>
          <w:b/>
          <w:color w:val="0E0F0F"/>
          <w:sz w:val="27"/>
        </w:rPr>
        <w:t>Media Disposal</w:t>
      </w:r>
      <w:bookmarkEnd w:id="57"/>
    </w:p>
    <w:p>
      <w:pPr>
        <w:pStyle w:val="Normal"/>
        <w:pBdr/>
        <w:shd w:val="clear" w:color="FFFFFF" w:fill="FFFFFF"/>
        <w:spacing w:before="84" w:after="84"/>
        <w:ind w:left="84" w:right="84" w:hanging="0"/>
        <w:rPr/>
      </w:pPr>
      <w:r>
        <w:rPr>
          <w:rFonts w:eastAsia="Arial" w:cs="Arial"/>
          <w:color w:val="0E0F0F"/>
          <w:sz w:val="27"/>
        </w:rPr>
        <w:t>CPN will dispose of media in accordance with the following procedures:</w:t>
      </w:r>
    </w:p>
    <w:p>
      <w:pPr>
        <w:pStyle w:val="ListParagraph"/>
        <w:numPr>
          <w:ilvl w:val="0"/>
          <w:numId w:val="38"/>
        </w:numPr>
        <w:pBdr/>
        <w:shd w:val="clear" w:color="FFFFFF" w:fill="FFFFFF"/>
        <w:rPr/>
      </w:pPr>
      <w:r>
        <w:rPr>
          <w:rFonts w:eastAsia="Arial" w:cs="Arial"/>
          <w:color w:val="0E0F0F"/>
          <w:sz w:val="27"/>
        </w:rPr>
        <w:t>Media will be sanitized prior to disposal using methods approved by the ISSO</w:t>
      </w:r>
    </w:p>
    <w:p>
      <w:pPr>
        <w:pStyle w:val="ListParagraph"/>
        <w:numPr>
          <w:ilvl w:val="0"/>
          <w:numId w:val="38"/>
        </w:numPr>
        <w:pBdr/>
        <w:shd w:val="clear" w:color="FFFFFF" w:fill="FFFFFF"/>
        <w:rPr/>
      </w:pPr>
      <w:r>
        <w:rPr>
          <w:rFonts w:eastAsia="Arial" w:cs="Arial"/>
          <w:color w:val="0E0F0F"/>
          <w:sz w:val="27"/>
        </w:rPr>
        <w:t>Media will be disposed of through a secure destruction process, such as shredding or incineration</w:t>
      </w:r>
    </w:p>
    <w:p>
      <w:pPr>
        <w:pStyle w:val="Heading1"/>
        <w:rPr/>
      </w:pPr>
      <w:bookmarkStart w:id="58" w:name="_Toc59"/>
      <w:r>
        <w:rPr>
          <w:rFonts w:eastAsia="Arial" w:cs="Arial"/>
          <w:b/>
          <w:color w:val="0E0F0F"/>
          <w:sz w:val="27"/>
        </w:rPr>
        <w:t>Physical Security Incident Response</w:t>
      </w:r>
      <w:bookmarkEnd w:id="58"/>
    </w:p>
    <w:p>
      <w:pPr>
        <w:pStyle w:val="Normal"/>
        <w:pBdr/>
        <w:shd w:val="clear" w:color="FFFFFF" w:fill="FFFFFF"/>
        <w:spacing w:before="84" w:after="84"/>
        <w:ind w:left="84" w:right="84" w:hanging="0"/>
        <w:rPr/>
      </w:pPr>
      <w:r>
        <w:rPr>
          <w:rFonts w:eastAsia="Arial" w:cs="Arial"/>
          <w:color w:val="0E0F0F"/>
          <w:sz w:val="27"/>
        </w:rPr>
        <w:t>CPN will have procedures in place for responding to physical security incidents, including:</w:t>
      </w:r>
    </w:p>
    <w:p>
      <w:pPr>
        <w:pStyle w:val="ListParagraph"/>
        <w:numPr>
          <w:ilvl w:val="0"/>
          <w:numId w:val="39"/>
        </w:numPr>
        <w:pBdr/>
        <w:shd w:val="clear" w:color="FFFFFF" w:fill="FFFFFF"/>
        <w:rPr/>
      </w:pPr>
      <w:r>
        <w:rPr>
          <w:rFonts w:eastAsia="Arial" w:cs="Arial"/>
          <w:color w:val="0E0F0F"/>
          <w:sz w:val="27"/>
        </w:rPr>
        <w:t>Unauthorized access or attempts to access CPN facilities or systems</w:t>
      </w:r>
    </w:p>
    <w:p>
      <w:pPr>
        <w:pStyle w:val="ListParagraph"/>
        <w:numPr>
          <w:ilvl w:val="0"/>
          <w:numId w:val="39"/>
        </w:numPr>
        <w:pBdr/>
        <w:shd w:val="clear" w:color="FFFFFF" w:fill="FFFFFF"/>
        <w:rPr/>
      </w:pPr>
      <w:r>
        <w:rPr>
          <w:rFonts w:eastAsia="Arial" w:cs="Arial"/>
          <w:color w:val="0E0F0F"/>
          <w:sz w:val="27"/>
        </w:rPr>
        <w:t>Theft or loss of CPN assets or media</w:t>
      </w:r>
    </w:p>
    <w:p>
      <w:pPr>
        <w:pStyle w:val="ListParagraph"/>
        <w:numPr>
          <w:ilvl w:val="0"/>
          <w:numId w:val="39"/>
        </w:numPr>
        <w:pBdr/>
        <w:shd w:val="clear" w:color="FFFFFF" w:fill="FFFFFF"/>
        <w:rPr/>
      </w:pPr>
      <w:r>
        <w:rPr>
          <w:rFonts w:eastAsia="Arial" w:cs="Arial"/>
          <w:color w:val="0E0F0F"/>
          <w:sz w:val="27"/>
        </w:rPr>
        <w:t>Damage to CPN facilities or systems</w:t>
      </w:r>
    </w:p>
    <w:p>
      <w:pPr>
        <w:pStyle w:val="Heading1"/>
        <w:rPr/>
      </w:pPr>
      <w:bookmarkStart w:id="59" w:name="_Toc60"/>
      <w:r>
        <w:rPr>
          <w:rFonts w:eastAsia="Arial" w:cs="Arial"/>
          <w:b/>
          <w:color w:val="0E0F0F"/>
          <w:sz w:val="27"/>
        </w:rPr>
        <w:t>Physical and Media Protection Policy Review and Revision</w:t>
      </w:r>
      <w:bookmarkEnd w:id="59"/>
    </w:p>
    <w:p>
      <w:pPr>
        <w:pStyle w:val="Normal"/>
        <w:pBdr/>
        <w:shd w:val="clear" w:color="FFFFFF" w:fill="FFFFFF"/>
        <w:spacing w:before="84" w:after="84"/>
        <w:ind w:left="84" w:right="84" w:hanging="0"/>
        <w:rPr/>
      </w:pPr>
      <w:r>
        <w:rPr>
          <w:rFonts w:eastAsia="Arial" w:cs="Arial"/>
          <w:color w:val="0E0F0F"/>
          <w:sz w:val="27"/>
        </w:rPr>
        <w:t>This policy will be reviewed and revised annually, or as needed, to ensure it remains effective and relevant.</w:t>
      </w:r>
    </w:p>
    <w:p>
      <w:pPr>
        <w:pStyle w:val="Heading1"/>
        <w:rPr/>
      </w:pPr>
      <w:bookmarkStart w:id="60" w:name="_Toc61"/>
      <w:r>
        <w:rPr>
          <w:rFonts w:eastAsia="Arial" w:cs="Arial"/>
          <w:b/>
          <w:color w:val="0E0F0F"/>
          <w:sz w:val="27"/>
        </w:rPr>
        <w:t>Approval</w:t>
      </w:r>
      <w:bookmarkEnd w:id="60"/>
    </w:p>
    <w:p>
      <w:pPr>
        <w:pStyle w:val="Normal"/>
        <w:pBdr/>
        <w:shd w:val="clear" w:color="FFFFFF" w:fill="FFFFFF"/>
        <w:spacing w:before="84" w:after="84"/>
        <w:ind w:left="84" w:right="84" w:hanging="0"/>
        <w:rPr/>
      </w:pPr>
      <w:r>
        <w:rPr>
          <w:rFonts w:eastAsia="Arial" w:cs="Arial"/>
          <w:color w:val="0E0F0F"/>
          <w:sz w:val="27"/>
        </w:rPr>
        <w:t>This policy was approved by Donald E. Shannon, Owner/Principal of The Contract Coach, on October 26, 2025.</w:t>
      </w:r>
    </w:p>
    <w:p>
      <w:pPr>
        <w:pStyle w:val="Normal"/>
        <w:pBdr/>
        <w:shd w:val="clear" w:color="FFFFFF" w:fill="FFFFFF"/>
        <w:spacing w:before="84" w:after="84"/>
        <w:ind w:left="84" w:right="84" w:hanging="0"/>
        <w:rPr>
          <w:rFonts w:ascii="Arial" w:hAnsi="Arial" w:eastAsia="Arial" w:cs="Arial"/>
          <w:color w:val="0E0F0F"/>
          <w:sz w:val="27"/>
          <w:szCs w:val="27"/>
        </w:rPr>
      </w:pPr>
      <w:r>
        <w:rPr>
          <w:rFonts w:eastAsia="Arial" w:cs="Arial"/>
          <w:color w:val="0E0F0F"/>
          <w:sz w:val="27"/>
        </w:rPr>
        <w:t>By following this physical and media protection policy, CPN can ensure the confidentiality, integrity, and availability of its systems, networks, and data, as well as protect its physical assets from unauthorized access, use, disclosure, modification, or destruction.</w:t>
      </w:r>
    </w:p>
    <w:p>
      <w:pPr>
        <w:pStyle w:val="Normal"/>
        <w:rPr>
          <w:rFonts w:ascii="Arial" w:hAnsi="Arial" w:eastAsia="Arial" w:cs="Arial"/>
          <w:sz w:val="27"/>
          <w:szCs w:val="27"/>
        </w:rPr>
      </w:pPr>
      <w:r>
        <w:rPr>
          <w:rFonts w:eastAsia="Arial" w:cs="Arial"/>
          <w:sz w:val="27"/>
          <w:szCs w:val="27"/>
        </w:rPr>
      </w:r>
      <w:r>
        <w:br w:type="page"/>
      </w:r>
    </w:p>
    <w:p>
      <w:pPr>
        <w:pStyle w:val="Chapter"/>
        <w:rPr>
          <w:sz w:val="36"/>
          <w:szCs w:val="36"/>
        </w:rPr>
      </w:pPr>
      <w:r>
        <w:rPr>
          <w:rFonts w:eastAsia="Arial" w:cs="Arial"/>
          <w:b/>
          <w:color w:val="0E0F0F"/>
          <w:sz w:val="36"/>
          <w:szCs w:val="36"/>
        </w:rPr>
        <w:t>Appendix 7 - Configuration and Vulnerability Management Policy</w:t>
      </w:r>
    </w:p>
    <w:p>
      <w:pPr>
        <w:pStyle w:val="Heading1"/>
        <w:rPr/>
      </w:pPr>
      <w:bookmarkStart w:id="61" w:name="_Toc62"/>
      <w:r>
        <w:rPr>
          <w:rFonts w:eastAsia="Arial" w:cs="Arial"/>
          <w:b/>
          <w:color w:val="0E0F0F"/>
          <w:sz w:val="27"/>
        </w:rPr>
        <w:t>Introduction</w:t>
      </w:r>
      <w:bookmarkEnd w:id="61"/>
    </w:p>
    <w:p>
      <w:pPr>
        <w:pStyle w:val="Normal"/>
        <w:pBdr/>
        <w:shd w:val="clear" w:color="FFFFFF" w:fill="FFFFFF"/>
        <w:spacing w:before="84" w:after="84"/>
        <w:ind w:left="84" w:right="84" w:hanging="0"/>
        <w:rPr/>
      </w:pPr>
      <w:r>
        <w:rPr>
          <w:rFonts w:eastAsia="Arial" w:cs="Arial"/>
          <w:color w:val="0E0F0F"/>
          <w:sz w:val="27"/>
        </w:rPr>
        <w:t>The CyberHygiene Production Network’s (CPN) Configuration and Vulnerability Management Policy outlines the procedures for managing CPN’s system configurations, identifying and remediating vulnerabilities, and ensuring compliance with NIST SP 800-171 Rev 2 requirements.</w:t>
      </w:r>
    </w:p>
    <w:p>
      <w:pPr>
        <w:pStyle w:val="Heading1"/>
        <w:rPr/>
      </w:pPr>
      <w:bookmarkStart w:id="62" w:name="_Toc63"/>
      <w:r>
        <w:rPr>
          <w:rFonts w:eastAsia="Arial" w:cs="Arial"/>
          <w:b/>
          <w:color w:val="0E0F0F"/>
          <w:sz w:val="27"/>
        </w:rPr>
        <w:t>Scope</w:t>
      </w:r>
      <w:bookmarkEnd w:id="62"/>
    </w:p>
    <w:p>
      <w:pPr>
        <w:pStyle w:val="Normal"/>
        <w:pBdr/>
        <w:shd w:val="clear" w:color="FFFFFF" w:fill="FFFFFF"/>
        <w:spacing w:before="84" w:after="84"/>
        <w:ind w:left="84" w:right="84" w:hanging="0"/>
        <w:rPr/>
      </w:pPr>
      <w:r>
        <w:rPr>
          <w:rFonts w:eastAsia="Arial" w:cs="Arial"/>
          <w:color w:val="0E0F0F"/>
          <w:sz w:val="27"/>
        </w:rPr>
        <w:t>This policy applies to all CPN personnel, including employees, contractors, subcontractors, vendors, and third-party service providers who have access to CPN systems, networks, and data.</w:t>
      </w:r>
    </w:p>
    <w:p>
      <w:pPr>
        <w:pStyle w:val="Heading1"/>
        <w:rPr/>
      </w:pPr>
      <w:bookmarkStart w:id="63" w:name="_Toc64"/>
      <w:r>
        <w:rPr>
          <w:rFonts w:eastAsia="Arial" w:cs="Arial"/>
          <w:b/>
          <w:color w:val="0E0F0F"/>
          <w:sz w:val="27"/>
        </w:rPr>
        <w:t>Configuration Management Objectives</w:t>
      </w:r>
      <w:bookmarkEnd w:id="63"/>
    </w:p>
    <w:p>
      <w:pPr>
        <w:pStyle w:val="Normal"/>
        <w:pBdr/>
        <w:shd w:val="clear" w:color="FFFFFF" w:fill="FFFFFF"/>
        <w:spacing w:before="84" w:after="84"/>
        <w:ind w:left="84" w:right="84" w:hanging="0"/>
        <w:rPr/>
      </w:pPr>
      <w:r>
        <w:rPr>
          <w:rFonts w:eastAsia="Arial" w:cs="Arial"/>
          <w:color w:val="0E0F0F"/>
          <w:sz w:val="27"/>
        </w:rPr>
        <w:t>The objectives of CPN’s Configuration Management are to:</w:t>
      </w:r>
    </w:p>
    <w:p>
      <w:pPr>
        <w:pStyle w:val="ListParagraph"/>
        <w:numPr>
          <w:ilvl w:val="0"/>
          <w:numId w:val="42"/>
        </w:numPr>
        <w:pBdr/>
        <w:shd w:val="clear" w:color="FFFFFF" w:fill="FFFFFF"/>
        <w:rPr/>
      </w:pPr>
      <w:r>
        <w:rPr>
          <w:rFonts w:eastAsia="Arial" w:cs="Arial"/>
          <w:color w:val="0E0F0F"/>
          <w:sz w:val="27"/>
        </w:rPr>
        <w:t>Ensure accurate and up-to-date system configuration documentation</w:t>
      </w:r>
    </w:p>
    <w:p>
      <w:pPr>
        <w:pStyle w:val="ListParagraph"/>
        <w:numPr>
          <w:ilvl w:val="0"/>
          <w:numId w:val="42"/>
        </w:numPr>
        <w:pBdr/>
        <w:shd w:val="clear" w:color="FFFFFF" w:fill="FFFFFF"/>
        <w:rPr/>
      </w:pPr>
      <w:r>
        <w:rPr>
          <w:rFonts w:eastAsia="Arial" w:cs="Arial"/>
          <w:color w:val="0E0F0F"/>
          <w:sz w:val="27"/>
        </w:rPr>
        <w:t>Maintain a consistent and standardized system configuration across all systems and networks</w:t>
      </w:r>
    </w:p>
    <w:p>
      <w:pPr>
        <w:pStyle w:val="ListParagraph"/>
        <w:numPr>
          <w:ilvl w:val="0"/>
          <w:numId w:val="42"/>
        </w:numPr>
        <w:pBdr/>
        <w:shd w:val="clear" w:color="FFFFFF" w:fill="FFFFFF"/>
        <w:rPr/>
      </w:pPr>
      <w:r>
        <w:rPr>
          <w:rFonts w:eastAsia="Arial" w:cs="Arial"/>
          <w:color w:val="0E0F0F"/>
          <w:sz w:val="27"/>
        </w:rPr>
        <w:t>Identify and remediate configuration vulnerabilities and weaknesses</w:t>
      </w:r>
    </w:p>
    <w:p>
      <w:pPr>
        <w:pStyle w:val="Heading1"/>
        <w:rPr/>
      </w:pPr>
      <w:bookmarkStart w:id="64" w:name="_Toc65"/>
      <w:r>
        <w:rPr>
          <w:rFonts w:eastAsia="Arial" w:cs="Arial"/>
          <w:b/>
          <w:color w:val="0E0F0F"/>
          <w:sz w:val="27"/>
        </w:rPr>
        <w:t>Configuration Management Procedures</w:t>
      </w:r>
      <w:bookmarkEnd w:id="64"/>
    </w:p>
    <w:p>
      <w:pPr>
        <w:pStyle w:val="Normal"/>
        <w:pBdr/>
        <w:shd w:val="clear" w:color="FFFFFF" w:fill="FFFFFF"/>
        <w:spacing w:before="84" w:after="84"/>
        <w:ind w:left="84" w:right="84" w:hanging="0"/>
        <w:rPr/>
      </w:pPr>
      <w:r>
        <w:rPr>
          <w:rFonts w:eastAsia="Arial" w:cs="Arial"/>
          <w:color w:val="0E0F0F"/>
          <w:sz w:val="27"/>
        </w:rPr>
        <w:t>CPN will implement the following configuration management procedures:</w:t>
      </w:r>
    </w:p>
    <w:p>
      <w:pPr>
        <w:pStyle w:val="ListParagraph"/>
        <w:numPr>
          <w:ilvl w:val="0"/>
          <w:numId w:val="43"/>
        </w:numPr>
        <w:pBdr/>
        <w:shd w:val="clear" w:color="FFFFFF" w:fill="FFFFFF"/>
        <w:rPr/>
      </w:pPr>
      <w:r>
        <w:rPr>
          <w:rFonts w:eastAsia="Arial" w:cs="Arial"/>
          <w:color w:val="0E0F0F"/>
          <w:sz w:val="27"/>
        </w:rPr>
        <w:t>System configuration documentation will be maintained in a centralized repository, updated regularly, and reviewed quarterly</w:t>
      </w:r>
    </w:p>
    <w:p>
      <w:pPr>
        <w:pStyle w:val="ListParagraph"/>
        <w:numPr>
          <w:ilvl w:val="0"/>
          <w:numId w:val="43"/>
        </w:numPr>
        <w:pBdr/>
        <w:shd w:val="clear" w:color="FFFFFF" w:fill="FFFFFF"/>
        <w:rPr/>
      </w:pPr>
      <w:r>
        <w:rPr>
          <w:rFonts w:eastAsia="Arial" w:cs="Arial"/>
          <w:color w:val="0E0F0F"/>
          <w:sz w:val="27"/>
        </w:rPr>
        <w:t>Standardized system configurations will be developed and implemented for all systems and networks</w:t>
      </w:r>
    </w:p>
    <w:p>
      <w:pPr>
        <w:pStyle w:val="ListParagraph"/>
        <w:numPr>
          <w:ilvl w:val="0"/>
          <w:numId w:val="43"/>
        </w:numPr>
        <w:pBdr/>
        <w:shd w:val="clear" w:color="FFFFFF" w:fill="FFFFFF"/>
        <w:rPr/>
      </w:pPr>
      <w:r>
        <w:rPr>
          <w:rFonts w:eastAsia="Arial" w:cs="Arial"/>
          <w:color w:val="0E0F0F"/>
          <w:sz w:val="27"/>
        </w:rPr>
        <w:t>Configuration changes will be approved by the ISSO and documented in the change management process</w:t>
      </w:r>
    </w:p>
    <w:p>
      <w:pPr>
        <w:pStyle w:val="ListParagraph"/>
        <w:numPr>
          <w:ilvl w:val="0"/>
          <w:numId w:val="43"/>
        </w:numPr>
        <w:pBdr/>
        <w:shd w:val="clear" w:color="FFFFFF" w:fill="FFFFFF"/>
        <w:rPr/>
      </w:pPr>
      <w:r>
        <w:rPr>
          <w:rFonts w:eastAsia="Arial" w:cs="Arial"/>
          <w:color w:val="0E0F0F"/>
          <w:sz w:val="27"/>
        </w:rPr>
        <w:t>Automated configuration monitoring tools will be used to detect and report on unauthorized configuration changes</w:t>
      </w:r>
    </w:p>
    <w:p>
      <w:pPr>
        <w:pStyle w:val="Heading1"/>
        <w:rPr/>
      </w:pPr>
      <w:bookmarkStart w:id="65" w:name="_Toc66"/>
      <w:r>
        <w:rPr>
          <w:rFonts w:eastAsia="Arial" w:cs="Arial"/>
          <w:b/>
          <w:color w:val="0E0F0F"/>
          <w:sz w:val="27"/>
        </w:rPr>
        <w:t>Vulnerability Management Objectives</w:t>
      </w:r>
      <w:bookmarkEnd w:id="65"/>
    </w:p>
    <w:p>
      <w:pPr>
        <w:pStyle w:val="Normal"/>
        <w:pBdr/>
        <w:shd w:val="clear" w:color="FFFFFF" w:fill="FFFFFF"/>
        <w:spacing w:before="84" w:after="84"/>
        <w:ind w:left="84" w:right="84" w:hanging="0"/>
        <w:rPr/>
      </w:pPr>
      <w:r>
        <w:rPr>
          <w:rFonts w:eastAsia="Arial" w:cs="Arial"/>
          <w:color w:val="0E0F0F"/>
          <w:sz w:val="27"/>
        </w:rPr>
        <w:t>The objectives of CPN’s Vulnerability Management are to:</w:t>
      </w:r>
    </w:p>
    <w:p>
      <w:pPr>
        <w:pStyle w:val="ListParagraph"/>
        <w:numPr>
          <w:ilvl w:val="0"/>
          <w:numId w:val="44"/>
        </w:numPr>
        <w:pBdr/>
        <w:shd w:val="clear" w:color="FFFFFF" w:fill="FFFFFF"/>
        <w:rPr/>
      </w:pPr>
      <w:r>
        <w:rPr>
          <w:rFonts w:eastAsia="Arial" w:cs="Arial"/>
          <w:color w:val="0E0F0F"/>
          <w:sz w:val="27"/>
        </w:rPr>
        <w:t>Identify and prioritize vulnerabilities in CPN systems, networks, and applications</w:t>
      </w:r>
    </w:p>
    <w:p>
      <w:pPr>
        <w:pStyle w:val="ListParagraph"/>
        <w:numPr>
          <w:ilvl w:val="0"/>
          <w:numId w:val="44"/>
        </w:numPr>
        <w:pBdr/>
        <w:shd w:val="clear" w:color="FFFFFF" w:fill="FFFFFF"/>
        <w:rPr/>
      </w:pPr>
      <w:r>
        <w:rPr>
          <w:rFonts w:eastAsia="Arial" w:cs="Arial"/>
          <w:color w:val="0E0F0F"/>
          <w:sz w:val="27"/>
        </w:rPr>
        <w:t>Remediate or mitigate identified vulnerabilities within a reasonable time frame</w:t>
      </w:r>
    </w:p>
    <w:p>
      <w:pPr>
        <w:pStyle w:val="ListParagraph"/>
        <w:numPr>
          <w:ilvl w:val="0"/>
          <w:numId w:val="44"/>
        </w:numPr>
        <w:pBdr/>
        <w:shd w:val="clear" w:color="FFFFFF" w:fill="FFFFFF"/>
        <w:rPr/>
      </w:pPr>
      <w:r>
        <w:rPr>
          <w:rFonts w:eastAsia="Arial" w:cs="Arial"/>
          <w:color w:val="0E0F0F"/>
          <w:sz w:val="27"/>
        </w:rPr>
        <w:t>Ensure compliance with NIST SP 800-171 Rev 2 vulnerability management requirements</w:t>
      </w:r>
    </w:p>
    <w:p>
      <w:pPr>
        <w:pStyle w:val="Heading1"/>
        <w:rPr/>
      </w:pPr>
      <w:bookmarkStart w:id="66" w:name="_Toc67"/>
      <w:r>
        <w:rPr>
          <w:rFonts w:eastAsia="Arial" w:cs="Arial"/>
          <w:b/>
          <w:color w:val="0E0F0F"/>
          <w:sz w:val="27"/>
        </w:rPr>
        <w:t>Vulnerability Management Procedures</w:t>
      </w:r>
      <w:bookmarkEnd w:id="66"/>
    </w:p>
    <w:p>
      <w:pPr>
        <w:pStyle w:val="Normal"/>
        <w:pBdr/>
        <w:shd w:val="clear" w:color="FFFFFF" w:fill="FFFFFF"/>
        <w:spacing w:before="84" w:after="84"/>
        <w:ind w:left="84" w:right="84" w:hanging="0"/>
        <w:rPr/>
      </w:pPr>
      <w:r>
        <w:rPr>
          <w:rFonts w:eastAsia="Arial" w:cs="Arial"/>
          <w:color w:val="0E0F0F"/>
          <w:sz w:val="27"/>
        </w:rPr>
        <w:t>CPN will implement the following vulnerability management procedures:</w:t>
      </w:r>
    </w:p>
    <w:p>
      <w:pPr>
        <w:pStyle w:val="ListParagraph"/>
        <w:numPr>
          <w:ilvl w:val="0"/>
          <w:numId w:val="45"/>
        </w:numPr>
        <w:pBdr/>
        <w:shd w:val="clear" w:color="FFFFFF" w:fill="FFFFFF"/>
        <w:rPr/>
      </w:pPr>
      <w:r>
        <w:rPr>
          <w:rFonts w:eastAsia="Arial" w:cs="Arial"/>
          <w:color w:val="0E0F0F"/>
          <w:sz w:val="27"/>
        </w:rPr>
        <w:t>Vulnerability scanning will be performed quarterly, or as needed, using a combination of tools</w:t>
      </w:r>
    </w:p>
    <w:p>
      <w:pPr>
        <w:pStyle w:val="ListParagraph"/>
        <w:numPr>
          <w:ilvl w:val="0"/>
          <w:numId w:val="45"/>
        </w:numPr>
        <w:pBdr/>
        <w:shd w:val="clear" w:color="FFFFFF" w:fill="FFFFFF"/>
        <w:rPr/>
      </w:pPr>
      <w:r>
        <w:rPr>
          <w:rFonts w:eastAsia="Arial" w:cs="Arial"/>
          <w:color w:val="0E0F0F"/>
          <w:sz w:val="27"/>
        </w:rPr>
        <w:t>Identified vulnerabilities will be prioritized based on risk and impact to CPN operations</w:t>
      </w:r>
    </w:p>
    <w:p>
      <w:pPr>
        <w:pStyle w:val="ListParagraph"/>
        <w:numPr>
          <w:ilvl w:val="0"/>
          <w:numId w:val="45"/>
        </w:numPr>
        <w:pBdr/>
        <w:shd w:val="clear" w:color="FFFFFF" w:fill="FFFFFF"/>
        <w:rPr/>
      </w:pPr>
      <w:r>
        <w:rPr>
          <w:rFonts w:eastAsia="Arial" w:cs="Arial"/>
          <w:color w:val="0E0F0F"/>
          <w:sz w:val="27"/>
        </w:rPr>
        <w:t>Remediation plans will be developed and implemented for high-priority vulnerabilities within 30 days of identification</w:t>
      </w:r>
    </w:p>
    <w:p>
      <w:pPr>
        <w:pStyle w:val="ListParagraph"/>
        <w:numPr>
          <w:ilvl w:val="0"/>
          <w:numId w:val="45"/>
        </w:numPr>
        <w:pBdr/>
        <w:shd w:val="clear" w:color="FFFFFF" w:fill="FFFFFF"/>
        <w:rPr/>
      </w:pPr>
      <w:r>
        <w:rPr>
          <w:rFonts w:eastAsia="Arial" w:cs="Arial"/>
          <w:color w:val="0E0F0F"/>
          <w:sz w:val="27"/>
        </w:rPr>
        <w:t>Low-priority vulnerabilities will be remediated within 60 days of identification</w:t>
      </w:r>
    </w:p>
    <w:p>
      <w:pPr>
        <w:pStyle w:val="ListParagraph"/>
        <w:numPr>
          <w:ilvl w:val="0"/>
          <w:numId w:val="45"/>
        </w:numPr>
        <w:pBdr/>
        <w:shd w:val="clear" w:color="FFFFFF" w:fill="FFFFFF"/>
        <w:rPr/>
      </w:pPr>
      <w:r>
        <w:rPr>
          <w:rFonts w:eastAsia="Arial" w:cs="Arial"/>
          <w:color w:val="0E0F0F"/>
          <w:sz w:val="27"/>
        </w:rPr>
        <w:t>Vulnerability scanning results will be reviewed and approved by the ISSO</w:t>
      </w:r>
    </w:p>
    <w:p>
      <w:pPr>
        <w:pStyle w:val="Heading1"/>
        <w:rPr/>
      </w:pPr>
      <w:bookmarkStart w:id="67" w:name="_Toc68"/>
      <w:r>
        <w:rPr>
          <w:rFonts w:eastAsia="Arial" w:cs="Arial"/>
          <w:b/>
          <w:color w:val="0E0F0F"/>
          <w:sz w:val="27"/>
        </w:rPr>
        <w:t>Vulnerability Scanning Tools</w:t>
      </w:r>
      <w:bookmarkEnd w:id="67"/>
    </w:p>
    <w:p>
      <w:pPr>
        <w:pStyle w:val="Normal"/>
        <w:pBdr/>
        <w:shd w:val="clear" w:color="FFFFFF" w:fill="FFFFFF"/>
        <w:spacing w:before="84" w:after="84"/>
        <w:ind w:left="84" w:right="84" w:hanging="0"/>
        <w:rPr/>
      </w:pPr>
      <w:r>
        <w:rPr>
          <w:rFonts w:eastAsia="Arial" w:cs="Arial"/>
          <w:color w:val="0E0F0F"/>
          <w:sz w:val="27"/>
        </w:rPr>
        <w:t>CPN will use a combination of tools for vulnerability scanning, which includes:</w:t>
      </w:r>
    </w:p>
    <w:p>
      <w:pPr>
        <w:pStyle w:val="ListParagraph"/>
        <w:numPr>
          <w:ilvl w:val="0"/>
          <w:numId w:val="46"/>
        </w:numPr>
        <w:pBdr/>
        <w:shd w:val="clear" w:color="FFFFFF" w:fill="FFFFFF"/>
        <w:rPr/>
      </w:pPr>
      <w:r>
        <w:rPr>
          <w:rFonts w:eastAsia="Arial" w:cs="Arial"/>
          <w:b/>
          <w:color w:val="0E0F0F"/>
          <w:sz w:val="27"/>
        </w:rPr>
        <w:t>Wazuh</w:t>
      </w:r>
      <w:r>
        <w:rPr>
          <w:rFonts w:eastAsia="Arial" w:cs="Arial"/>
          <w:color w:val="0E0F0F"/>
          <w:sz w:val="27"/>
        </w:rPr>
        <w:t>: Real-time threat detection, log monitoring, and incident response capabilities to identify potential security threats.</w:t>
      </w:r>
    </w:p>
    <w:p>
      <w:pPr>
        <w:pStyle w:val="ListParagraph"/>
        <w:numPr>
          <w:ilvl w:val="0"/>
          <w:numId w:val="46"/>
        </w:numPr>
        <w:pBdr/>
        <w:shd w:val="clear" w:color="FFFFFF" w:fill="FFFFFF"/>
        <w:rPr/>
      </w:pPr>
      <w:r>
        <w:rPr>
          <w:rFonts w:eastAsia="Arial" w:cs="Arial"/>
          <w:b/>
          <w:color w:val="0E0F0F"/>
          <w:sz w:val="27"/>
        </w:rPr>
        <w:t>ClamAV</w:t>
      </w:r>
      <w:r>
        <w:rPr>
          <w:rFonts w:eastAsia="Arial" w:cs="Arial"/>
          <w:color w:val="0E0F0F"/>
          <w:sz w:val="27"/>
        </w:rPr>
        <w:t>: Anti-virus scanning to detect and prevent malware infections on CPN systems and networks.</w:t>
      </w:r>
    </w:p>
    <w:p>
      <w:pPr>
        <w:pStyle w:val="ListParagraph"/>
        <w:numPr>
          <w:ilvl w:val="0"/>
          <w:numId w:val="46"/>
        </w:numPr>
        <w:pBdr/>
        <w:shd w:val="clear" w:color="FFFFFF" w:fill="FFFFFF"/>
        <w:rPr/>
      </w:pPr>
      <w:r>
        <w:rPr>
          <w:rFonts w:eastAsia="Arial" w:cs="Arial"/>
          <w:b/>
          <w:color w:val="0E0F0F"/>
          <w:sz w:val="27"/>
        </w:rPr>
        <w:t>FreshClam</w:t>
      </w:r>
      <w:r>
        <w:rPr>
          <w:rFonts w:eastAsia="Arial" w:cs="Arial"/>
          <w:color w:val="0E0F0F"/>
          <w:sz w:val="27"/>
        </w:rPr>
        <w:t>: Automated updates of ClamAV virus signatures to ensure the latest threat intelligence is used for anti-virus scanning.</w:t>
      </w:r>
    </w:p>
    <w:p>
      <w:pPr>
        <w:pStyle w:val="ListParagraph"/>
        <w:numPr>
          <w:ilvl w:val="0"/>
          <w:numId w:val="46"/>
        </w:numPr>
        <w:pBdr/>
        <w:shd w:val="clear" w:color="FFFFFF" w:fill="FFFFFF"/>
        <w:rPr/>
      </w:pPr>
      <w:r>
        <w:rPr>
          <w:rFonts w:eastAsia="Arial" w:cs="Arial"/>
          <w:b/>
          <w:color w:val="0E0F0F"/>
          <w:sz w:val="27"/>
        </w:rPr>
        <w:t>OpenSCAP</w:t>
      </w:r>
      <w:r>
        <w:rPr>
          <w:rFonts w:eastAsia="Arial" w:cs="Arial"/>
          <w:color w:val="0E0F0F"/>
          <w:sz w:val="27"/>
        </w:rPr>
        <w:t>: Compliance scanning using OpenSCAP’s CUI profile (105 checks) to identify vulnerabilities and misconfigurations in CPN systems and networks.</w:t>
      </w:r>
    </w:p>
    <w:p>
      <w:pPr>
        <w:pStyle w:val="ListParagraph"/>
        <w:numPr>
          <w:ilvl w:val="0"/>
          <w:numId w:val="46"/>
        </w:numPr>
        <w:pBdr/>
        <w:shd w:val="clear" w:color="FFFFFF" w:fill="FFFFFF"/>
        <w:rPr/>
      </w:pPr>
      <w:r>
        <w:rPr>
          <w:rFonts w:eastAsia="Arial" w:cs="Arial"/>
          <w:b/>
          <w:color w:val="0E0F0F"/>
          <w:sz w:val="27"/>
        </w:rPr>
        <w:t>Suridata IPS</w:t>
      </w:r>
      <w:r>
        <w:rPr>
          <w:rFonts w:eastAsia="Arial" w:cs="Arial"/>
          <w:color w:val="0E0F0F"/>
          <w:sz w:val="27"/>
        </w:rPr>
        <w:t>: Intrusion prevention system to detect and prevent malicious network traffic.</w:t>
      </w:r>
    </w:p>
    <w:p>
      <w:pPr>
        <w:pStyle w:val="Normal"/>
        <w:pBdr/>
        <w:shd w:val="clear" w:color="FFFFFF" w:fill="FFFFFF"/>
        <w:spacing w:before="84" w:after="84"/>
        <w:ind w:left="84" w:right="84" w:hanging="0"/>
        <w:rPr/>
      </w:pPr>
      <w:r>
        <w:rPr>
          <w:rFonts w:eastAsia="Arial" w:cs="Arial"/>
          <w:color w:val="0E0F0F"/>
          <w:sz w:val="27"/>
        </w:rPr>
        <w:t>These tools will be used in conjunction with each other to provide comprehensive vulnerability scanning and identification of potential security threats. The outputs from these tools will be reviewed and analyzed by the ISSO and other authorized personnel to prioritize remediation efforts and ensure compliance with NIST SP 800-171 Rev 2 requirements.</w:t>
      </w:r>
    </w:p>
    <w:p>
      <w:pPr>
        <w:pStyle w:val="Heading1"/>
        <w:rPr/>
      </w:pPr>
      <w:bookmarkStart w:id="68" w:name="_Toc69"/>
      <w:r>
        <w:rPr>
          <w:rFonts w:eastAsia="Arial" w:cs="Arial"/>
          <w:b/>
          <w:color w:val="0E0F0F"/>
          <w:sz w:val="27"/>
        </w:rPr>
        <w:t>Vulnerability Remediation</w:t>
      </w:r>
      <w:bookmarkEnd w:id="68"/>
    </w:p>
    <w:p>
      <w:pPr>
        <w:pStyle w:val="Normal"/>
        <w:pBdr/>
        <w:shd w:val="clear" w:color="FFFFFF" w:fill="FFFFFF"/>
        <w:spacing w:before="84" w:after="84"/>
        <w:ind w:left="84" w:right="84" w:hanging="0"/>
        <w:rPr/>
      </w:pPr>
      <w:r>
        <w:rPr>
          <w:rFonts w:eastAsia="Arial" w:cs="Arial"/>
          <w:color w:val="0E0F0F"/>
          <w:sz w:val="27"/>
        </w:rPr>
        <w:t>CPN will remediate identified vulnerabilities by:</w:t>
      </w:r>
    </w:p>
    <w:p>
      <w:pPr>
        <w:pStyle w:val="ListParagraph"/>
        <w:numPr>
          <w:ilvl w:val="0"/>
          <w:numId w:val="47"/>
        </w:numPr>
        <w:pBdr/>
        <w:shd w:val="clear" w:color="FFFFFF" w:fill="FFFFFF"/>
        <w:rPr/>
      </w:pPr>
      <w:r>
        <w:rPr>
          <w:rFonts w:eastAsia="Arial" w:cs="Arial"/>
          <w:color w:val="0E0F0F"/>
          <w:sz w:val="27"/>
        </w:rPr>
        <w:t>Applying security patches and updates to systems and applications</w:t>
      </w:r>
    </w:p>
    <w:p>
      <w:pPr>
        <w:pStyle w:val="ListParagraph"/>
        <w:numPr>
          <w:ilvl w:val="0"/>
          <w:numId w:val="47"/>
        </w:numPr>
        <w:pBdr/>
        <w:shd w:val="clear" w:color="FFFFFF" w:fill="FFFFFF"/>
        <w:rPr/>
      </w:pPr>
      <w:r>
        <w:rPr>
          <w:rFonts w:eastAsia="Arial" w:cs="Arial"/>
          <w:color w:val="0E0F0F"/>
          <w:sz w:val="27"/>
        </w:rPr>
        <w:t>Implementing configuration changes to mitigate vulnerabilities</w:t>
      </w:r>
    </w:p>
    <w:p>
      <w:pPr>
        <w:pStyle w:val="ListParagraph"/>
        <w:numPr>
          <w:ilvl w:val="0"/>
          <w:numId w:val="47"/>
        </w:numPr>
        <w:pBdr/>
        <w:shd w:val="clear" w:color="FFFFFF" w:fill="FFFFFF"/>
        <w:rPr/>
      </w:pPr>
      <w:r>
        <w:rPr>
          <w:rFonts w:eastAsia="Arial" w:cs="Arial"/>
          <w:color w:val="0E0F0F"/>
          <w:sz w:val="27"/>
        </w:rPr>
        <w:t>Deploying additional security controls, such as firewalls or intrusion detection systems</w:t>
      </w:r>
    </w:p>
    <w:p>
      <w:pPr>
        <w:pStyle w:val="ListParagraph"/>
        <w:numPr>
          <w:ilvl w:val="0"/>
          <w:numId w:val="47"/>
        </w:numPr>
        <w:pBdr/>
        <w:shd w:val="clear" w:color="FFFFFF" w:fill="FFFFFF"/>
        <w:rPr/>
      </w:pPr>
      <w:r>
        <w:rPr>
          <w:rFonts w:eastAsia="Arial" w:cs="Arial"/>
          <w:color w:val="0E0F0F"/>
          <w:sz w:val="27"/>
        </w:rPr>
        <w:t>Conducting regular vulnerability reassessments to ensure remediation effectiveness</w:t>
      </w:r>
    </w:p>
    <w:p>
      <w:pPr>
        <w:pStyle w:val="Heading1"/>
        <w:rPr>
          <w:rFonts w:ascii="Arial" w:hAnsi="Arial" w:eastAsia="Arial" w:cs="Arial"/>
          <w:b/>
          <w:b/>
          <w:bCs/>
          <w:color w:val="0E0F0F"/>
          <w:sz w:val="27"/>
          <w:szCs w:val="27"/>
        </w:rPr>
      </w:pPr>
      <w:bookmarkStart w:id="69" w:name="_Toc70"/>
      <w:r>
        <w:rPr>
          <w:rFonts w:eastAsia="Arial" w:cs="Arial"/>
          <w:b/>
          <w:color w:val="0E0F0F"/>
          <w:sz w:val="27"/>
        </w:rPr>
        <w:t>Automated Updates</w:t>
      </w:r>
      <w:bookmarkEnd w:id="69"/>
    </w:p>
    <w:p>
      <w:pPr>
        <w:pStyle w:val="Normal"/>
        <w:pBdr/>
        <w:shd w:val="clear" w:color="FFFFFF" w:fill="FFFFFF"/>
        <w:spacing w:before="84" w:after="84"/>
        <w:ind w:left="84" w:right="84" w:hanging="0"/>
        <w:rPr/>
      </w:pPr>
      <w:r>
        <w:rPr>
          <w:rFonts w:eastAsia="Arial" w:cs="Arial"/>
          <w:color w:val="0E0F0F"/>
          <w:sz w:val="27"/>
        </w:rPr>
        <w:t>CPN will implement automated updates for the Rocky Linux 9.6 operating system and Security Enhanced Linux (SEL) to ensure timely application of security patches and updates.</w:t>
      </w:r>
    </w:p>
    <w:p>
      <w:pPr>
        <w:pStyle w:val="ListParagraph"/>
        <w:numPr>
          <w:ilvl w:val="0"/>
          <w:numId w:val="40"/>
        </w:numPr>
        <w:pBdr/>
        <w:shd w:val="clear" w:color="FFFFFF" w:fill="FFFFFF"/>
        <w:rPr/>
      </w:pPr>
      <w:r>
        <w:rPr>
          <w:rFonts w:eastAsia="Arial" w:cs="Arial"/>
          <w:b/>
          <w:color w:val="0E0F0F"/>
          <w:sz w:val="27"/>
        </w:rPr>
        <w:t>Rocky Linux 9.6 Automated Updates</w:t>
      </w:r>
      <w:r>
        <w:rPr>
          <w:rFonts w:eastAsia="Arial" w:cs="Arial"/>
          <w:color w:val="0E0F0F"/>
          <w:sz w:val="27"/>
        </w:rPr>
        <w:t>: CPN will configure the Rocky Linux 9.6 operating system to automatically update with the latest security patches and updates from authorized repositories.</w:t>
      </w:r>
    </w:p>
    <w:p>
      <w:pPr>
        <w:pStyle w:val="ListParagraph"/>
        <w:numPr>
          <w:ilvl w:val="0"/>
          <w:numId w:val="40"/>
        </w:numPr>
        <w:pBdr/>
        <w:shd w:val="clear" w:color="FFFFFF" w:fill="FFFFFF"/>
        <w:rPr/>
      </w:pPr>
      <w:r>
        <w:rPr>
          <w:rFonts w:eastAsia="Arial" w:cs="Arial"/>
          <w:b/>
          <w:color w:val="0E0F0F"/>
          <w:sz w:val="27"/>
        </w:rPr>
        <w:t>SEL Automated Updates</w:t>
      </w:r>
      <w:r>
        <w:rPr>
          <w:rFonts w:eastAsia="Arial" w:cs="Arial"/>
          <w:color w:val="0E0F0F"/>
          <w:sz w:val="27"/>
        </w:rPr>
        <w:t>: CPN will configure SEL to automatically update with the latest security policies and rules from authorized sources.</w:t>
      </w:r>
    </w:p>
    <w:p>
      <w:pPr>
        <w:pStyle w:val="Normal"/>
        <w:pBdr/>
        <w:shd w:val="clear" w:color="FFFFFF" w:fill="FFFFFF"/>
        <w:spacing w:before="84" w:after="84"/>
        <w:ind w:left="84" w:right="84" w:hanging="0"/>
        <w:rPr/>
      </w:pPr>
      <w:r>
        <w:rPr>
          <w:rFonts w:eastAsia="Arial" w:cs="Arial"/>
          <w:color w:val="0E0F0F"/>
          <w:sz w:val="27"/>
        </w:rPr>
        <w:t>These automated updates will be configured to occur at least monthly, or as needed, to ensure CPN systems and networks remain up-to-date with the latest security protections.</w:t>
      </w:r>
    </w:p>
    <w:p>
      <w:pPr>
        <w:pStyle w:val="Heading1"/>
        <w:rPr/>
      </w:pPr>
      <w:bookmarkStart w:id="70" w:name="_Toc71"/>
      <w:r>
        <w:rPr>
          <w:rFonts w:eastAsia="Arial" w:cs="Arial"/>
          <w:b/>
          <w:color w:val="0E0F0F"/>
          <w:sz w:val="27"/>
        </w:rPr>
        <w:t>Automated Update Verification</w:t>
      </w:r>
      <w:bookmarkEnd w:id="70"/>
    </w:p>
    <w:p>
      <w:pPr>
        <w:pStyle w:val="Normal"/>
        <w:pBdr/>
        <w:shd w:val="clear" w:color="FFFFFF" w:fill="FFFFFF"/>
        <w:spacing w:before="84" w:after="84"/>
        <w:ind w:left="84" w:right="84" w:hanging="0"/>
        <w:rPr/>
      </w:pPr>
      <w:r>
        <w:rPr>
          <w:rFonts w:eastAsia="Arial" w:cs="Arial"/>
          <w:color w:val="0E0F0F"/>
          <w:sz w:val="27"/>
        </w:rPr>
        <w:t>CPN will implement procedures to verify the successful application of automated updates, including:</w:t>
      </w:r>
    </w:p>
    <w:p>
      <w:pPr>
        <w:pStyle w:val="ListParagraph"/>
        <w:numPr>
          <w:ilvl w:val="0"/>
          <w:numId w:val="41"/>
        </w:numPr>
        <w:pBdr/>
        <w:shd w:val="clear" w:color="FFFFFF" w:fill="FFFFFF"/>
        <w:rPr/>
      </w:pPr>
      <w:r>
        <w:rPr>
          <w:rFonts w:eastAsia="Arial" w:cs="Arial"/>
          <w:color w:val="0E0F0F"/>
          <w:sz w:val="27"/>
        </w:rPr>
        <w:t>Reviewing system logs for update success or failure</w:t>
      </w:r>
    </w:p>
    <w:p>
      <w:pPr>
        <w:pStyle w:val="ListParagraph"/>
        <w:numPr>
          <w:ilvl w:val="0"/>
          <w:numId w:val="41"/>
        </w:numPr>
        <w:pBdr/>
        <w:shd w:val="clear" w:color="FFFFFF" w:fill="FFFFFF"/>
        <w:rPr/>
      </w:pPr>
      <w:r>
        <w:rPr>
          <w:rFonts w:eastAsia="Arial" w:cs="Arial"/>
          <w:color w:val="0E0F0F"/>
          <w:sz w:val="27"/>
        </w:rPr>
        <w:t>Conducting regular vulnerability scanning to identify potential weaknesses</w:t>
      </w:r>
    </w:p>
    <w:p>
      <w:pPr>
        <w:pStyle w:val="ListParagraph"/>
        <w:numPr>
          <w:ilvl w:val="0"/>
          <w:numId w:val="41"/>
        </w:numPr>
        <w:pBdr/>
        <w:shd w:val="clear" w:color="FFFFFF" w:fill="FFFFFF"/>
        <w:rPr/>
      </w:pPr>
      <w:r>
        <w:rPr>
          <w:rFonts w:eastAsia="Arial" w:cs="Arial"/>
          <w:color w:val="0E0F0F"/>
          <w:sz w:val="27"/>
        </w:rPr>
        <w:t>Verifying update integrity using digital signatures and hashes</w:t>
      </w:r>
    </w:p>
    <w:p>
      <w:pPr>
        <w:pStyle w:val="Normal"/>
        <w:pBdr/>
        <w:shd w:val="clear" w:color="FFFFFF" w:fill="FFFFFF"/>
        <w:spacing w:before="84" w:after="84"/>
        <w:ind w:left="84" w:right="84" w:hanging="0"/>
        <w:rPr/>
      </w:pPr>
      <w:r>
        <w:rPr>
          <w:rFonts w:eastAsia="Arial" w:cs="Arial"/>
          <w:color w:val="0E0F0F"/>
          <w:sz w:val="27"/>
        </w:rPr>
        <w:t>These verification procedures will be conducted at least quarterly, or as needed, to ensure the effectiveness of automated updates.</w:t>
      </w:r>
    </w:p>
    <w:p>
      <w:pPr>
        <w:pStyle w:val="Heading1"/>
        <w:rPr/>
      </w:pPr>
      <w:bookmarkStart w:id="71" w:name="_Toc72"/>
      <w:r>
        <w:rPr>
          <w:rFonts w:eastAsia="Arial" w:cs="Arial"/>
          <w:b/>
          <w:color w:val="0E0F0F"/>
          <w:sz w:val="27"/>
        </w:rPr>
        <w:t>Automated Update Policy Review and Revision</w:t>
      </w:r>
      <w:bookmarkEnd w:id="71"/>
    </w:p>
    <w:p>
      <w:pPr>
        <w:pStyle w:val="Normal"/>
        <w:pBdr/>
        <w:shd w:val="clear" w:color="FFFFFF" w:fill="FFFFFF"/>
        <w:spacing w:before="84" w:after="84"/>
        <w:ind w:left="84" w:right="84" w:hanging="0"/>
        <w:rPr/>
      </w:pPr>
      <w:r>
        <w:rPr>
          <w:rFonts w:eastAsia="Arial" w:cs="Arial"/>
          <w:color w:val="0E0F0F"/>
          <w:sz w:val="27"/>
        </w:rPr>
        <w:t>This policy will be reviewed and revised annually, or as needed, to ensure it remains effective and relevant in addressing emerging threats and vulnerabilities.</w:t>
      </w:r>
    </w:p>
    <w:p>
      <w:pPr>
        <w:pStyle w:val="Heading1"/>
        <w:rPr/>
      </w:pPr>
      <w:bookmarkStart w:id="72" w:name="_Toc73"/>
      <w:r>
        <w:rPr>
          <w:rFonts w:eastAsia="Arial" w:cs="Arial"/>
          <w:b/>
          <w:color w:val="0E0F0F"/>
          <w:sz w:val="27"/>
        </w:rPr>
        <w:t>Approval</w:t>
      </w:r>
      <w:bookmarkEnd w:id="72"/>
    </w:p>
    <w:p>
      <w:pPr>
        <w:pStyle w:val="Normal"/>
        <w:pBdr/>
        <w:shd w:val="clear" w:color="FFFFFF" w:fill="FFFFFF"/>
        <w:spacing w:before="84" w:after="84"/>
        <w:ind w:left="84" w:right="84" w:hanging="0"/>
        <w:rPr/>
      </w:pPr>
      <w:r>
        <w:rPr>
          <w:rFonts w:eastAsia="Arial" w:cs="Arial"/>
          <w:color w:val="0E0F0F"/>
          <w:sz w:val="27"/>
        </w:rPr>
        <w:t>This policy was approved by Donald E. Shannon, Owner/Principal of The Contract Coach, on October 26, 2025.</w:t>
      </w:r>
    </w:p>
    <w:p>
      <w:pPr>
        <w:pStyle w:val="Normal"/>
        <w:widowControl/>
        <w:bidi w:val="0"/>
        <w:spacing w:lineRule="auto" w:line="276" w:beforeAutospacing="0" w:before="0" w:afterAutospacing="0" w:after="200"/>
        <w:jc w:val="left"/>
        <w:rPr/>
      </w:pPr>
      <w:r>
        <w:rPr/>
      </w:r>
    </w:p>
    <w:sectPr>
      <w:type w:val="nextPage"/>
      <w:pgSz w:w="12240" w:h="15840"/>
      <w:pgMar w:left="1440" w:right="144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
    <w:lvl w:ilvl="0">
      <w:start w:val="1"/>
      <w:numFmt w:val="decimal"/>
      <w:lvlText w:val="%1."/>
      <w:lvlJc w:val="right"/>
      <w:pPr>
        <w:tabs>
          <w:tab w:val="num" w:pos="0"/>
        </w:tabs>
        <w:ind w:left="1009" w:hanging="360"/>
      </w:pPr>
    </w:lvl>
    <w:lvl w:ilvl="1">
      <w:start w:val="1"/>
      <w:numFmt w:val="decimal"/>
      <w:lvlText w:val="%2."/>
      <w:lvlJc w:val="right"/>
      <w:pPr>
        <w:tabs>
          <w:tab w:val="num" w:pos="0"/>
        </w:tabs>
        <w:ind w:left="1729" w:hanging="360"/>
      </w:pPr>
    </w:lvl>
    <w:lvl w:ilvl="2">
      <w:start w:val="1"/>
      <w:numFmt w:val="decimal"/>
      <w:lvlText w:val="%3."/>
      <w:lvlJc w:val="right"/>
      <w:pPr>
        <w:tabs>
          <w:tab w:val="num" w:pos="0"/>
        </w:tabs>
        <w:ind w:left="2449" w:hanging="360"/>
      </w:pPr>
    </w:lvl>
    <w:lvl w:ilvl="3">
      <w:start w:val="1"/>
      <w:numFmt w:val="decimal"/>
      <w:lvlText w:val="%4."/>
      <w:lvlJc w:val="right"/>
      <w:pPr>
        <w:tabs>
          <w:tab w:val="num" w:pos="0"/>
        </w:tabs>
        <w:ind w:left="3169" w:hanging="360"/>
      </w:pPr>
    </w:lvl>
    <w:lvl w:ilvl="4">
      <w:start w:val="1"/>
      <w:numFmt w:val="decimal"/>
      <w:lvlText w:val="%5."/>
      <w:lvlJc w:val="right"/>
      <w:pPr>
        <w:tabs>
          <w:tab w:val="num" w:pos="0"/>
        </w:tabs>
        <w:ind w:left="3889" w:hanging="360"/>
      </w:pPr>
    </w:lvl>
    <w:lvl w:ilvl="5">
      <w:start w:val="1"/>
      <w:numFmt w:val="decimal"/>
      <w:lvlText w:val="%6."/>
      <w:lvlJc w:val="right"/>
      <w:pPr>
        <w:tabs>
          <w:tab w:val="num" w:pos="0"/>
        </w:tabs>
        <w:ind w:left="4609" w:hanging="360"/>
      </w:pPr>
    </w:lvl>
    <w:lvl w:ilvl="6">
      <w:start w:val="1"/>
      <w:numFmt w:val="decimal"/>
      <w:lvlText w:val="%7."/>
      <w:lvlJc w:val="right"/>
      <w:pPr>
        <w:tabs>
          <w:tab w:val="num" w:pos="0"/>
        </w:tabs>
        <w:ind w:left="5329" w:hanging="360"/>
      </w:pPr>
    </w:lvl>
    <w:lvl w:ilvl="7">
      <w:start w:val="1"/>
      <w:numFmt w:val="decimal"/>
      <w:lvlText w:val="%8."/>
      <w:lvlJc w:val="right"/>
      <w:pPr>
        <w:tabs>
          <w:tab w:val="num" w:pos="0"/>
        </w:tabs>
        <w:ind w:left="6049" w:hanging="360"/>
      </w:pPr>
    </w:lvl>
    <w:lvl w:ilvl="8">
      <w:start w:val="1"/>
      <w:numFmt w:val="decimal"/>
      <w:lvlText w:val="%9."/>
      <w:lvlJc w:val="right"/>
      <w:pPr>
        <w:tabs>
          <w:tab w:val="num" w:pos="0"/>
        </w:tabs>
        <w:ind w:left="6769" w:hanging="360"/>
      </w:pPr>
    </w:lvl>
  </w:abstractNum>
  <w:abstractNum w:abstractNumId="3">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5">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6">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7">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8">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9">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0">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1">
    <w:lvl w:ilvl="0">
      <w:start w:val="1"/>
      <w:numFmt w:val="decimal"/>
      <w:lvlText w:val="%1."/>
      <w:lvlJc w:val="right"/>
      <w:pPr>
        <w:tabs>
          <w:tab w:val="num" w:pos="0"/>
        </w:tabs>
        <w:ind w:left="1009" w:hanging="360"/>
      </w:pPr>
    </w:lvl>
    <w:lvl w:ilvl="1">
      <w:start w:val="1"/>
      <w:numFmt w:val="decimal"/>
      <w:lvlText w:val="%2."/>
      <w:lvlJc w:val="right"/>
      <w:pPr>
        <w:tabs>
          <w:tab w:val="num" w:pos="0"/>
        </w:tabs>
        <w:ind w:left="1729" w:hanging="360"/>
      </w:pPr>
    </w:lvl>
    <w:lvl w:ilvl="2">
      <w:start w:val="1"/>
      <w:numFmt w:val="decimal"/>
      <w:lvlText w:val="%3."/>
      <w:lvlJc w:val="right"/>
      <w:pPr>
        <w:tabs>
          <w:tab w:val="num" w:pos="0"/>
        </w:tabs>
        <w:ind w:left="2449" w:hanging="360"/>
      </w:pPr>
    </w:lvl>
    <w:lvl w:ilvl="3">
      <w:start w:val="1"/>
      <w:numFmt w:val="decimal"/>
      <w:lvlText w:val="%4."/>
      <w:lvlJc w:val="right"/>
      <w:pPr>
        <w:tabs>
          <w:tab w:val="num" w:pos="0"/>
        </w:tabs>
        <w:ind w:left="3169" w:hanging="360"/>
      </w:pPr>
    </w:lvl>
    <w:lvl w:ilvl="4">
      <w:start w:val="1"/>
      <w:numFmt w:val="decimal"/>
      <w:lvlText w:val="%5."/>
      <w:lvlJc w:val="right"/>
      <w:pPr>
        <w:tabs>
          <w:tab w:val="num" w:pos="0"/>
        </w:tabs>
        <w:ind w:left="3889" w:hanging="360"/>
      </w:pPr>
    </w:lvl>
    <w:lvl w:ilvl="5">
      <w:start w:val="1"/>
      <w:numFmt w:val="decimal"/>
      <w:lvlText w:val="%6."/>
      <w:lvlJc w:val="right"/>
      <w:pPr>
        <w:tabs>
          <w:tab w:val="num" w:pos="0"/>
        </w:tabs>
        <w:ind w:left="4609" w:hanging="360"/>
      </w:pPr>
    </w:lvl>
    <w:lvl w:ilvl="6">
      <w:start w:val="1"/>
      <w:numFmt w:val="decimal"/>
      <w:lvlText w:val="%7."/>
      <w:lvlJc w:val="right"/>
      <w:pPr>
        <w:tabs>
          <w:tab w:val="num" w:pos="0"/>
        </w:tabs>
        <w:ind w:left="5329" w:hanging="360"/>
      </w:pPr>
    </w:lvl>
    <w:lvl w:ilvl="7">
      <w:start w:val="1"/>
      <w:numFmt w:val="decimal"/>
      <w:lvlText w:val="%8."/>
      <w:lvlJc w:val="right"/>
      <w:pPr>
        <w:tabs>
          <w:tab w:val="num" w:pos="0"/>
        </w:tabs>
        <w:ind w:left="6049" w:hanging="360"/>
      </w:pPr>
    </w:lvl>
    <w:lvl w:ilvl="8">
      <w:start w:val="1"/>
      <w:numFmt w:val="decimal"/>
      <w:lvlText w:val="%9."/>
      <w:lvlJc w:val="right"/>
      <w:pPr>
        <w:tabs>
          <w:tab w:val="num" w:pos="0"/>
        </w:tabs>
        <w:ind w:left="6769" w:hanging="360"/>
      </w:pPr>
    </w:lvl>
  </w:abstractNum>
  <w:abstractNum w:abstractNumId="12">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3">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4">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5">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6">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7">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8">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19">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0">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1">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2">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3">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4">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5">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6">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7">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8">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29">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0">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1">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2">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3">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4">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5">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6">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7">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8">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39">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0">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1">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2">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3">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4">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5">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6">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7">
    <w:lvl w:ilvl="0">
      <w:start w:val="1"/>
      <w:numFmt w:val="bullet"/>
      <w:lvlText w:val="·"/>
      <w:lvlJc w:val="left"/>
      <w:pPr>
        <w:tabs>
          <w:tab w:val="num" w:pos="0"/>
        </w:tabs>
        <w:ind w:left="709" w:hanging="360"/>
      </w:pPr>
      <w:rPr>
        <w:rFonts w:ascii="Symbol" w:hAnsi="Symbol" w:cs="Symbol" w:hint="default"/>
      </w:rPr>
    </w:lvl>
    <w:lvl w:ilvl="1">
      <w:start w:val="1"/>
      <w:numFmt w:val="bullet"/>
      <w:lvlText w:val="o"/>
      <w:lvlJc w:val="left"/>
      <w:pPr>
        <w:tabs>
          <w:tab w:val="num" w:pos="0"/>
        </w:tabs>
        <w:ind w:left="1429" w:hanging="360"/>
      </w:pPr>
      <w:rPr>
        <w:rFonts w:ascii="Courier New" w:hAnsi="Courier New" w:cs="Courier New" w:hint="default"/>
      </w:rPr>
    </w:lvl>
    <w:lvl w:ilvl="2">
      <w:start w:val="1"/>
      <w:numFmt w:val="bullet"/>
      <w:lvlText w:val="§"/>
      <w:lvlJc w:val="left"/>
      <w:pPr>
        <w:tabs>
          <w:tab w:val="num" w:pos="0"/>
        </w:tabs>
        <w:ind w:left="2149" w:hanging="360"/>
      </w:pPr>
      <w:rPr>
        <w:rFonts w:ascii="Wingdings" w:hAnsi="Wingdings" w:cs="Wingdings" w:hint="default"/>
      </w:rPr>
    </w:lvl>
    <w:lvl w:ilvl="3">
      <w:start w:val="1"/>
      <w:numFmt w:val="bullet"/>
      <w:lvlText w:val="·"/>
      <w:lvlJc w:val="left"/>
      <w:pPr>
        <w:tabs>
          <w:tab w:val="num" w:pos="0"/>
        </w:tabs>
        <w:ind w:left="2869" w:hanging="360"/>
      </w:pPr>
      <w:rPr>
        <w:rFonts w:ascii="Symbol" w:hAnsi="Symbol" w:cs="Symbol" w:hint="default"/>
      </w:rPr>
    </w:lvl>
    <w:lvl w:ilvl="4">
      <w:start w:val="1"/>
      <w:numFmt w:val="bullet"/>
      <w:lvlText w:val="o"/>
      <w:lvlJc w:val="left"/>
      <w:pPr>
        <w:tabs>
          <w:tab w:val="num" w:pos="0"/>
        </w:tabs>
        <w:ind w:left="3589" w:hanging="360"/>
      </w:pPr>
      <w:rPr>
        <w:rFonts w:ascii="Courier New" w:hAnsi="Courier New" w:cs="Courier New" w:hint="default"/>
      </w:rPr>
    </w:lvl>
    <w:lvl w:ilvl="5">
      <w:start w:val="1"/>
      <w:numFmt w:val="bullet"/>
      <w:lvlText w:val="§"/>
      <w:lvlJc w:val="left"/>
      <w:pPr>
        <w:tabs>
          <w:tab w:val="num" w:pos="0"/>
        </w:tabs>
        <w:ind w:left="4309" w:hanging="360"/>
      </w:pPr>
      <w:rPr>
        <w:rFonts w:ascii="Wingdings" w:hAnsi="Wingdings" w:cs="Wingdings" w:hint="default"/>
      </w:rPr>
    </w:lvl>
    <w:lvl w:ilvl="6">
      <w:start w:val="1"/>
      <w:numFmt w:val="bullet"/>
      <w:lvlText w:val="·"/>
      <w:lvlJc w:val="left"/>
      <w:pPr>
        <w:tabs>
          <w:tab w:val="num" w:pos="0"/>
        </w:tabs>
        <w:ind w:left="5029" w:hanging="360"/>
      </w:pPr>
      <w:rPr>
        <w:rFonts w:ascii="Symbol" w:hAnsi="Symbol" w:cs="Symbol" w:hint="default"/>
      </w:rPr>
    </w:lvl>
    <w:lvl w:ilvl="7">
      <w:start w:val="1"/>
      <w:numFmt w:val="bullet"/>
      <w:lvlText w:val="o"/>
      <w:lvlJc w:val="left"/>
      <w:pPr>
        <w:tabs>
          <w:tab w:val="num" w:pos="0"/>
        </w:tabs>
        <w:ind w:left="5749" w:hanging="360"/>
      </w:pPr>
      <w:rPr>
        <w:rFonts w:ascii="Courier New" w:hAnsi="Courier New" w:cs="Courier New" w:hint="default"/>
      </w:rPr>
    </w:lvl>
    <w:lvl w:ilvl="8">
      <w:start w:val="1"/>
      <w:numFmt w:val="bullet"/>
      <w:lvlText w:val="§"/>
      <w:lvlJc w:val="left"/>
      <w:pPr>
        <w:tabs>
          <w:tab w:val="num" w:pos="0"/>
        </w:tabs>
        <w:ind w:left="6469" w:hanging="360"/>
      </w:pPr>
      <w:rPr>
        <w:rFonts w:ascii="Wingdings" w:hAnsi="Wingdings" w:cs="Wingdings"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935"/>
    <w:uiPriority w:val="9"/>
    <w:qFormat/>
    <w:pPr>
      <w:keepNext w:val="true"/>
      <w:keepLines/>
      <w:spacing w:before="360" w:after="80"/>
      <w:outlineLvl w:val="0"/>
    </w:pPr>
    <w:rPr>
      <w:rFonts w:ascii="Arial" w:hAnsi="Arial" w:eastAsia="Arial" w:cs="Arial"/>
      <w:color w:val="0F4761" w:themeColor="accent1" w:themeShade="bf"/>
      <w:sz w:val="40"/>
      <w:szCs w:val="40"/>
    </w:rPr>
  </w:style>
  <w:style w:type="paragraph" w:styleId="Heading2">
    <w:name w:val="Heading 2"/>
    <w:basedOn w:val="Normal"/>
    <w:next w:val="Normal"/>
    <w:link w:val="936"/>
    <w:uiPriority w:val="9"/>
    <w:unhideWhenUsed/>
    <w:qFormat/>
    <w:pPr>
      <w:keepNext w:val="true"/>
      <w:keepLines/>
      <w:spacing w:before="160" w:after="80"/>
      <w:outlineLvl w:val="1"/>
    </w:pPr>
    <w:rPr>
      <w:rFonts w:ascii="Arial" w:hAnsi="Arial" w:eastAsia="Arial" w:cs="Arial"/>
      <w:color w:val="0F4761" w:themeColor="accent1" w:themeShade="bf"/>
      <w:sz w:val="32"/>
      <w:szCs w:val="32"/>
    </w:rPr>
  </w:style>
  <w:style w:type="paragraph" w:styleId="Heading3">
    <w:name w:val="Heading 3"/>
    <w:basedOn w:val="Normal"/>
    <w:next w:val="Normal"/>
    <w:link w:val="937"/>
    <w:uiPriority w:val="9"/>
    <w:unhideWhenUsed/>
    <w:qFormat/>
    <w:pPr>
      <w:keepNext w:val="true"/>
      <w:keepLines/>
      <w:spacing w:before="160" w:after="80"/>
      <w:outlineLvl w:val="2"/>
    </w:pPr>
    <w:rPr>
      <w:rFonts w:ascii="Arial" w:hAnsi="Arial" w:eastAsia="Arial" w:cs="Arial"/>
      <w:color w:val="0F4761" w:themeColor="accent1" w:themeShade="bf"/>
      <w:sz w:val="28"/>
      <w:szCs w:val="28"/>
    </w:rPr>
  </w:style>
  <w:style w:type="paragraph" w:styleId="Heading4">
    <w:name w:val="Heading 4"/>
    <w:basedOn w:val="Normal"/>
    <w:next w:val="Normal"/>
    <w:link w:val="938"/>
    <w:uiPriority w:val="9"/>
    <w:unhideWhenUsed/>
    <w:qFormat/>
    <w:pPr>
      <w:keepNext w:val="true"/>
      <w:keepLines/>
      <w:spacing w:before="80" w:after="40"/>
      <w:outlineLvl w:val="3"/>
    </w:pPr>
    <w:rPr>
      <w:rFonts w:ascii="Arial" w:hAnsi="Arial" w:eastAsia="Arial" w:cs="Arial"/>
      <w:i/>
      <w:iCs/>
      <w:color w:val="0F4761" w:themeColor="accent1" w:themeShade="bf"/>
    </w:rPr>
  </w:style>
  <w:style w:type="paragraph" w:styleId="Heading5">
    <w:name w:val="Heading 5"/>
    <w:basedOn w:val="Normal"/>
    <w:next w:val="Normal"/>
    <w:link w:val="939"/>
    <w:uiPriority w:val="9"/>
    <w:unhideWhenUsed/>
    <w:qFormat/>
    <w:pPr>
      <w:keepNext w:val="true"/>
      <w:keepLines/>
      <w:spacing w:before="80" w:after="40"/>
      <w:outlineLvl w:val="4"/>
    </w:pPr>
    <w:rPr>
      <w:rFonts w:ascii="Arial" w:hAnsi="Arial" w:eastAsia="Arial" w:cs="Arial"/>
      <w:color w:val="0F4761" w:themeColor="accent1" w:themeShade="bf"/>
    </w:rPr>
  </w:style>
  <w:style w:type="paragraph" w:styleId="Heading6">
    <w:name w:val="Heading 6"/>
    <w:basedOn w:val="Normal"/>
    <w:next w:val="Normal"/>
    <w:link w:val="940"/>
    <w:uiPriority w:val="9"/>
    <w:unhideWhenUsed/>
    <w:qFormat/>
    <w:pPr>
      <w:keepNext w:val="true"/>
      <w:keepLines/>
      <w:spacing w:before="40" w:after="0"/>
      <w:outlineLvl w:val="5"/>
    </w:pPr>
    <w:rPr>
      <w:rFonts w:ascii="Arial" w:hAnsi="Arial" w:eastAsia="Arial" w:cs="Arial"/>
      <w:i/>
      <w:iCs/>
      <w:color w:val="595959" w:themeColor="text1" w:themeTint="a6"/>
    </w:rPr>
  </w:style>
  <w:style w:type="paragraph" w:styleId="Heading7">
    <w:name w:val="Heading 7"/>
    <w:basedOn w:val="Normal"/>
    <w:next w:val="Normal"/>
    <w:link w:val="941"/>
    <w:uiPriority w:val="9"/>
    <w:unhideWhenUsed/>
    <w:qFormat/>
    <w:pPr>
      <w:keepNext w:val="true"/>
      <w:keepLines/>
      <w:spacing w:before="40" w:after="0"/>
      <w:outlineLvl w:val="6"/>
    </w:pPr>
    <w:rPr>
      <w:rFonts w:ascii="Arial" w:hAnsi="Arial" w:eastAsia="Arial" w:cs="Arial"/>
      <w:color w:val="595959" w:themeColor="text1" w:themeTint="a6"/>
    </w:rPr>
  </w:style>
  <w:style w:type="paragraph" w:styleId="Heading8">
    <w:name w:val="Heading 8"/>
    <w:basedOn w:val="Normal"/>
    <w:next w:val="Normal"/>
    <w:link w:val="942"/>
    <w:uiPriority w:val="9"/>
    <w:unhideWhenUsed/>
    <w:qFormat/>
    <w:pPr>
      <w:keepNext w:val="true"/>
      <w:keepLines/>
      <w:spacing w:before="0" w:after="0"/>
      <w:outlineLvl w:val="7"/>
    </w:pPr>
    <w:rPr>
      <w:rFonts w:ascii="Arial" w:hAnsi="Arial" w:eastAsia="Arial" w:cs="Arial"/>
      <w:i/>
      <w:iCs/>
      <w:color w:val="272727" w:themeColor="text1" w:themeTint="d8"/>
    </w:rPr>
  </w:style>
  <w:style w:type="paragraph" w:styleId="Heading9">
    <w:name w:val="Heading 9"/>
    <w:basedOn w:val="Normal"/>
    <w:next w:val="Normal"/>
    <w:link w:val="943"/>
    <w:uiPriority w:val="9"/>
    <w:unhideWhenUsed/>
    <w:qFormat/>
    <w:pPr>
      <w:keepNext w:val="true"/>
      <w:keepLines/>
      <w:spacing w:before="0" w:after="0"/>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797"/>
    <w:uiPriority w:val="9"/>
    <w:qFormat/>
    <w:rPr>
      <w:rFonts w:ascii="Arial" w:hAnsi="Arial" w:eastAsia="Arial" w:cs="Arial"/>
      <w:color w:val="2E74B5" w:themeColor="accent1" w:themeShade="bf"/>
      <w:sz w:val="40"/>
      <w:szCs w:val="40"/>
    </w:rPr>
  </w:style>
  <w:style w:type="character" w:styleId="Heading2Char" w:customStyle="1">
    <w:name w:val="Heading 2 Char"/>
    <w:basedOn w:val="DefaultParagraphFont"/>
    <w:link w:val="798"/>
    <w:uiPriority w:val="9"/>
    <w:qFormat/>
    <w:rPr>
      <w:rFonts w:ascii="Arial" w:hAnsi="Arial" w:eastAsia="Arial" w:cs="Arial"/>
      <w:color w:val="2E74B5" w:themeColor="accent1" w:themeShade="bf"/>
      <w:sz w:val="32"/>
      <w:szCs w:val="32"/>
    </w:rPr>
  </w:style>
  <w:style w:type="character" w:styleId="Heading3Char" w:customStyle="1">
    <w:name w:val="Heading 3 Char"/>
    <w:basedOn w:val="DefaultParagraphFont"/>
    <w:link w:val="799"/>
    <w:uiPriority w:val="9"/>
    <w:qFormat/>
    <w:rPr>
      <w:rFonts w:ascii="Arial" w:hAnsi="Arial" w:eastAsia="Arial" w:cs="Arial"/>
      <w:color w:val="2E74B5" w:themeColor="accent1" w:themeShade="bf"/>
      <w:sz w:val="28"/>
      <w:szCs w:val="28"/>
    </w:rPr>
  </w:style>
  <w:style w:type="character" w:styleId="Heading4Char" w:customStyle="1">
    <w:name w:val="Heading 4 Char"/>
    <w:basedOn w:val="DefaultParagraphFont"/>
    <w:link w:val="800"/>
    <w:uiPriority w:val="9"/>
    <w:qFormat/>
    <w:rPr>
      <w:rFonts w:ascii="Arial" w:hAnsi="Arial" w:eastAsia="Arial" w:cs="Arial"/>
      <w:i/>
      <w:iCs/>
      <w:color w:val="2E74B5" w:themeColor="accent1" w:themeShade="bf"/>
    </w:rPr>
  </w:style>
  <w:style w:type="character" w:styleId="Heading5Char" w:customStyle="1">
    <w:name w:val="Heading 5 Char"/>
    <w:basedOn w:val="DefaultParagraphFont"/>
    <w:link w:val="801"/>
    <w:uiPriority w:val="9"/>
    <w:qFormat/>
    <w:rPr>
      <w:rFonts w:ascii="Arial" w:hAnsi="Arial" w:eastAsia="Arial" w:cs="Arial"/>
      <w:color w:val="2E74B5" w:themeColor="accent1" w:themeShade="bf"/>
    </w:rPr>
  </w:style>
  <w:style w:type="character" w:styleId="Heading6Char" w:customStyle="1">
    <w:name w:val="Heading 6 Char"/>
    <w:basedOn w:val="DefaultParagraphFont"/>
    <w:link w:val="802"/>
    <w:uiPriority w:val="9"/>
    <w:qFormat/>
    <w:rPr>
      <w:rFonts w:ascii="Arial" w:hAnsi="Arial" w:eastAsia="Arial" w:cs="Arial"/>
      <w:i/>
      <w:iCs/>
      <w:color w:val="595959" w:themeColor="text1" w:themeTint="a6"/>
    </w:rPr>
  </w:style>
  <w:style w:type="character" w:styleId="Heading7Char" w:customStyle="1">
    <w:name w:val="Heading 7 Char"/>
    <w:basedOn w:val="DefaultParagraphFont"/>
    <w:link w:val="803"/>
    <w:uiPriority w:val="9"/>
    <w:qFormat/>
    <w:rPr>
      <w:rFonts w:ascii="Arial" w:hAnsi="Arial" w:eastAsia="Arial" w:cs="Arial"/>
      <w:color w:val="595959" w:themeColor="text1" w:themeTint="a6"/>
    </w:rPr>
  </w:style>
  <w:style w:type="character" w:styleId="Heading8Char" w:customStyle="1">
    <w:name w:val="Heading 8 Char"/>
    <w:basedOn w:val="DefaultParagraphFont"/>
    <w:link w:val="804"/>
    <w:uiPriority w:val="9"/>
    <w:qFormat/>
    <w:rPr>
      <w:rFonts w:ascii="Arial" w:hAnsi="Arial" w:eastAsia="Arial" w:cs="Arial"/>
      <w:i/>
      <w:iCs/>
      <w:color w:val="272727" w:themeColor="text1" w:themeTint="d8"/>
    </w:rPr>
  </w:style>
  <w:style w:type="character" w:styleId="Heading9Char" w:customStyle="1">
    <w:name w:val="Heading 9 Char"/>
    <w:basedOn w:val="DefaultParagraphFont"/>
    <w:link w:val="805"/>
    <w:uiPriority w:val="9"/>
    <w:qFormat/>
    <w:rPr>
      <w:rFonts w:ascii="Arial" w:hAnsi="Arial" w:eastAsia="Arial" w:cs="Arial"/>
      <w:i/>
      <w:iCs/>
      <w:color w:val="272727" w:themeColor="text1" w:themeTint="d8"/>
    </w:rPr>
  </w:style>
  <w:style w:type="character" w:styleId="TitleChar" w:customStyle="1">
    <w:name w:val="Title Char"/>
    <w:link w:val="944"/>
    <w:uiPriority w:val="10"/>
    <w:qFormat/>
    <w:rPr/>
  </w:style>
  <w:style w:type="character" w:styleId="SubtitleChar" w:customStyle="1">
    <w:name w:val="Subtitle Char"/>
    <w:basedOn w:val="DefaultParagraphFont"/>
    <w:link w:val="946"/>
    <w:uiPriority w:val="11"/>
    <w:qFormat/>
    <w:rPr>
      <w:color w:val="595959" w:themeColor="text1" w:themeTint="a6"/>
      <w:spacing w:val="15"/>
      <w:sz w:val="28"/>
      <w:szCs w:val="28"/>
    </w:rPr>
  </w:style>
  <w:style w:type="character" w:styleId="QuoteChar" w:customStyle="1">
    <w:name w:val="Quote Char"/>
    <w:basedOn w:val="DefaultParagraphFont"/>
    <w:link w:val="948"/>
    <w:uiPriority w:val="29"/>
    <w:qFormat/>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character" w:styleId="IntenseQuoteChar" w:customStyle="1">
    <w:name w:val="Intense Quote Char"/>
    <w:basedOn w:val="DefaultParagraphFont"/>
    <w:link w:val="951"/>
    <w:uiPriority w:val="30"/>
    <w:qFormat/>
    <w:rPr>
      <w:i/>
      <w:iCs/>
      <w:color w:val="2E74B5"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HeaderChar" w:customStyle="1">
    <w:name w:val="Header Char"/>
    <w:basedOn w:val="DefaultParagraphFont"/>
    <w:link w:val="959"/>
    <w:uiPriority w:val="99"/>
    <w:qFormat/>
    <w:rPr/>
  </w:style>
  <w:style w:type="character" w:styleId="FooterChar" w:customStyle="1">
    <w:name w:val="Footer Char"/>
    <w:basedOn w:val="DefaultParagraphFont"/>
    <w:link w:val="961"/>
    <w:uiPriority w:val="99"/>
    <w:qFormat/>
    <w:rPr/>
  </w:style>
  <w:style w:type="character" w:styleId="FootnoteTextChar" w:customStyle="1">
    <w:name w:val="Footnote Text Char"/>
    <w:basedOn w:val="DefaultParagraphFont"/>
    <w:link w:val="964"/>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Anchor">
    <w:name w:val="Footnote Anchor"/>
    <w:rPr>
      <w:vertAlign w:val="superscript"/>
    </w:rPr>
  </w:style>
  <w:style w:type="character" w:styleId="EndnoteTextChar" w:customStyle="1">
    <w:name w:val="Endnote Text Char"/>
    <w:basedOn w:val="DefaultParagraphFont"/>
    <w:link w:val="967"/>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Anchor">
    <w:name w:val="Endnote Anchor"/>
    <w:rPr>
      <w:vertAlign w:val="superscript"/>
    </w:rPr>
  </w:style>
  <w:style w:type="character" w:styleId="InternetLink">
    <w:name w:val="Hyperlink"/>
    <w:basedOn w:val="DefaultParagraphFont"/>
    <w:uiPriority w:val="99"/>
    <w:unhideWhenUsed/>
    <w:rPr>
      <w:color w:val="0563C1" w:themeColor="hyperlink"/>
      <w:u w:val="single"/>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PlaceholderText">
    <w:name w:val="Placeholder Text"/>
    <w:basedOn w:val="DefaultParagraphFont"/>
    <w:uiPriority w:val="99"/>
    <w:semiHidden/>
    <w:qFormat/>
    <w:rPr>
      <w:color w:val="666666"/>
    </w:rPr>
  </w:style>
  <w:style w:type="character" w:styleId="Chaptercharacter" w:customStyle="1">
    <w:name w:val="Chapter_character"/>
    <w:link w:val="1_1196"/>
    <w:qFormat/>
    <w:rPr>
      <w:rFonts w:ascii="Arial" w:hAnsi="Arial" w:eastAsia="Arial" w:cs="Arial"/>
      <w:b/>
      <w:color w:val="0E0F0F"/>
      <w:sz w:val="27"/>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next w:val="Normal"/>
    <w:uiPriority w:val="35"/>
    <w:unhideWhenUsed/>
    <w:qFormat/>
    <w:pPr>
      <w:spacing w:lineRule="auto" w:line="240" w:before="0" w:after="200"/>
    </w:pPr>
    <w:rPr>
      <w:i/>
      <w:iCs/>
      <w:color w:val="0E2841" w:themeColor="text2"/>
      <w:sz w:val="18"/>
      <w:szCs w:val="18"/>
    </w:rPr>
  </w:style>
  <w:style w:type="paragraph" w:styleId="Index">
    <w:name w:val="Index"/>
    <w:basedOn w:val="Normal"/>
    <w:qFormat/>
    <w:pPr>
      <w:suppressLineNumbers/>
    </w:pPr>
    <w:rPr>
      <w:rFonts w:cs="Droid Sans Devanagari"/>
    </w:rPr>
  </w:style>
  <w:style w:type="paragraph" w:styleId="Title">
    <w:name w:val="Title"/>
    <w:basedOn w:val="Normal"/>
    <w:next w:val="Normal"/>
    <w:link w:val="945"/>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947"/>
    <w:uiPriority w:val="11"/>
    <w:qFormat/>
    <w:pPr/>
    <w:rPr>
      <w:color w:val="595959" w:themeColor="text1" w:themeTint="a6"/>
      <w:spacing w:val="15"/>
      <w:sz w:val="28"/>
      <w:szCs w:val="28"/>
    </w:rPr>
  </w:style>
  <w:style w:type="paragraph" w:styleId="Quote">
    <w:name w:val="Quote"/>
    <w:basedOn w:val="Normal"/>
    <w:next w:val="Normal"/>
    <w:link w:val="949"/>
    <w:uiPriority w:val="29"/>
    <w:qFormat/>
    <w:pPr>
      <w:spacing w:before="160" w:after="200"/>
      <w:jc w:val="center"/>
    </w:pPr>
    <w:rPr>
      <w:i/>
      <w:iCs/>
      <w:color w:val="404040" w:themeColor="text1" w:themeTint="bf"/>
    </w:rPr>
  </w:style>
  <w:style w:type="paragraph" w:styleId="IntenseQuote">
    <w:name w:val="Intense Quote"/>
    <w:basedOn w:val="Normal"/>
    <w:next w:val="Normal"/>
    <w:link w:val="952"/>
    <w:uiPriority w:val="30"/>
    <w:qFormat/>
    <w:pPr>
      <w:pBdr>
        <w:top w:val="single" w:sz="4" w:space="9" w:color="0F4761"/>
        <w:bottom w:val="single" w:sz="4" w:space="9"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960"/>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962"/>
    <w:uiPriority w:val="99"/>
    <w:unhideWhenUsed/>
    <w:pPr>
      <w:tabs>
        <w:tab w:val="clear" w:pos="708"/>
        <w:tab w:val="center" w:pos="4844" w:leader="none"/>
        <w:tab w:val="right" w:pos="9689" w:leader="none"/>
      </w:tabs>
      <w:spacing w:lineRule="auto" w:line="240" w:before="0" w:after="0"/>
    </w:pPr>
    <w:rPr/>
  </w:style>
  <w:style w:type="paragraph" w:styleId="Footnote">
    <w:name w:val="Footnote Text"/>
    <w:basedOn w:val="Normal"/>
    <w:link w:val="965"/>
    <w:uiPriority w:val="99"/>
    <w:semiHidden/>
    <w:unhideWhenUsed/>
    <w:pPr>
      <w:spacing w:lineRule="auto" w:line="240" w:before="0" w:after="0"/>
    </w:pPr>
    <w:rPr>
      <w:sz w:val="20"/>
      <w:szCs w:val="20"/>
    </w:rPr>
  </w:style>
  <w:style w:type="paragraph" w:styleId="Endnote">
    <w:name w:val="Endnote Text"/>
    <w:basedOn w:val="Normal"/>
    <w:link w:val="968"/>
    <w:uiPriority w:val="99"/>
    <w:semiHidden/>
    <w:unhideWhenUsed/>
    <w:pPr>
      <w:spacing w:lineRule="auto" w:line="240" w:before="0" w:after="0"/>
    </w:pPr>
    <w:rPr>
      <w:sz w:val="20"/>
      <w:szCs w:val="20"/>
    </w:rPr>
  </w:style>
  <w:style w:type="paragraph" w:styleId="Contents1">
    <w:name w:val="TOC 1"/>
    <w:basedOn w:val="Normal"/>
    <w:next w:val="Normal"/>
    <w:uiPriority w:val="39"/>
    <w:unhideWhenUsed/>
    <w:pPr>
      <w:spacing w:before="0" w:after="100"/>
    </w:pPr>
    <w:rPr/>
  </w:style>
  <w:style w:type="paragraph" w:styleId="Contents2">
    <w:name w:val="TOC 2"/>
    <w:basedOn w:val="Normal"/>
    <w:next w:val="Normal"/>
    <w:uiPriority w:val="39"/>
    <w:unhideWhenUsed/>
    <w:pPr>
      <w:spacing w:before="0" w:after="100"/>
      <w:ind w:left="220" w:hanging="0"/>
    </w:pPr>
    <w:rPr/>
  </w:style>
  <w:style w:type="paragraph" w:styleId="Contents3">
    <w:name w:val="TOC 3"/>
    <w:basedOn w:val="Normal"/>
    <w:next w:val="Normal"/>
    <w:uiPriority w:val="39"/>
    <w:unhideWhenUsed/>
    <w:pPr>
      <w:spacing w:before="0" w:after="100"/>
      <w:ind w:left="440" w:hanging="0"/>
    </w:pPr>
    <w:rPr/>
  </w:style>
  <w:style w:type="paragraph" w:styleId="Contents4">
    <w:name w:val="TOC 4"/>
    <w:basedOn w:val="Normal"/>
    <w:next w:val="Normal"/>
    <w:uiPriority w:val="39"/>
    <w:unhideWhenUsed/>
    <w:pPr>
      <w:spacing w:before="0" w:after="100"/>
      <w:ind w:left="660" w:hanging="0"/>
    </w:pPr>
    <w:rPr/>
  </w:style>
  <w:style w:type="paragraph" w:styleId="Contents5">
    <w:name w:val="TOC 5"/>
    <w:basedOn w:val="Normal"/>
    <w:next w:val="Normal"/>
    <w:uiPriority w:val="39"/>
    <w:unhideWhenUsed/>
    <w:pPr>
      <w:spacing w:before="0" w:after="100"/>
      <w:ind w:left="880" w:hanging="0"/>
    </w:pPr>
    <w:rPr/>
  </w:style>
  <w:style w:type="paragraph" w:styleId="Contents6">
    <w:name w:val="TOC 6"/>
    <w:basedOn w:val="Normal"/>
    <w:next w:val="Normal"/>
    <w:uiPriority w:val="39"/>
    <w:unhideWhenUsed/>
    <w:pPr>
      <w:spacing w:before="0" w:after="100"/>
      <w:ind w:left="1100" w:hanging="0"/>
    </w:pPr>
    <w:rPr/>
  </w:style>
  <w:style w:type="paragraph" w:styleId="Contents7">
    <w:name w:val="TOC 7"/>
    <w:basedOn w:val="Normal"/>
    <w:next w:val="Normal"/>
    <w:uiPriority w:val="39"/>
    <w:unhideWhenUsed/>
    <w:pPr>
      <w:spacing w:before="0" w:after="100"/>
      <w:ind w:left="1320" w:hanging="0"/>
    </w:pPr>
    <w:rPr/>
  </w:style>
  <w:style w:type="paragraph" w:styleId="Contents8">
    <w:name w:val="TOC 8"/>
    <w:basedOn w:val="Normal"/>
    <w:next w:val="Normal"/>
    <w:uiPriority w:val="39"/>
    <w:unhideWhenUsed/>
    <w:pPr>
      <w:spacing w:before="0" w:after="100"/>
      <w:ind w:left="1540" w:hanging="0"/>
    </w:pPr>
    <w:rPr/>
  </w:style>
  <w:style w:type="paragraph" w:styleId="Contents9">
    <w:name w:val="TOC 9"/>
    <w:basedOn w:val="Normal"/>
    <w:next w:val="Normal"/>
    <w:uiPriority w:val="39"/>
    <w:unhideWhenUsed/>
    <w:pPr>
      <w:spacing w:before="0" w:after="100"/>
      <w:ind w:left="1760" w:hanging="0"/>
    </w:pPr>
    <w:rPr/>
  </w:style>
  <w:style w:type="paragraph" w:styleId="TOCHeading">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qFormat/>
    <w:pPr>
      <w:spacing w:before="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hanging="0"/>
      <w:contextualSpacing/>
    </w:pPr>
    <w:rPr/>
  </w:style>
  <w:style w:type="paragraph" w:styleId="Chapter" w:customStyle="1">
    <w:name w:val="Chapter"/>
    <w:basedOn w:val="Title"/>
    <w:link w:val="1_1197"/>
    <w:qFormat/>
    <w:pPr/>
    <w:rPr>
      <w:rFonts w:ascii="Arial" w:hAnsi="Arial" w:eastAsia="Arial" w:cs="Arial"/>
      <w:b/>
      <w:color w:val="0E0F0F"/>
      <w:sz w:val="27"/>
    </w:rPr>
  </w:style>
  <w:style w:type="numbering" w:styleId="NoList" w:default="1">
    <w:name w:val="No List"/>
    <w:uiPriority w:val="99"/>
    <w:semiHidden/>
    <w:unhideWhenUsed/>
    <w:qFormat/>
  </w:style>
  <w:style w:type="table" w:styleId="13">
    <w:name w:val="Table Grid Light"/>
    <w:basedOn w:val="80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80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color w:val="404040"/>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1"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80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color w:val="404040"/>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2"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80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color w:val="404040"/>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3"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80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color w:val="404040"/>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4"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80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color w:val="404040"/>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5"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80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color w:val="404040"/>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000000" w:themeColor="accent6"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80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color w:val="404040"/>
        <w:sz w:val="22"/>
      </w:rPr>
      <w:tblPr/>
      <w:tcPr>
        <w:shd w:val="clear" w:color="FFFFFF" w:fill="DEEBF6" w:themeFill="accent1" w:themeFillTint="34"/>
      </w:tcPr>
    </w:tblStylePr>
    <w:tblStylePr w:type="band1Vert">
      <w:pPr/>
      <w:rPr>
        <w:color w:val="404040"/>
        <w:sz w:val="22"/>
      </w:rPr>
      <w:tblPr/>
      <w:tcPr>
        <w:shd w:val="clear" w:color="FFFFFF" w:fill="DEEBF6" w:themeFill="accen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80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80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80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80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80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color w:val="404040"/>
      </w:rPr>
      <w:tblPr/>
      <w:tcPr/>
    </w:tblStylePr>
    <w:tblStylePr w:type="lastRow">
      <w:pPr/>
      <w:rPr>
        <w:b/>
        <w:color w:val="404040"/>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80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color w:val="404040"/>
        <w:sz w:val="22"/>
      </w:rPr>
      <w:tblPr/>
      <w:tcPr>
        <w:shd w:val="clear" w:color="FFFFFF" w:fill="DEEBF6" w:themeFill="accent1" w:themeFillTint="34"/>
      </w:tcPr>
    </w:tblStylePr>
    <w:tblStylePr w:type="band1Vert">
      <w:pPr/>
      <w:rPr>
        <w:color w:val="404040"/>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80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80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80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80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80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80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color w:val="404040"/>
        <w:sz w:val="22"/>
      </w:rPr>
      <w:tblPr/>
      <w:tcPr>
        <w:shd w:val="clear" w:color="FFFFFF" w:fill="DFEBF7" w:themeFill="accent1" w:themeFillTint="32"/>
      </w:tcPr>
    </w:tblStylePr>
    <w:tblStylePr w:type="band1Vert">
      <w:pPr/>
      <w:rPr>
        <w:color w:val="404040"/>
        <w:sz w:val="22"/>
      </w:rPr>
      <w:tblPr/>
      <w:tcPr>
        <w:shd w:val="clear" w:color="FFFFFF" w:fill="DFEBF7" w:themeFill="accent1"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color w:val="404040"/>
      </w:rPr>
      <w:tblPr/>
      <w:tcPr/>
    </w:tblStylePr>
    <w:tblStylePr w:type="lastRow">
      <w:pPr/>
      <w:rPr>
        <w:b/>
        <w:color w:val="404040"/>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80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color w:val="404040"/>
        <w:sz w:val="22"/>
      </w:rPr>
      <w:tblPr/>
      <w:tcPr>
        <w:shd w:val="clear" w:color="FFFFFF" w:fill="FBE6D7" w:themeFill="accent2" w:themeFillTint="32"/>
      </w:tcPr>
    </w:tblStylePr>
    <w:tblStylePr w:type="band1Vert">
      <w:pPr/>
      <w:rPr>
        <w:color w:val="404040"/>
        <w:sz w:val="22"/>
      </w:rPr>
      <w:tblPr/>
      <w:tcPr>
        <w:shd w:val="clear" w:color="FFFFFF" w:fill="FBE6D7"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color w:val="404040"/>
      </w:rPr>
      <w:tblPr/>
      <w:tcPr/>
    </w:tblStylePr>
    <w:tblStylePr w:type="lastRow">
      <w:pPr/>
      <w:rPr>
        <w:b/>
        <w:color w:val="404040"/>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80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color w:val="404040"/>
        <w:sz w:val="22"/>
      </w:rPr>
      <w:tblPr/>
      <w:tcPr>
        <w:shd w:val="clear" w:color="FFFFFF" w:fill="EDEDED" w:themeFill="accent3" w:themeFillTint="34"/>
      </w:tcPr>
    </w:tblStylePr>
    <w:tblStylePr w:type="band1Vert">
      <w:pPr/>
      <w:rPr>
        <w:color w:val="404040"/>
        <w:sz w:val="22"/>
      </w:rPr>
      <w:tblPr/>
      <w:tcPr>
        <w:shd w:val="clear" w:color="FFFFFF" w:fill="EDEDED"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color w:val="404040"/>
      </w:rPr>
      <w:tblPr/>
      <w:tcPr/>
    </w:tblStylePr>
    <w:tblStylePr w:type="lastRow">
      <w:pPr/>
      <w:rPr>
        <w:b/>
        <w:color w:val="404040"/>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80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color w:val="404040"/>
        <w:sz w:val="22"/>
      </w:rPr>
      <w:tblPr/>
      <w:tcPr>
        <w:shd w:val="clear" w:color="FFFFFF" w:fill="FFF2CB" w:themeFill="accent4" w:themeFillTint="34"/>
      </w:tcPr>
    </w:tblStylePr>
    <w:tblStylePr w:type="band1Vert">
      <w:pPr/>
      <w:rPr>
        <w:color w:val="404040"/>
        <w:sz w:val="22"/>
      </w:rPr>
      <w:tblPr/>
      <w:tcPr>
        <w:shd w:val="clear" w:color="FFFFFF"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color w:val="404040"/>
      </w:rPr>
      <w:tblPr/>
      <w:tcPr/>
    </w:tblStylePr>
    <w:tblStylePr w:type="lastRow">
      <w:pPr/>
      <w:rPr>
        <w:b/>
        <w:color w:val="404040"/>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80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404040"/>
        <w:sz w:val="22"/>
      </w:rPr>
      <w:tblPr/>
      <w:tcPr>
        <w:shd w:val="clear" w:color="FFFFFF" w:fill="D9E2F3" w:themeFill="accent5" w:themeFillTint="34"/>
      </w:tcPr>
    </w:tblStylePr>
    <w:tblStylePr w:type="band1Vert">
      <w:pPr/>
      <w:rPr>
        <w:color w:val="404040"/>
        <w:sz w:val="22"/>
      </w:rPr>
      <w:tblPr/>
      <w:tcPr>
        <w:shd w:val="clear" w:color="FFFFFF" w:fill="D9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color w:val="404040"/>
      </w:rPr>
      <w:tblPr/>
      <w:tcPr/>
    </w:tblStylePr>
    <w:tblStylePr w:type="lastRow">
      <w:pPr/>
      <w:rPr>
        <w:b/>
        <w:color w:val="404040"/>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80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04040"/>
        <w:sz w:val="22"/>
      </w:rPr>
      <w:tblPr/>
      <w:tcPr>
        <w:shd w:val="clear" w:color="FFFFFF" w:fill="E2EFD9" w:themeFill="accent6" w:themeFillTint="34"/>
      </w:tcPr>
    </w:tblStylePr>
    <w:tblStylePr w:type="band1Vert">
      <w:pPr/>
      <w:rPr>
        <w:color w:val="404040"/>
        <w:sz w:val="22"/>
      </w:rPr>
      <w:tblPr/>
      <w:tcPr>
        <w:shd w:val="clear" w:color="FFFFFF" w:fill="E2EFD9"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color w:val="404040"/>
      </w:rPr>
      <w:tblPr/>
      <w:tcPr/>
    </w:tblStylePr>
    <w:tblStylePr w:type="lastRow">
      <w:pPr/>
      <w:rPr>
        <w:b/>
        <w:color w:val="404040"/>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80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color w:val="FFFFFF"/>
        <w:sz w:val="22"/>
      </w:rPr>
      <w:tblPr/>
      <w:tcPr>
        <w:shd w:val="clear" w:color="FFFFFF" w:fill="ED7D31" w:themeFill="accent2"/>
      </w:tcPr>
    </w:tblStylePr>
    <w:tblStylePr w:type="firstRow">
      <w:pPr/>
      <w:rPr>
        <w:b/>
        <w:color w:val="FFFFFF"/>
        <w:sz w:val="22"/>
      </w:rPr>
      <w:tblPr/>
      <w:tcPr>
        <w:shd w:val="clear" w:color="FFFFFF" w:fill="ED7D31" w:themeFill="accent2"/>
      </w:tcPr>
    </w:tblStylePr>
    <w:tblStylePr w:type="lastCol">
      <w:pPr/>
      <w:rPr>
        <w:b/>
        <w:color w:val="FFFFFF"/>
        <w:sz w:val="22"/>
      </w:rPr>
      <w:tblPr/>
      <w:tcPr>
        <w:shd w:val="clear" w:color="FFFFFF" w:fill="ED7D31" w:themeFill="accent2"/>
      </w:tcPr>
    </w:tblStylePr>
    <w:tblStylePr w:type="lastRow">
      <w:pPr/>
      <w:rPr>
        <w:b/>
        <w:color w:val="FFFFFF"/>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80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color w:val="FFFFFF"/>
        <w:sz w:val="22"/>
      </w:rPr>
      <w:tblPr/>
      <w:tcPr>
        <w:shd w:val="clear" w:color="FFFFFF" w:fill="A5A5A5" w:themeFill="accent3"/>
      </w:tcPr>
    </w:tblStylePr>
    <w:tblStylePr w:type="firstRow">
      <w:pPr/>
      <w:rPr>
        <w:b/>
        <w:color w:val="FFFFFF"/>
        <w:sz w:val="22"/>
      </w:rPr>
      <w:tblPr/>
      <w:tcPr>
        <w:shd w:val="clear" w:color="FFFFFF" w:fill="A5A5A5" w:themeFill="accent3"/>
      </w:tcPr>
    </w:tblStylePr>
    <w:tblStylePr w:type="lastCol">
      <w:pPr/>
      <w:rPr>
        <w:b/>
        <w:color w:val="FFFFFF"/>
        <w:sz w:val="22"/>
      </w:rPr>
      <w:tblPr/>
      <w:tcPr>
        <w:shd w:val="clear" w:color="FFFFFF" w:fill="A5A5A5" w:themeFill="accent3"/>
      </w:tcPr>
    </w:tblStylePr>
    <w:tblStylePr w:type="lastRow">
      <w:pPr/>
      <w:rPr>
        <w:b/>
        <w:color w:val="FFFFFF"/>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80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color w:val="FFFFFF"/>
        <w:sz w:val="22"/>
      </w:rPr>
      <w:tblPr/>
      <w:tcPr>
        <w:shd w:val="clear" w:color="FFFFFF" w:fill="4472C4" w:themeFill="accent5"/>
      </w:tcPr>
    </w:tblStylePr>
    <w:tblStylePr w:type="firstRow">
      <w:pPr/>
      <w:rPr>
        <w:b/>
        <w:color w:val="FFFFFF"/>
        <w:sz w:val="22"/>
      </w:rPr>
      <w:tblPr/>
      <w:tcPr>
        <w:shd w:val="clear" w:color="FFFFFF" w:fill="4472C4" w:themeFill="accent5"/>
      </w:tcPr>
    </w:tblStylePr>
    <w:tblStylePr w:type="lastCol">
      <w:pPr/>
      <w:rPr>
        <w:b/>
        <w:color w:val="FFFFFF"/>
        <w:sz w:val="22"/>
      </w:rPr>
      <w:tblPr/>
      <w:tcPr>
        <w:shd w:val="clear" w:color="FFFFFF" w:fill="4472C4" w:themeFill="accent5"/>
      </w:tcPr>
    </w:tblStylePr>
    <w:tblStylePr w:type="lastRow">
      <w:pPr/>
      <w:rPr>
        <w:b/>
        <w:color w:val="FFFFFF"/>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80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color w:val="FFFFFF"/>
        <w:sz w:val="22"/>
      </w:rPr>
      <w:tblPr/>
      <w:tcPr>
        <w:shd w:val="clear" w:color="FFFFFF" w:fill="70AD47" w:themeFill="accent6"/>
      </w:tcPr>
    </w:tblStylePr>
    <w:tblStylePr w:type="firstRow">
      <w:pPr/>
      <w:rPr>
        <w:b/>
        <w:color w:val="FFFFFF"/>
        <w:sz w:val="22"/>
      </w:rPr>
      <w:tblPr/>
      <w:tcPr>
        <w:shd w:val="clear" w:color="FFFFFF" w:fill="70AD47" w:themeFill="accent6"/>
      </w:tcPr>
    </w:tblStylePr>
    <w:tblStylePr w:type="lastCol">
      <w:pPr/>
      <w:rPr>
        <w:b/>
        <w:color w:val="FFFFFF"/>
        <w:sz w:val="22"/>
      </w:rPr>
      <w:tblPr/>
      <w:tcPr>
        <w:shd w:val="clear" w:color="FFFFFF" w:fill="70AD47" w:themeFill="accent6"/>
      </w:tcPr>
    </w:tblStylePr>
    <w:tblStylePr w:type="lastRow">
      <w:pPr/>
      <w:rPr>
        <w:b/>
        <w:color w:val="FFFFFF"/>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5">
    <w:name w:val="Grid Table 6 Colorful - Accent 1"/>
    <w:basedOn w:val="80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07ABD" w:themeColor="accent1" w:themeTint="80" w:themeShade="95"/>
      </w:rPr>
      <w:tblPr/>
      <w:tcPr/>
    </w:tblStylePr>
    <w:tblStylePr w:type="firstRow">
      <w:pPr/>
      <w:rPr>
        <w:b/>
        <w:color w:val="307ABD" w:themeColor="accent1" w:themeTint="80" w:themeShade="95"/>
      </w:rPr>
      <w:tblPr/>
      <w:tcPr>
        <w:tcBorders>
          <w:bottom w:val="single" w:color="000000" w:themeColor="accent1" w:sz="12" w:space="0"/>
        </w:tcBorders>
      </w:tcPr>
    </w:tblStylePr>
    <w:tblStylePr w:type="lastCol">
      <w:pPr/>
      <w:rPr>
        <w:b/>
        <w:color w:val="307ABD" w:themeColor="accent1" w:themeTint="80" w:themeShade="95"/>
      </w:rPr>
      <w:tblPr/>
      <w:tcPr/>
    </w:tblStylePr>
    <w:tblStylePr w:type="lastRow">
      <w:pPr/>
      <w:rPr>
        <w:b/>
        <w:color w:val="307AB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80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80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80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80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5"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80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6"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2">
    <w:name w:val="Grid Table 7 Colorful - Accent 1"/>
    <w:basedOn w:val="80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07ABD"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307ABD" w:themeColor="accent1" w:themeTint="80" w:themeShade="95"/>
        <w:sz w:val="22"/>
      </w:rPr>
      <w:tblPr/>
      <w:tcPr/>
    </w:tblStylePr>
    <w:tblStylePr w:type="band2Vert">
      <w:pPr/>
      <w:tblPr/>
      <w:tc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80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80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80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80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54275"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254275" w:themeColor="accent5" w:themeShade="95"/>
        <w:sz w:val="22"/>
      </w:rPr>
      <w:tblPr/>
      <w:tcPr/>
    </w:tblStylePr>
    <w:tblStylePr w:type="band2Vert">
      <w:pPr/>
      <w:tblPr/>
      <w:tc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80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pPr/>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807"/>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807"/>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807"/>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807"/>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807"/>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807"/>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80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color w:val="404040"/>
        <w:sz w:val="22"/>
      </w:rPr>
      <w:tblPr/>
      <w:tcPr>
        <w:shd w:val="clear" w:color="FFFFFF" w:fill="D6E6F4" w:themeFill="accent1" w:themeFillTint="40"/>
      </w:tcPr>
    </w:tblStylePr>
    <w:tblStylePr w:type="band1Vert">
      <w:pPr/>
      <w:rPr>
        <w:color w:val="404040"/>
        <w:sz w:val="22"/>
      </w:r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80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color w:val="404040"/>
        <w:sz w:val="22"/>
      </w:rPr>
      <w:tblPr/>
      <w:tcPr>
        <w:shd w:val="clear" w:color="FFFFFF" w:fill="FADECB" w:themeFill="accent2" w:themeFillTint="40"/>
      </w:tcPr>
    </w:tblStylePr>
    <w:tblStylePr w:type="band1Vert">
      <w:pPr/>
      <w:rPr>
        <w:color w:val="404040"/>
        <w:sz w:val="22"/>
      </w:r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80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color w:val="404040"/>
        <w:sz w:val="22"/>
      </w:rPr>
      <w:tblPr/>
      <w:tcPr>
        <w:shd w:val="clear" w:color="FFFFFF" w:fill="E8E8E8" w:themeFill="accent3" w:themeFillTint="40"/>
      </w:tcPr>
    </w:tblStylePr>
    <w:tblStylePr w:type="band1Vert">
      <w:pPr/>
      <w:rPr>
        <w:color w:val="404040"/>
        <w:sz w:val="22"/>
      </w:r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80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color w:val="404040"/>
        <w:sz w:val="22"/>
      </w:rPr>
      <w:tblPr/>
      <w:tcPr>
        <w:shd w:val="clear" w:color="FFFFFF" w:fill="FFEFBF" w:themeFill="accent4" w:themeFillTint="40"/>
      </w:tcPr>
    </w:tblStylePr>
    <w:tblStylePr w:type="band1Vert">
      <w:pPr/>
      <w:rPr>
        <w:color w:val="404040"/>
        <w:sz w:val="22"/>
      </w:r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80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color w:val="404040"/>
        <w:sz w:val="22"/>
      </w:rPr>
      <w:tblPr/>
      <w:tcPr>
        <w:shd w:val="clear" w:color="FFFFFF" w:fill="D0DCF0" w:themeFill="accent5" w:themeFillTint="40"/>
      </w:tcPr>
    </w:tblStylePr>
    <w:tblStylePr w:type="band1Vert">
      <w:pPr/>
      <w:rPr>
        <w:color w:val="404040"/>
        <w:sz w:val="22"/>
      </w:r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80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color w:val="404040"/>
        <w:sz w:val="22"/>
      </w:rPr>
      <w:tblPr/>
      <w:tcPr>
        <w:shd w:val="clear" w:color="FFFFFF" w:fill="DBECD0" w:themeFill="accent6" w:themeFillTint="40"/>
      </w:tcPr>
    </w:tblStylePr>
    <w:tblStylePr w:type="band1Vert">
      <w:pPr/>
      <w:rPr>
        <w:color w:val="404040"/>
        <w:sz w:val="22"/>
      </w:r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80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color w:val="404040"/>
        <w:sz w:val="22"/>
      </w:rPr>
      <w:tblPr/>
      <w:tcPr>
        <w:tcBorders>
          <w:top w:val="single" w:color="000000" w:themeColor="accent1" w:sz="4" w:space="0"/>
          <w:bottom w:val="single" w:color="000000" w:themeColor="accent1" w:sz="4" w:space="0"/>
        </w:tcBorders>
      </w:tcPr>
    </w:tblStylePr>
    <w:tblStylePr w:type="band1Vert">
      <w:pPr/>
      <w:rPr>
        <w:color w:val="404040"/>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80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color w:val="404040"/>
        <w:sz w:val="22"/>
      </w:rPr>
      <w:tblPr/>
      <w:tcPr>
        <w:tcBorders>
          <w:top w:val="single" w:color="000000" w:themeColor="accent2" w:sz="4" w:space="0"/>
          <w:bottom w:val="single" w:color="000000" w:themeColor="accent2" w:sz="4" w:space="0"/>
        </w:tcBorders>
      </w:tcPr>
    </w:tblStylePr>
    <w:tblStylePr w:type="band1Vert">
      <w:pPr/>
      <w:rPr>
        <w:color w:val="404040"/>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4B285" w:themeFill="accent2" w:themeFillTint="97"/>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80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color w:val="404040"/>
        <w:sz w:val="22"/>
      </w:rPr>
      <w:tblPr/>
      <w:tcPr>
        <w:tcBorders>
          <w:top w:val="single" w:color="000000" w:themeColor="accent3" w:sz="4" w:space="0"/>
          <w:bottom w:val="single" w:color="000000" w:themeColor="accent3" w:sz="4" w:space="0"/>
        </w:tcBorders>
      </w:tcPr>
    </w:tblStylePr>
    <w:tblStylePr w:type="band1Vert">
      <w:pPr/>
      <w:rPr>
        <w:color w:val="404040"/>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C9C9C9" w:themeFill="accent3"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80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color w:val="404040"/>
        <w:sz w:val="22"/>
      </w:rPr>
      <w:tblPr/>
      <w:tcPr>
        <w:tcBorders>
          <w:top w:val="single" w:color="000000" w:themeColor="accent4" w:sz="4" w:space="0"/>
          <w:bottom w:val="single" w:color="000000" w:themeColor="accent4" w:sz="4" w:space="0"/>
        </w:tcBorders>
      </w:tcPr>
    </w:tblStylePr>
    <w:tblStylePr w:type="band1Vert">
      <w:pPr/>
      <w:rPr>
        <w:color w:val="404040"/>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FD965" w:themeFill="accent4"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80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color w:val="404040"/>
        <w:sz w:val="22"/>
      </w:rPr>
      <w:tblPr/>
      <w:tcPr>
        <w:tcBorders>
          <w:top w:val="single" w:color="000000" w:themeColor="accent5" w:sz="4" w:space="0"/>
          <w:bottom w:val="single" w:color="000000" w:themeColor="accent5" w:sz="4" w:space="0"/>
        </w:tcBorders>
      </w:tcPr>
    </w:tblStylePr>
    <w:tblStylePr w:type="band1Vert">
      <w:pPr/>
      <w:rPr>
        <w:color w:val="404040"/>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8EAADB" w:themeFill="accent5"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80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color w:val="404040"/>
        <w:sz w:val="22"/>
      </w:rPr>
      <w:tblPr/>
      <w:tcPr>
        <w:tcBorders>
          <w:top w:val="single" w:color="000000" w:themeColor="accent6" w:sz="4" w:space="0"/>
          <w:bottom w:val="single" w:color="000000" w:themeColor="accent6" w:sz="4" w:space="0"/>
        </w:tcBorders>
      </w:tcPr>
    </w:tblStylePr>
    <w:tblStylePr w:type="band1Vert">
      <w:pPr/>
      <w:rPr>
        <w:color w:val="404040"/>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A9D18F" w:themeFill="accent6"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80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color w:val="404040"/>
        <w:sz w:val="22"/>
      </w:rPr>
      <w:tblPr/>
      <w:tcPr>
        <w:shd w:val="clear" w:color="FFFFFF" w:fill="D6E6F4" w:themeFill="accent1" w:themeFillTint="40"/>
      </w:tcPr>
    </w:tblStylePr>
    <w:tblStylePr w:type="band1Vert">
      <w:pPr/>
      <w:rPr>
        <w:color w:val="404040"/>
        <w:sz w:val="22"/>
      </w:rPr>
      <w:tblPr/>
      <w:tcPr>
        <w:shd w:val="clear" w:color="FFFFFF" w:fill="D6E6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80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color w:val="404040"/>
        <w:sz w:val="22"/>
      </w:rPr>
      <w:tblPr/>
      <w:tcPr>
        <w:shd w:val="clear" w:color="FFFFFF" w:fill="FADECB" w:themeFill="accent2" w:themeFillTint="40"/>
      </w:tcPr>
    </w:tblStylePr>
    <w:tblStylePr w:type="band1Vert">
      <w:pPr/>
      <w:rPr>
        <w:color w:val="404040"/>
        <w:sz w:val="22"/>
      </w:rPr>
      <w:tblPr/>
      <w:tcPr>
        <w:shd w:val="clear" w:color="FFFFFF"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ED7D31" w:themeFill="accent2"/>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80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color w:val="404040"/>
        <w:sz w:val="22"/>
      </w:rPr>
      <w:tblPr/>
      <w:tcPr>
        <w:shd w:val="clear" w:color="FFFFFF" w:fill="E8E8E8" w:themeFill="accent3" w:themeFillTint="40"/>
      </w:tcPr>
    </w:tblStylePr>
    <w:tblStylePr w:type="band1Vert">
      <w:pPr/>
      <w:rPr>
        <w:color w:val="404040"/>
        <w:sz w:val="22"/>
      </w:rPr>
      <w:tblPr/>
      <w:tcPr>
        <w:shd w:val="clear" w:color="FFFFFF"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A5A5A5" w:themeFill="accent3"/>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80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color w:val="404040"/>
        <w:sz w:val="22"/>
      </w:rPr>
      <w:tblPr/>
      <w:tcPr>
        <w:shd w:val="clear" w:color="FFFFFF" w:fill="FFEFBF" w:themeFill="accent4" w:themeFillTint="40"/>
      </w:tcPr>
    </w:tblStylePr>
    <w:tblStylePr w:type="band1Vert">
      <w:pPr/>
      <w:rPr>
        <w:color w:val="404040"/>
        <w:sz w:val="22"/>
      </w:rPr>
      <w:tblPr/>
      <w:tcPr>
        <w:shd w:val="clear" w:color="FFFFF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FFC000" w:themeFill="accent4"/>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80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color w:val="404040"/>
        <w:sz w:val="22"/>
      </w:rPr>
      <w:tblPr/>
      <w:tcPr>
        <w:shd w:val="clear" w:color="FFFFFF" w:fill="D0DCF0" w:themeFill="accent5" w:themeFillTint="40"/>
      </w:tcPr>
    </w:tblStylePr>
    <w:tblStylePr w:type="band1Vert">
      <w:pPr/>
      <w:rPr>
        <w:color w:val="404040"/>
        <w:sz w:val="22"/>
      </w:rPr>
      <w:tblPr/>
      <w:tcPr>
        <w:shd w:val="clear" w:color="FFFFFF" w:fill="D0DC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4472C4" w:themeFill="accent5"/>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80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color w:val="404040"/>
        <w:sz w:val="22"/>
      </w:rPr>
      <w:tblPr/>
      <w:tcPr>
        <w:shd w:val="clear" w:color="FFFFFF" w:fill="DBECD0" w:themeFill="accent6" w:themeFillTint="40"/>
      </w:tcPr>
    </w:tblStylePr>
    <w:tblStylePr w:type="band1Vert">
      <w:pPr/>
      <w:rPr>
        <w:color w:val="404040"/>
        <w:sz w:val="22"/>
      </w:rPr>
      <w:tblPr/>
      <w:tcPr>
        <w:shd w:val="clear" w:color="FFFFFF" w:fill="DBECD0"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FFFF" w:fill="70AD47" w:themeFill="accent6"/>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7">
    <w:name w:val="List Table 5 Dark - Accent 1"/>
    <w:basedOn w:val="80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80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80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80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80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80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4">
    <w:name w:val="List Table 6 Colorful - Accent 1"/>
    <w:basedOn w:val="80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45B8D" w:themeColor="accent1" w:themeShade="95"/>
      </w:rPr>
      <w:tblPr/>
      <w:tcPr/>
    </w:tblStylePr>
    <w:tblStylePr w:type="firstRow">
      <w:pPr/>
      <w:rPr>
        <w:b/>
        <w:color w:val="245B8D" w:themeColor="accent1" w:themeShade="95"/>
      </w:rPr>
      <w:tblPr/>
      <w:tcPr>
        <w:tcBorders>
          <w:bottom w:val="single" w:color="000000" w:themeColor="accent1" w:sz="4" w:space="0"/>
        </w:tcBorders>
      </w:tcPr>
    </w:tblStylePr>
    <w:tblStylePr w:type="lastCol">
      <w:pPr/>
      <w:rPr>
        <w:b/>
        <w:color w:val="245B8D" w:themeColor="accent1" w:themeShade="95"/>
      </w:rPr>
      <w:tblPr/>
      <w:tcPr/>
    </w:tblStylePr>
    <w:tblStylePr w:type="lastRow">
      <w:pPr/>
      <w:rPr>
        <w:b/>
        <w:color w:val="245B8D"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80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80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80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80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35AA1" w:themeColor="accent5" w:themeTint="9a" w:themeShade="95"/>
      </w:rPr>
      <w:tblPr/>
      <w:tcPr/>
    </w:tblStylePr>
    <w:tblStylePr w:type="firstRow">
      <w:pPr/>
      <w:rPr>
        <w:b/>
        <w:color w:val="335AA1" w:themeColor="accent5" w:themeTint="9a" w:themeShade="95"/>
      </w:rPr>
      <w:tblPr/>
      <w:tcPr>
        <w:tcBorders>
          <w:bottom w:val="single" w:color="000000" w:themeColor="accent5" w:sz="4" w:space="0"/>
        </w:tcBorders>
      </w:tcPr>
    </w:tblStylePr>
    <w:tblStylePr w:type="lastCol">
      <w:pPr/>
      <w:rPr>
        <w:b/>
        <w:color w:val="335AA1" w:themeColor="accent5" w:themeTint="9a" w:themeShade="95"/>
      </w:rPr>
      <w:tblPr/>
      <w:tcPr/>
    </w:tblStylePr>
    <w:tblStylePr w:type="lastRow">
      <w:pPr/>
      <w:rPr>
        <w:b/>
        <w:color w:val="335AA1"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80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
    <w:name w:val="List Table 7 Colorful - Accent 1"/>
    <w:basedOn w:val="807"/>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45B8D"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245B8D" w:themeColor="accent1" w:themeShade="95"/>
        <w:sz w:val="22"/>
      </w:rPr>
      <w:tblPr/>
      <w:tcPr/>
    </w:tblStylePr>
    <w:tblStylePr w:type="band2Vert">
      <w:pPr/>
      <w:tblPr/>
      <w:tc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45B8D" w:themeColor="accent1" w:themeShade="95"/>
        <w:sz w:val="22"/>
      </w:rPr>
      <w:tblPr/>
      <w:tcPr/>
    </w:tblStylePr>
  </w:style>
  <w:style w:type="table" w:styleId="112">
    <w:name w:val="List Table 7 Colorful - Accent 2"/>
    <w:basedOn w:val="807"/>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113">
    <w:name w:val="List Table 7 Colorful - Accent 3"/>
    <w:basedOn w:val="807"/>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114">
    <w:name w:val="List Table 7 Colorful - Accent 4"/>
    <w:basedOn w:val="807"/>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115">
    <w:name w:val="List Table 7 Colorful - Accent 5"/>
    <w:basedOn w:val="807"/>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35AA1"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335AA1" w:themeColor="accent5" w:themeTint="9a" w:themeShade="95"/>
        <w:sz w:val="22"/>
      </w:rPr>
      <w:tblPr/>
      <w:tcPr/>
    </w:tblStylePr>
    <w:tblStylePr w:type="band2Vert">
      <w:pPr/>
      <w:tblPr/>
      <w:tc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35AA1" w:themeColor="accent5" w:themeTint="9a" w:themeShade="95"/>
        <w:sz w:val="22"/>
      </w:rPr>
      <w:tblPr/>
      <w:tcPr/>
    </w:tblStylePr>
  </w:style>
  <w:style w:type="table" w:styleId="116">
    <w:name w:val="List Table 7 Colorful - Accent 6"/>
    <w:basedOn w:val="807"/>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default="1" w:styleId="807">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Table Grid"/>
    <w:basedOn w:val="80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Grid Table Light"/>
    <w:basedOn w:val="807"/>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Plain Table 1"/>
    <w:basedOn w:val="807"/>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shd w:val="clear" w:color="F2F2F2" w:fill="F2F2F2" w:themeFill="text1" w:themeFillTint="d"/>
      </w:tcPr>
    </w:tblStylePr>
    <w:tblStylePr w:type="band1Vert">
      <w:pPr/>
      <w:tblPr/>
      <w:tcPr>
        <w:shd w:val="clear" w:color="F2F2F2" w:fill="F2F2F2" w:themeFill="text1" w:themeFillTint="d"/>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blStylePr>
    <w:tblStylePr w:type="lastCol">
      <w:pPr/>
      <w:rPr>
        <w:b/>
        <w:color w:val="404040"/>
        <w:sz w:val="22"/>
      </w:rPr>
      <w:tblPr/>
      <w:tcPr/>
    </w:tblStylePr>
    <w:tblStylePr w:type="lastRow">
      <w:pPr/>
      <w:rPr>
        <w:b/>
        <w:color w:val="404040"/>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Plain Table 2"/>
    <w:basedOn w:val="80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color w:val="404040"/>
        <w:sz w:val="22"/>
      </w:rPr>
      <w:tblPr/>
      <w:tcPr/>
    </w:tblStylePr>
    <w:tblStylePr w:type="firstRow">
      <w:pPr/>
      <w:rPr>
        <w:b/>
        <w:color w:val="404040"/>
        <w:sz w:val="22"/>
      </w:rPr>
      <w:tblPr/>
      <w:tcPr>
        <w:tcBorders>
          <w:top w:val="single" w:color="000000" w:themeColor="text1" w:sz="4" w:space="0"/>
          <w:bottom w:val="single" w:color="000000" w:themeColor="text1" w:sz="4" w:space="0"/>
        </w:tcBorders>
      </w:tcPr>
    </w:tblStylePr>
    <w:tblStylePr w:type="lastCol">
      <w:pPr/>
      <w:rPr>
        <w:b/>
        <w:color w:val="404040"/>
        <w:sz w:val="22"/>
      </w:rPr>
      <w:tblPr/>
      <w:tcPr/>
    </w:tblStylePr>
    <w:tblStylePr w:type="lastRow">
      <w:pPr/>
      <w:rPr>
        <w:b/>
        <w:color w:val="404040"/>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Plain Table 3"/>
    <w:basedOn w:val="807"/>
    <w:uiPriority w:val="99"/>
    <w:pPr>
      <w:spacing w:after="0" w:line="240" w:lineRule="auto"/>
    </w:pPr>
    <w:tblPr>
      <w:tblStyleRowBandSize w:val="1"/>
      <w:tblStyleColBandSize w:val="1"/>
    </w:tblPr>
    <w:tcPr/>
    <w:tblStylePr w:type="band1Horz">
      <w:pPr/>
      <w:rPr>
        <w:color w:val="404040"/>
        <w:sz w:val="22"/>
      </w:rPr>
      <w:tblPr/>
      <w:tcPr>
        <w:shd w:val="clear" w:color="F2F2F2" w:fill="F2F2F2" w:themeFill="text1" w:themeFillTint="d"/>
      </w:tcPr>
    </w:tblStylePr>
    <w:tblStylePr w:type="band1Vert">
      <w:pPr/>
      <w:rPr>
        <w:color w:val="404040"/>
        <w:sz w:val="22"/>
      </w:rPr>
      <w:tblPr/>
      <w:tcPr>
        <w:shd w:val="clear" w:color="F2F2F2" w:fill="F2F2F2" w:themeFill="text1" w:themeFillTint="d"/>
      </w:tcPr>
    </w:tblStylePr>
    <w:tblStylePr w:type="band2Horz">
      <w:pPr/>
      <w:tblPr/>
      <w:tcPr/>
    </w:tblStylePr>
    <w:tblStylePr w:type="band2Vert">
      <w:pPr/>
      <w:tblPr/>
      <w:tcPr/>
    </w:tblStylePr>
    <w:tblStylePr w:type="firstCol">
      <w:pPr/>
      <w:rPr>
        <w:b/>
        <w:caps/>
        <w:color w:val="404040"/>
      </w:rPr>
      <w:tblPr/>
      <w:tcPr>
        <w:tcBorders>
          <w:top w:val="none" w:color="000000" w:sz="4" w:space="0"/>
          <w:left w:val="none" w:color="000000" w:sz="4" w:space="0"/>
          <w:bottom w:val="none" w:color="000000" w:sz="4" w:space="0"/>
          <w:right w:val="single" w:color="404040" w:sz="4" w:space="0"/>
        </w:tcBorders>
      </w:tcPr>
    </w:tblStylePr>
    <w:tblStylePr w:type="firstRow">
      <w:pPr/>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Col">
      <w:pPr/>
      <w:rPr>
        <w:b/>
        <w:caps/>
        <w:color w:val="404040"/>
      </w:rPr>
      <w:tblPr/>
      <w:tcPr/>
    </w:tblStylePr>
    <w:tblStylePr w:type="lastRow">
      <w:pPr/>
      <w:rPr>
        <w:b/>
        <w:caps/>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Plain Table 4"/>
    <w:basedOn w:val="807"/>
    <w:uiPriority w:val="99"/>
    <w:pPr>
      <w:spacing w:after="0" w:line="240" w:lineRule="auto"/>
    </w:pPr>
    <w:tblPr>
      <w:tblStyleRowBandSize w:val="1"/>
      <w:tblStyleColBandSize w:val="1"/>
    </w:tblPr>
    <w:tcPr/>
    <w:tblStylePr w:type="band1Horz">
      <w:pPr/>
      <w:rPr>
        <w:color w:val="404040"/>
        <w:sz w:val="22"/>
      </w:rPr>
      <w:tblPr/>
      <w:tcPr>
        <w:shd w:val="clear" w:color="F2F2F2" w:fill="F2F2F2" w:themeFill="text1" w:themeFillTint="d"/>
      </w:tcPr>
    </w:tblStylePr>
    <w:tblStylePr w:type="band1Vert">
      <w:pPr/>
      <w:rPr>
        <w:color w:val="404040"/>
        <w:sz w:val="22"/>
      </w:rPr>
      <w:tblPr/>
      <w:tcPr>
        <w:shd w:val="clear" w:color="F2F2F2" w:fill="F2F2F2" w:themeFill="text1" w:themeFillTint="d"/>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Plain Table 5"/>
    <w:basedOn w:val="807"/>
    <w:uiPriority w:val="99"/>
    <w:pPr>
      <w:spacing w:after="0" w:line="240" w:lineRule="auto"/>
    </w:pPr>
    <w:tblPr>
      <w:tblStyleRowBandSize w:val="1"/>
      <w:tblStyleColBandSize w:val="1"/>
    </w:tblPr>
    <w:tcPr/>
    <w:tblStylePr w:type="band1Horz">
      <w:pPr/>
      <w:rPr>
        <w:color w:val="404040"/>
        <w:sz w:val="22"/>
      </w:rPr>
      <w:tblPr/>
      <w:tcPr>
        <w:shd w:val="clear" w:color="F2F2F2" w:fill="F2F2F2" w:themeFill="text1" w:themeFillTint="d"/>
      </w:tcPr>
    </w:tblStylePr>
    <w:tblStylePr w:type="band1Vert">
      <w:pPr/>
      <w:rPr>
        <w:color w:val="404040"/>
        <w:sz w:val="22"/>
      </w:rPr>
      <w:tblPr/>
      <w:tcPr>
        <w:shd w:val="clear" w:color="F2F2F2" w:fill="F2F2F2" w:themeFill="text1" w:themeFillTint="d"/>
      </w:tcPr>
    </w:tblStylePr>
    <w:tblStylePr w:type="band2Horz">
      <w:pPr/>
      <w:tblPr/>
      <w:tcPr/>
    </w:tblStylePr>
    <w:tblStylePr w:type="band2Vert">
      <w:pPr/>
      <w:tblPr/>
      <w:tcPr/>
    </w:tblStylePr>
    <w:tblStylePr w:type="firstCol">
      <w:pPr>
        <w:jc w:val="right"/>
      </w:pPr>
      <w:rPr>
        <w:i/>
        <w:color w:val="404040"/>
      </w:rPr>
      <w:tblPr/>
      <w:tcPr>
        <w:tcBorders>
          <w:right w:val="single" w:color="404040" w:sz="4" w:space="0"/>
        </w:tcBorders>
        <w:shd w:val="clear" w:color="FFFFFF" w:fill="auto"/>
      </w:tcPr>
    </w:tblStylePr>
    <w:tblStylePr w:type="firstRow">
      <w:pPr/>
      <w:rPr>
        <w:i/>
        <w:color w:val="404040"/>
      </w:rPr>
      <w:tblPr/>
      <w:tcPr>
        <w:tcBorders>
          <w:left w:val="none" w:color="000000" w:sz="4" w:space="0"/>
          <w:bottom w:val="single" w:color="404040" w:sz="4" w:space="0"/>
          <w:right w:val="none" w:color="000000" w:sz="4" w:space="0"/>
        </w:tcBorders>
        <w:shd w:val="clear" w:color="FFFFFF" w:fill="auto"/>
      </w:tcPr>
    </w:tblStylePr>
    <w:tblStylePr w:type="lastCol">
      <w:pPr/>
      <w:rPr>
        <w:i/>
        <w:color w:val="404040"/>
      </w:rPr>
      <w:tblPr/>
      <w:tcPr>
        <w:tcBorders>
          <w:left w:val="single" w:color="404040" w:sz="4" w:space="0"/>
        </w:tcBorders>
        <w:shd w:val="clear" w:color="FFFFFF" w:fill="auto"/>
      </w:tcPr>
    </w:tblStylePr>
    <w:tblStylePr w:type="lastRow">
      <w:pPr/>
      <w:rPr>
        <w:i/>
        <w:color w:val="404040"/>
      </w:rPr>
      <w:tblPr/>
      <w:tcPr>
        <w:tcBorders>
          <w:top w:val="single" w:color="404040" w:sz="4" w:space="0"/>
          <w:left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Grid Table 1 Light"/>
    <w:basedOn w:val="807"/>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blStylePr w:type="band1Horz">
      <w:pPr/>
      <w:rPr>
        <w:color w:val="404040"/>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6A6A6A" w:themeColor="text1"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Grid Table 1 Light Accent 1"/>
    <w:basedOn w:val="807"/>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blStylePr w:type="band1Horz">
      <w:pPr/>
      <w:rPr>
        <w:color w:val="404040"/>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9EC4E6" w:themeColor="accent1"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Grid Table 1 Light Accent 2"/>
    <w:basedOn w:val="807"/>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color w:val="404040"/>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F4B286" w:themeColor="accent2"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Grid Table 1 Light Accent 3"/>
    <w:basedOn w:val="807"/>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color w:val="404040"/>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CACACA" w:themeColor="accent3"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Grid Table 1 Light Accent 4"/>
    <w:basedOn w:val="807"/>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color w:val="404040"/>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FFDA6A" w:themeColor="accent4"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Grid Table 1 Light Accent 5"/>
    <w:basedOn w:val="807"/>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blStylePr w:type="band1Horz">
      <w:pPr/>
      <w:rPr>
        <w:color w:val="404040"/>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91ACDC" w:themeColor="accent5"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Grid Table 1 Light Accent 6"/>
    <w:basedOn w:val="807"/>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color w:val="404040"/>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bottom w:val="single" w:color="AAD190" w:themeColor="accent6" w:sz="12" w:space="0"/>
        </w:tcBorders>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Grid Table 2"/>
    <w:basedOn w:val="807"/>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color w:val="404040"/>
        <w:sz w:val="22"/>
      </w:rPr>
      <w:tblPr/>
      <w:tcPr>
        <w:shd w:val="clear" w:color="CBCBCB" w:fill="CBCBCB" w:themeFill="text1" w:themeFillTint="34"/>
      </w:tcPr>
    </w:tblStylePr>
    <w:tblStylePr w:type="band1Vert">
      <w:pPr/>
      <w:rPr>
        <w:color w:val="404040"/>
        <w:sz w:val="22"/>
      </w:rPr>
      <w:tblPr/>
      <w:tcPr>
        <w:shd w:val="clear" w:color="CBCBCB" w:fill="CBCBCB" w:themeFill="tex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Grid Table 2 Accent 1"/>
    <w:basedOn w:val="807"/>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blStylePr w:type="band1Horz">
      <w:pPr/>
      <w:rPr>
        <w:color w:val="404040"/>
        <w:sz w:val="22"/>
      </w:rPr>
      <w:tblPr/>
      <w:tcPr>
        <w:shd w:val="clear" w:color="DDEAF6" w:fill="DDEAF6" w:themeFill="accent1" w:themeFillTint="34"/>
      </w:tcPr>
    </w:tblStylePr>
    <w:tblStylePr w:type="band1Vert">
      <w:pPr/>
      <w:rPr>
        <w:color w:val="404040"/>
        <w:sz w:val="22"/>
      </w:rPr>
      <w:tblPr/>
      <w:tcPr>
        <w:shd w:val="clear" w:color="DDEAF6" w:fill="DDEAF6" w:themeFill="accen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Grid Table 2 Accent 2"/>
    <w:basedOn w:val="807"/>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val="404040"/>
        <w:sz w:val="22"/>
      </w:rPr>
      <w:tblPr/>
      <w:tcPr>
        <w:shd w:val="clear" w:color="FBE5D6" w:fill="FBE5D6" w:themeFill="accent2" w:themeFillTint="32"/>
      </w:tcPr>
    </w:tblStylePr>
    <w:tblStylePr w:type="band1Vert">
      <w:pPr/>
      <w:rPr>
        <w:color w:val="404040"/>
        <w:sz w:val="22"/>
      </w:rPr>
      <w:tblPr/>
      <w:tcPr>
        <w:shd w:val="clear" w:color="FBE5D6" w:fill="FBE5D6"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Grid Table 2 Accent 3"/>
    <w:basedOn w:val="807"/>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404040"/>
        <w:sz w:val="22"/>
      </w:rPr>
      <w:tblPr/>
      <w:tcPr>
        <w:shd w:val="clear" w:color="ECECEC" w:fill="ECECEC" w:themeFill="accent3" w:themeFillTint="34"/>
      </w:tcPr>
    </w:tblStylePr>
    <w:tblStylePr w:type="band1Vert">
      <w:pPr/>
      <w:rPr>
        <w:color w:val="404040"/>
        <w:sz w:val="22"/>
      </w:rPr>
      <w:tblPr/>
      <w:tcPr>
        <w:shd w:val="clear" w:color="ECECEC" w:fill="ECECEC"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Grid Table 2 Accent 4"/>
    <w:basedOn w:val="807"/>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val="404040"/>
        <w:sz w:val="22"/>
      </w:rPr>
      <w:tblPr/>
      <w:tcPr>
        <w:shd w:val="clear" w:color="FFF2CB" w:fill="FFF2CB" w:themeFill="accent4" w:themeFillTint="34"/>
      </w:tcPr>
    </w:tblStylePr>
    <w:tblStylePr w:type="band1Vert">
      <w:pPr/>
      <w:rPr>
        <w:color w:val="404040"/>
        <w:sz w:val="22"/>
      </w:rPr>
      <w:tblPr/>
      <w:tcPr>
        <w:shd w:val="clear" w:color="FFF2CB"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Grid Table 2 Accent 5"/>
    <w:basedOn w:val="807"/>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blStylePr w:type="band1Horz">
      <w:pPr/>
      <w:rPr>
        <w:color w:val="404040"/>
        <w:sz w:val="22"/>
      </w:rPr>
      <w:tblPr/>
      <w:tcPr>
        <w:shd w:val="clear" w:color="D8E2F3" w:fill="D8E2F3" w:themeFill="accent5" w:themeFillTint="34"/>
      </w:tcPr>
    </w:tblStylePr>
    <w:tblStylePr w:type="band1Vert">
      <w:pPr/>
      <w:rPr>
        <w:color w:val="404040"/>
        <w:sz w:val="22"/>
      </w:rPr>
      <w:tblPr/>
      <w:tcPr>
        <w:shd w:val="clear" w:color="D8E2F3" w:fill="D8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Grid Table 2 Accent 6"/>
    <w:basedOn w:val="807"/>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color w:val="404040"/>
        <w:sz w:val="22"/>
      </w:rPr>
      <w:tblPr/>
      <w:tcPr>
        <w:shd w:val="clear" w:color="E1EFD8" w:fill="E1EFD8" w:themeFill="accent6" w:themeFillTint="34"/>
      </w:tcPr>
    </w:tblStylePr>
    <w:tblStylePr w:type="band1Vert">
      <w:pPr/>
      <w:rPr>
        <w:color w:val="404040"/>
        <w:sz w:val="22"/>
      </w:rPr>
      <w:tblPr/>
      <w:tcPr>
        <w:shd w:val="clear" w:color="E1EFD8" w:fill="E1EFD8"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Col">
      <w:pPr/>
      <w:rPr>
        <w:b/>
        <w:color w:val="404040"/>
      </w:rPr>
      <w:tblPr/>
      <w:tcPr/>
    </w:tblStylePr>
    <w:tblStylePr w:type="lastRow">
      <w:pPr/>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Grid Table 3"/>
    <w:basedOn w:val="807"/>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color w:val="404040"/>
        <w:sz w:val="22"/>
      </w:rPr>
      <w:tblPr/>
      <w:tcPr>
        <w:shd w:val="clear" w:color="CBCBCB" w:fill="CBCBCB" w:themeFill="text1" w:themeFillTint="34"/>
      </w:tcPr>
    </w:tblStylePr>
    <w:tblStylePr w:type="band1Vert">
      <w:pPr/>
      <w:rPr>
        <w:color w:val="404040"/>
        <w:sz w:val="22"/>
      </w:rPr>
      <w:tblPr/>
      <w:tcPr>
        <w:shd w:val="clear" w:color="CBCBCB" w:fill="CBCBCB" w:themeFill="text1"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Grid Table 3 Accent 1"/>
    <w:basedOn w:val="807"/>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blStylePr w:type="band1Horz">
      <w:pPr/>
      <w:rPr>
        <w:color w:val="404040"/>
        <w:sz w:val="22"/>
      </w:rPr>
      <w:tblPr/>
      <w:tcPr>
        <w:shd w:val="clear" w:color="DDEAF6" w:fill="DDEAF6" w:themeFill="accent1" w:themeFillTint="34"/>
      </w:tcPr>
    </w:tblStylePr>
    <w:tblStylePr w:type="band1Vert">
      <w:pPr/>
      <w:rPr>
        <w:color w:val="404040"/>
        <w:sz w:val="22"/>
      </w:rPr>
      <w:tblPr/>
      <w:tcPr>
        <w:shd w:val="clear" w:color="DDEAF6" w:fill="DDEAF6" w:themeFill="accent1"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2">
    <w:name w:val="Grid Table 3 Accent 2"/>
    <w:basedOn w:val="807"/>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val="404040"/>
        <w:sz w:val="22"/>
      </w:rPr>
      <w:tblPr/>
      <w:tcPr>
        <w:shd w:val="clear" w:color="FBE5D6" w:fill="FBE5D6" w:themeFill="accent2" w:themeFillTint="32"/>
      </w:tcPr>
    </w:tblStylePr>
    <w:tblStylePr w:type="band1Vert">
      <w:pPr/>
      <w:rPr>
        <w:color w:val="404040"/>
        <w:sz w:val="22"/>
      </w:rPr>
      <w:tblPr/>
      <w:tcPr>
        <w:shd w:val="clear" w:color="FBE5D6" w:fill="FBE5D6" w:themeFill="accent2" w:themeFillTint="32"/>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3">
    <w:name w:val="Grid Table 3 Accent 3"/>
    <w:basedOn w:val="807"/>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404040"/>
        <w:sz w:val="22"/>
      </w:rPr>
      <w:tblPr/>
      <w:tcPr>
        <w:shd w:val="clear" w:color="ECECEC" w:fill="ECECEC" w:themeFill="accent3" w:themeFillTint="34"/>
      </w:tcPr>
    </w:tblStylePr>
    <w:tblStylePr w:type="band1Vert">
      <w:pPr/>
      <w:rPr>
        <w:color w:val="404040"/>
        <w:sz w:val="22"/>
      </w:rPr>
      <w:tblPr/>
      <w:tcPr>
        <w:shd w:val="clear" w:color="ECECEC" w:fill="ECECEC" w:themeFill="accent3"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4">
    <w:name w:val="Grid Table 3 Accent 4"/>
    <w:basedOn w:val="807"/>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val="404040"/>
        <w:sz w:val="22"/>
      </w:rPr>
      <w:tblPr/>
      <w:tcPr>
        <w:shd w:val="clear" w:color="FFF2CB" w:fill="FFF2CB" w:themeFill="accent4" w:themeFillTint="34"/>
      </w:tcPr>
    </w:tblStylePr>
    <w:tblStylePr w:type="band1Vert">
      <w:pPr/>
      <w:rPr>
        <w:color w:val="404040"/>
        <w:sz w:val="22"/>
      </w:rPr>
      <w:tblPr/>
      <w:tcPr>
        <w:shd w:val="clear" w:color="FFF2CB" w:fill="FFF2CB" w:themeFill="accent4"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Grid Table 3 Accent 5"/>
    <w:basedOn w:val="807"/>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blStylePr w:type="band1Horz">
      <w:pPr/>
      <w:rPr>
        <w:color w:val="404040"/>
        <w:sz w:val="22"/>
      </w:rPr>
      <w:tblPr/>
      <w:tcPr>
        <w:shd w:val="clear" w:color="D8E2F3" w:fill="D8E2F3" w:themeFill="accent5" w:themeFillTint="34"/>
      </w:tcPr>
    </w:tblStylePr>
    <w:tblStylePr w:type="band1Vert">
      <w:pPr/>
      <w:rPr>
        <w:color w:val="404040"/>
        <w:sz w:val="22"/>
      </w:rPr>
      <w:tblPr/>
      <w:tcPr>
        <w:shd w:val="clear" w:color="D8E2F3" w:fill="D8E2F3" w:themeFill="accent5"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6">
    <w:name w:val="Grid Table 3 Accent 6"/>
    <w:basedOn w:val="807"/>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color w:val="404040"/>
        <w:sz w:val="22"/>
      </w:rPr>
      <w:tblPr/>
      <w:tcPr>
        <w:shd w:val="clear" w:color="E1EFD8" w:fill="E1EFD8" w:themeFill="accent6" w:themeFillTint="34"/>
      </w:tcPr>
    </w:tblStylePr>
    <w:tblStylePr w:type="band1Vert">
      <w:pPr/>
      <w:rPr>
        <w:color w:val="404040"/>
        <w:sz w:val="22"/>
      </w:rPr>
      <w:tblPr/>
      <w:tcPr>
        <w:shd w:val="clear" w:color="E1EFD8" w:fill="E1EFD8" w:themeFill="accent6" w:themeFillTint="34"/>
      </w:tcPr>
    </w:tblStylePr>
    <w:tblStylePr w:type="band2Horz">
      <w:pPr/>
      <w:tblPr/>
      <w:tcPr/>
    </w:tblStylePr>
    <w:tblStylePr w:type="band2Vert">
      <w:pPr/>
      <w:tblPr/>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7">
    <w:name w:val="Grid Table 4"/>
    <w:basedOn w:val="807"/>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blStylePr w:type="band1Horz">
      <w:pPr/>
      <w:rPr>
        <w:color w:val="404040"/>
        <w:sz w:val="22"/>
      </w:rPr>
      <w:tblPr/>
      <w:tcPr>
        <w:shd w:val="clear" w:color="CBCBCB" w:fill="CBCBCB" w:themeFill="text1" w:themeFillTint="34"/>
      </w:tcPr>
    </w:tblStylePr>
    <w:tblStylePr w:type="band1Vert">
      <w:pPr/>
      <w:rPr>
        <w:color w:val="404040"/>
        <w:sz w:val="22"/>
      </w:rPr>
      <w:tblPr/>
      <w:tcPr>
        <w:shd w:val="clear" w:color="CBCBCB" w:fill="CBCBCB" w:themeFill="text1"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Col">
      <w:pPr/>
      <w:rPr>
        <w:b/>
        <w:color w:val="404040"/>
      </w:rPr>
      <w:tblPr/>
      <w:tcPr/>
    </w:tblStylePr>
    <w:tblStylePr w:type="lastRow">
      <w:pPr/>
      <w:rPr>
        <w:b/>
        <w:color w:val="404040"/>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8">
    <w:name w:val="Grid Table 4 Accent 1"/>
    <w:basedOn w:val="807"/>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blStylePr w:type="band1Horz">
      <w:pPr/>
      <w:rPr>
        <w:color w:val="404040"/>
        <w:sz w:val="22"/>
      </w:rPr>
      <w:tblPr/>
      <w:tcPr>
        <w:shd w:val="clear" w:color="DEEBF6" w:fill="DEEBF6" w:themeFill="accent1" w:themeFillTint="32"/>
      </w:tcPr>
    </w:tblStylePr>
    <w:tblStylePr w:type="band1Vert">
      <w:pPr/>
      <w:rPr>
        <w:color w:val="404040"/>
        <w:sz w:val="22"/>
      </w:rPr>
      <w:tblPr/>
      <w:tcPr>
        <w:shd w:val="clear" w:color="DEEBF6" w:fill="DEEBF6" w:themeFill="accent1"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68A2D8" w:themeColor="accent1" w:sz="4" w:space="0"/>
          <w:left w:val="single" w:color="68A2D8" w:themeColor="accent1" w:sz="4" w:space="0"/>
          <w:bottom w:val="single" w:color="68A2D8" w:themeColor="accent1" w:sz="4" w:space="0"/>
          <w:right w:val="single" w:color="68A2D8" w:themeColor="accent1" w:sz="4" w:space="0"/>
        </w:tcBorders>
        <w:shd w:val="clear" w:color="68A2D8" w:fill="68A2D8" w:themeFill="accent1" w:themeFillTint="ea"/>
      </w:tcPr>
    </w:tblStylePr>
    <w:tblStylePr w:type="lastCol">
      <w:pPr/>
      <w:rPr>
        <w:b/>
        <w:color w:val="404040"/>
      </w:rPr>
      <w:tblPr/>
      <w:tcPr/>
    </w:tblStylePr>
    <w:tblStylePr w:type="lastRow">
      <w:pPr/>
      <w:rPr>
        <w:b/>
        <w:color w:val="404040"/>
      </w:rPr>
      <w:tblPr/>
      <w:tcPr>
        <w:tcBorders>
          <w:top w:val="single" w:color="68A2D8"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9">
    <w:name w:val="Grid Table 4 Accent 2"/>
    <w:basedOn w:val="807"/>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blStylePr w:type="band1Horz">
      <w:pPr/>
      <w:rPr>
        <w:color w:val="404040"/>
        <w:sz w:val="22"/>
      </w:rPr>
      <w:tblPr/>
      <w:tcPr>
        <w:shd w:val="clear" w:color="FBE5D6" w:fill="FBE5D6" w:themeFill="accent2" w:themeFillTint="32"/>
      </w:tcPr>
    </w:tblStylePr>
    <w:tblStylePr w:type="band1Vert">
      <w:pPr/>
      <w:rPr>
        <w:color w:val="404040"/>
        <w:sz w:val="22"/>
      </w:rPr>
      <w:tblPr/>
      <w:tcPr>
        <w:shd w:val="clear" w:color="FBE5D6" w:fill="FBE5D6" w:themeFill="accent2" w:themeFillTint="32"/>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Col">
      <w:pPr/>
      <w:rPr>
        <w:b/>
        <w:color w:val="404040"/>
      </w:rPr>
      <w:tblPr/>
      <w:tcPr/>
    </w:tblStylePr>
    <w:tblStylePr w:type="lastRow">
      <w:pPr/>
      <w:rPr>
        <w:b/>
        <w:color w:val="404040"/>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Grid Table 4 Accent 3"/>
    <w:basedOn w:val="807"/>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blStylePr w:type="band1Horz">
      <w:pPr/>
      <w:rPr>
        <w:color w:val="404040"/>
        <w:sz w:val="22"/>
      </w:rPr>
      <w:tblPr/>
      <w:tcPr>
        <w:shd w:val="clear" w:color="ECECEC" w:fill="ECECEC" w:themeFill="accent3" w:themeFillTint="34"/>
      </w:tcPr>
    </w:tblStylePr>
    <w:tblStylePr w:type="band1Vert">
      <w:pPr/>
      <w:rPr>
        <w:color w:val="404040"/>
        <w:sz w:val="22"/>
      </w:rPr>
      <w:tblPr/>
      <w:tcPr>
        <w:shd w:val="clear" w:color="ECECEC" w:fill="ECECEC" w:themeFill="accent3"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Col">
      <w:pPr/>
      <w:rPr>
        <w:b/>
        <w:color w:val="404040"/>
      </w:rPr>
      <w:tblPr/>
      <w:tcPr/>
    </w:tblStylePr>
    <w:tblStylePr w:type="lastRow">
      <w:pPr/>
      <w:rPr>
        <w:b/>
        <w:color w:val="404040"/>
      </w:rPr>
      <w:tblPr/>
      <w:tcPr>
        <w:tcBorders>
          <w:top w:val="single" w:color="A5A5A5"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Grid Table 4 Accent 4"/>
    <w:basedOn w:val="807"/>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blStylePr w:type="band1Horz">
      <w:pPr/>
      <w:rPr>
        <w:color w:val="404040"/>
        <w:sz w:val="22"/>
      </w:rPr>
      <w:tblPr/>
      <w:tcPr>
        <w:shd w:val="clear" w:color="FFF2CB" w:fill="FFF2CB" w:themeFill="accent4" w:themeFillTint="34"/>
      </w:tcPr>
    </w:tblStylePr>
    <w:tblStylePr w:type="band1Vert">
      <w:pPr/>
      <w:rPr>
        <w:color w:val="404040"/>
        <w:sz w:val="22"/>
      </w:rPr>
      <w:tblPr/>
      <w:tcPr>
        <w:shd w:val="clear" w:color="FFF2CB" w:fill="FFF2CB" w:themeFill="accent4"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Col">
      <w:pPr/>
      <w:rPr>
        <w:b/>
        <w:color w:val="404040"/>
      </w:rPr>
      <w:tblPr/>
      <w:tcPr/>
    </w:tblStylePr>
    <w:tblStylePr w:type="lastRow">
      <w:pPr/>
      <w:rPr>
        <w:b/>
        <w:color w:val="404040"/>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Grid Table 4 Accent 5"/>
    <w:basedOn w:val="807"/>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blStylePr w:type="band1Horz">
      <w:pPr/>
      <w:rPr>
        <w:color w:val="404040"/>
        <w:sz w:val="22"/>
      </w:rPr>
      <w:tblPr/>
      <w:tcPr>
        <w:shd w:val="clear" w:color="D8E2F3" w:fill="D8E2F3" w:themeFill="accent5" w:themeFillTint="34"/>
      </w:tcPr>
    </w:tblStylePr>
    <w:tblStylePr w:type="band1Vert">
      <w:pPr/>
      <w:rPr>
        <w:color w:val="404040"/>
        <w:sz w:val="22"/>
      </w:rPr>
      <w:tblPr/>
      <w:tcPr>
        <w:shd w:val="clear" w:color="D8E2F3" w:fill="D8E2F3" w:themeFill="accent5"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Col">
      <w:pPr/>
      <w:rPr>
        <w:b/>
        <w:color w:val="404040"/>
      </w:rPr>
      <w:tblPr/>
      <w:tcPr/>
    </w:tblStylePr>
    <w:tblStylePr w:type="lastRow">
      <w:pPr/>
      <w:rPr>
        <w:b/>
        <w:color w:val="404040"/>
      </w:rPr>
      <w:tblPr/>
      <w:tcPr>
        <w:tcBorders>
          <w:top w:val="single" w:color="4472C4"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Grid Table 4 Accent 6"/>
    <w:basedOn w:val="807"/>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color w:val="404040"/>
        <w:sz w:val="22"/>
      </w:rPr>
      <w:tblPr/>
      <w:tcPr>
        <w:shd w:val="clear" w:color="E1EFD8" w:fill="E1EFD8" w:themeFill="accent6" w:themeFillTint="34"/>
      </w:tcPr>
    </w:tblStylePr>
    <w:tblStylePr w:type="band1Vert">
      <w:pPr/>
      <w:rPr>
        <w:color w:val="404040"/>
        <w:sz w:val="22"/>
      </w:rPr>
      <w:tblPr/>
      <w:tcPr>
        <w:shd w:val="clear" w:color="E1EFD8" w:fill="E1EFD8" w:themeFill="accent6" w:themeFillTint="34"/>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Col">
      <w:pPr/>
      <w:rPr>
        <w:b/>
        <w:color w:val="404040"/>
      </w:rPr>
      <w:tblPr/>
      <w:tcPr/>
    </w:tblStylePr>
    <w:tblStylePr w:type="lastRow">
      <w:pPr/>
      <w:rPr>
        <w:b/>
        <w:color w:val="404040"/>
      </w:rPr>
      <w:tblPr/>
      <w:tcPr>
        <w:tcBorders>
          <w:top w:val="single" w:color="70AD47"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Grid Table 5 Dark"/>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8A8A8A" w:fill="8A8A8A" w:themeFill="text1" w:themeFillTint="75"/>
      </w:tcPr>
    </w:tblStylePr>
    <w:tblStylePr w:type="band1Vert">
      <w:pPr/>
      <w:tblPr/>
      <w:tcPr>
        <w:shd w:val="clear" w:color="8A8A8A" w:fill="8A8A8A" w:themeFill="text1" w:themeFillTint="75"/>
      </w:tcPr>
    </w:tblStylePr>
    <w:tblStylePr w:type="band2Horz">
      <w:pPr/>
      <w:tblPr/>
      <w:tcPr/>
    </w:tblStylePr>
    <w:tblStylePr w:type="band2Vert">
      <w:pPr/>
      <w:tblPr/>
      <w:tcPr/>
    </w:tblStylePr>
    <w:tblStylePr w:type="firstCol">
      <w:pPr/>
      <w:rPr>
        <w:b/>
        <w:color w:val="FFFFFF"/>
        <w:sz w:val="22"/>
      </w:rPr>
      <w:tblPr/>
      <w:tcPr>
        <w:shd w:val="clear" w:color="000000" w:fill="000000" w:themeFill="text1"/>
      </w:tcPr>
    </w:tblStylePr>
    <w:tblStylePr w:type="firstRow">
      <w:pPr/>
      <w:rPr>
        <w:b/>
        <w:color w:val="FFFFFF"/>
        <w:sz w:val="22"/>
      </w:rPr>
      <w:tblPr/>
      <w:tcPr>
        <w:shd w:val="clear" w:color="000000" w:fill="000000" w:themeFill="text1"/>
      </w:tcPr>
    </w:tblStylePr>
    <w:tblStylePr w:type="lastCol">
      <w:pPr/>
      <w:rPr>
        <w:b/>
        <w:color w:val="FFFFFF"/>
        <w:sz w:val="22"/>
      </w:rPr>
      <w:tblPr/>
      <w:tcPr>
        <w:shd w:val="clear" w:color="000000" w:fill="000000" w:themeFill="text1"/>
      </w:tcPr>
    </w:tblStylePr>
    <w:tblStylePr w:type="lastRow">
      <w:pPr/>
      <w:rPr>
        <w:b/>
        <w:color w:val="FFFFFF"/>
        <w:sz w:val="22"/>
      </w:rPr>
      <w:tblPr/>
      <w:tcPr>
        <w:tcBorders>
          <w:top w:val="single" w:color="FFFFFF" w:themeColor="light1" w:sz="4" w:space="0"/>
        </w:tcBorders>
        <w:shd w:val="clear" w:color="000000"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5">
    <w:name w:val="Grid Table 5 Dark- Accent 1"/>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3D0EB" w:fill="B3D0EB" w:themeFill="accent1" w:themeFillTint="75"/>
      </w:tcPr>
    </w:tblStylePr>
    <w:tblStylePr w:type="band1Vert">
      <w:pPr/>
      <w:tblPr/>
      <w:tcPr>
        <w:shd w:val="clear" w:color="B3D0EB" w:fill="B3D0EB" w:themeFill="accent1" w:themeFillTint="75"/>
      </w:tcPr>
    </w:tblStylePr>
    <w:tblStylePr w:type="band2Horz">
      <w:pPr/>
      <w:tblPr/>
      <w:tcPr/>
    </w:tblStylePr>
    <w:tblStylePr w:type="band2Vert">
      <w:pPr/>
      <w:tblPr/>
      <w:tcPr/>
    </w:tblStylePr>
    <w:tblStylePr w:type="firstCol">
      <w:pPr/>
      <w:rPr>
        <w:b/>
        <w:color w:val="FFFFFF"/>
        <w:sz w:val="22"/>
      </w:rPr>
      <w:tblPr/>
      <w:tcPr>
        <w:shd w:val="clear" w:color="5B9BD5" w:fill="5B9BD5" w:themeFill="accent1"/>
      </w:tcPr>
    </w:tblStylePr>
    <w:tblStylePr w:type="firstRow">
      <w:pPr/>
      <w:rPr>
        <w:b/>
        <w:color w:val="FFFFFF"/>
        <w:sz w:val="22"/>
      </w:rPr>
      <w:tblPr/>
      <w:tcPr>
        <w:shd w:val="clear" w:color="5B9BD5" w:fill="5B9BD5" w:themeFill="accent1"/>
      </w:tcPr>
    </w:tblStylePr>
    <w:tblStylePr w:type="lastCol">
      <w:pPr/>
      <w:rPr>
        <w:b/>
        <w:color w:val="FFFFFF"/>
        <w:sz w:val="22"/>
      </w:rPr>
      <w:tblPr/>
      <w:tcPr>
        <w:shd w:val="clear" w:color="5B9BD5" w:fill="5B9BD5" w:themeFill="accent1"/>
      </w:tcPr>
    </w:tblStylePr>
    <w:tblStylePr w:type="lastRow">
      <w:pPr/>
      <w:rPr>
        <w:b/>
        <w:color w:val="FFFFFF"/>
        <w:sz w:val="22"/>
      </w:rPr>
      <w:tblPr/>
      <w:tcPr>
        <w:tcBorders>
          <w:top w:val="single" w:color="FFFFFF" w:themeColor="light1" w:sz="4" w:space="0"/>
        </w:tcBorders>
        <w:shd w:val="clear" w:color="5B9BD5"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Grid Table 5 Dark Accent 2"/>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6C3A0" w:fill="F6C3A0" w:themeFill="accent2" w:themeFillTint="75"/>
      </w:tcPr>
    </w:tblStylePr>
    <w:tblStylePr w:type="band1Vert">
      <w:pPr/>
      <w:tblPr/>
      <w:tcPr>
        <w:shd w:val="clear" w:color="F6C3A0" w:fill="F6C3A0" w:themeFill="accent2" w:themeFillTint="75"/>
      </w:tcPr>
    </w:tblStylePr>
    <w:tblStylePr w:type="band2Horz">
      <w:pPr/>
      <w:tblPr/>
      <w:tcPr/>
    </w:tblStylePr>
    <w:tblStylePr w:type="band2Vert">
      <w:pPr/>
      <w:tblPr/>
      <w:tcPr/>
    </w:tblStylePr>
    <w:tblStylePr w:type="firstCol">
      <w:pPr/>
      <w:rPr>
        <w:b/>
        <w:color w:val="FFFFFF"/>
        <w:sz w:val="22"/>
      </w:rPr>
      <w:tblPr/>
      <w:tcPr>
        <w:shd w:val="clear" w:color="ED7D31" w:fill="ED7D31" w:themeFill="accent2"/>
      </w:tcPr>
    </w:tblStylePr>
    <w:tblStylePr w:type="firstRow">
      <w:pPr/>
      <w:rPr>
        <w:b/>
        <w:color w:val="FFFFFF"/>
        <w:sz w:val="22"/>
      </w:rPr>
      <w:tblPr/>
      <w:tcPr>
        <w:shd w:val="clear" w:color="ED7D31" w:fill="ED7D31" w:themeFill="accent2"/>
      </w:tcPr>
    </w:tblStylePr>
    <w:tblStylePr w:type="lastCol">
      <w:pPr/>
      <w:rPr>
        <w:b/>
        <w:color w:val="FFFFFF"/>
        <w:sz w:val="22"/>
      </w:rPr>
      <w:tblPr/>
      <w:tcPr>
        <w:shd w:val="clear" w:color="ED7D31" w:fill="ED7D31" w:themeFill="accent2"/>
      </w:tcPr>
    </w:tblStylePr>
    <w:tblStylePr w:type="lastRow">
      <w:pPr/>
      <w:rPr>
        <w:b/>
        <w:color w:val="FFFFFF"/>
        <w:sz w:val="22"/>
      </w:rPr>
      <w:tblPr/>
      <w:tcPr>
        <w:tcBorders>
          <w:top w:val="single" w:color="FFFFFF" w:themeColor="light1" w:sz="4" w:space="0"/>
        </w:tcBorders>
        <w:shd w:val="clear" w:color="ED7D31"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Grid Table 5 Dark Accent 3"/>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D5D5D5" w:fill="D5D5D5" w:themeFill="accent3" w:themeFillTint="75"/>
      </w:tcPr>
    </w:tblStylePr>
    <w:tblStylePr w:type="band1Vert">
      <w:pPr/>
      <w:tblPr/>
      <w:tcPr>
        <w:shd w:val="clear" w:color="D5D5D5" w:fill="D5D5D5" w:themeFill="accent3" w:themeFillTint="75"/>
      </w:tcPr>
    </w:tblStylePr>
    <w:tblStylePr w:type="band2Horz">
      <w:pPr/>
      <w:tblPr/>
      <w:tcPr/>
    </w:tblStylePr>
    <w:tblStylePr w:type="band2Vert">
      <w:pPr/>
      <w:tblPr/>
      <w:tcPr/>
    </w:tblStylePr>
    <w:tblStylePr w:type="firstCol">
      <w:pPr/>
      <w:rPr>
        <w:b/>
        <w:color w:val="FFFFFF"/>
        <w:sz w:val="22"/>
      </w:rPr>
      <w:tblPr/>
      <w:tcPr>
        <w:shd w:val="clear" w:color="A5A5A5" w:fill="A5A5A5" w:themeFill="accent3"/>
      </w:tcPr>
    </w:tblStylePr>
    <w:tblStylePr w:type="firstRow">
      <w:pPr/>
      <w:rPr>
        <w:b/>
        <w:color w:val="FFFFFF"/>
        <w:sz w:val="22"/>
      </w:rPr>
      <w:tblPr/>
      <w:tcPr>
        <w:shd w:val="clear" w:color="A5A5A5" w:fill="A5A5A5" w:themeFill="accent3"/>
      </w:tcPr>
    </w:tblStylePr>
    <w:tblStylePr w:type="lastCol">
      <w:pPr/>
      <w:rPr>
        <w:b/>
        <w:color w:val="FFFFFF"/>
        <w:sz w:val="22"/>
      </w:rPr>
      <w:tblPr/>
      <w:tcPr>
        <w:shd w:val="clear" w:color="A5A5A5" w:fill="A5A5A5" w:themeFill="accent3"/>
      </w:tcPr>
    </w:tblStylePr>
    <w:tblStylePr w:type="lastRow">
      <w:pPr/>
      <w:rPr>
        <w:b/>
        <w:color w:val="FFFFFF"/>
        <w:sz w:val="22"/>
      </w:rPr>
      <w:tblPr/>
      <w:tcPr>
        <w:tcBorders>
          <w:top w:val="single" w:color="FFFFFF" w:themeColor="light1" w:sz="4" w:space="0"/>
        </w:tcBorders>
        <w:shd w:val="clear" w:color="A5A5A5"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8">
    <w:name w:val="Grid Table 5 Dark- Accent 4"/>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E28A" w:fill="FFE28A" w:themeFill="accent4" w:themeFillTint="75"/>
      </w:tcPr>
    </w:tblStylePr>
    <w:tblStylePr w:type="band1Vert">
      <w:pPr/>
      <w:tblPr/>
      <w:tcPr>
        <w:shd w:val="clear" w:color="FFE28A" w:fill="FFE28A" w:themeFill="accent4" w:themeFillTint="75"/>
      </w:tcPr>
    </w:tblStylePr>
    <w:tblStylePr w:type="band2Horz">
      <w:pPr/>
      <w:tblPr/>
      <w:tcPr/>
    </w:tblStylePr>
    <w:tblStylePr w:type="band2Vert">
      <w:pPr/>
      <w:tblPr/>
      <w:tcPr/>
    </w:tblStylePr>
    <w:tblStylePr w:type="firstCol">
      <w:pPr/>
      <w:rPr>
        <w:b/>
        <w:color w:val="FFFFFF"/>
        <w:sz w:val="22"/>
      </w:rPr>
      <w:tblPr/>
      <w:tcPr>
        <w:shd w:val="clear" w:color="FFC000" w:fill="FFC000" w:themeFill="accent4"/>
      </w:tcPr>
    </w:tblStylePr>
    <w:tblStylePr w:type="firstRow">
      <w:pPr/>
      <w:rPr>
        <w:b/>
        <w:color w:val="FFFFFF"/>
        <w:sz w:val="22"/>
      </w:rPr>
      <w:tblPr/>
      <w:tcPr>
        <w:shd w:val="clear" w:color="FFC000" w:fill="FFC000" w:themeFill="accent4"/>
      </w:tcPr>
    </w:tblStylePr>
    <w:tblStylePr w:type="lastCol">
      <w:pPr/>
      <w:rPr>
        <w:b/>
        <w:color w:val="FFFFFF"/>
        <w:sz w:val="22"/>
      </w:rPr>
      <w:tblPr/>
      <w:tcPr>
        <w:shd w:val="clear" w:color="FFC000" w:fill="FFC000" w:themeFill="accent4"/>
      </w:tcPr>
    </w:tblStylePr>
    <w:tblStylePr w:type="lastRow">
      <w:pPr/>
      <w:rPr>
        <w:b/>
        <w:color w:val="FFFFFF"/>
        <w:sz w:val="22"/>
      </w:rPr>
      <w:tblPr/>
      <w:tcPr>
        <w:tcBorders>
          <w:top w:val="single" w:color="FFFFFF" w:themeColor="light1" w:sz="4" w:space="0"/>
        </w:tcBorders>
        <w:shd w:val="clear" w:color="FFC000"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Grid Table 5 Dark Accent 5"/>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A9BEE4" w:fill="A9BEE4" w:themeFill="accent5" w:themeFillTint="75"/>
      </w:tcPr>
    </w:tblStylePr>
    <w:tblStylePr w:type="band1Vert">
      <w:pPr/>
      <w:tblPr/>
      <w:tcPr>
        <w:shd w:val="clear" w:color="A9BEE4" w:fill="A9BEE4" w:themeFill="accent5" w:themeFillTint="75"/>
      </w:tcPr>
    </w:tblStylePr>
    <w:tblStylePr w:type="band2Horz">
      <w:pPr/>
      <w:tblPr/>
      <w:tcPr/>
    </w:tblStylePr>
    <w:tblStylePr w:type="band2Vert">
      <w:pPr/>
      <w:tblPr/>
      <w:tcPr/>
    </w:tblStylePr>
    <w:tblStylePr w:type="firstCol">
      <w:pPr/>
      <w:rPr>
        <w:b/>
        <w:color w:val="FFFFFF"/>
        <w:sz w:val="22"/>
      </w:rPr>
      <w:tblPr/>
      <w:tcPr>
        <w:shd w:val="clear" w:color="4472C4" w:fill="4472C4" w:themeFill="accent5"/>
      </w:tcPr>
    </w:tblStylePr>
    <w:tblStylePr w:type="firstRow">
      <w:pPr/>
      <w:rPr>
        <w:b/>
        <w:color w:val="FFFFFF"/>
        <w:sz w:val="22"/>
      </w:rPr>
      <w:tblPr/>
      <w:tcPr>
        <w:shd w:val="clear" w:color="4472C4" w:fill="4472C4" w:themeFill="accent5"/>
      </w:tcPr>
    </w:tblStylePr>
    <w:tblStylePr w:type="lastCol">
      <w:pPr/>
      <w:rPr>
        <w:b/>
        <w:color w:val="FFFFFF"/>
        <w:sz w:val="22"/>
      </w:rPr>
      <w:tblPr/>
      <w:tcPr>
        <w:shd w:val="clear" w:color="4472C4" w:fill="4472C4" w:themeFill="accent5"/>
      </w:tcPr>
    </w:tblStylePr>
    <w:tblStylePr w:type="lastRow">
      <w:pPr/>
      <w:rPr>
        <w:b/>
        <w:color w:val="FFFFFF"/>
        <w:sz w:val="22"/>
      </w:rPr>
      <w:tblPr/>
      <w:tcPr>
        <w:tcBorders>
          <w:top w:val="single" w:color="FFFFFF" w:themeColor="light1" w:sz="4" w:space="0"/>
        </w:tcBorders>
        <w:shd w:val="clear" w:color="4472C4"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Grid Table 5 Dark Accent 6"/>
    <w:basedOn w:val="807"/>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CDBA8" w:fill="BCDBA8" w:themeFill="accent6" w:themeFillTint="75"/>
      </w:tcPr>
    </w:tblStylePr>
    <w:tblStylePr w:type="band1Vert">
      <w:pPr/>
      <w:tblPr/>
      <w:tcPr>
        <w:shd w:val="clear" w:color="BCDBA8" w:fill="BCDBA8" w:themeFill="accent6" w:themeFillTint="75"/>
      </w:tcPr>
    </w:tblStylePr>
    <w:tblStylePr w:type="band2Horz">
      <w:pPr/>
      <w:tblPr/>
      <w:tcPr/>
    </w:tblStylePr>
    <w:tblStylePr w:type="band2Vert">
      <w:pPr/>
      <w:tblPr/>
      <w:tcPr/>
    </w:tblStylePr>
    <w:tblStylePr w:type="firstCol">
      <w:pPr/>
      <w:rPr>
        <w:b/>
        <w:color w:val="FFFFFF"/>
        <w:sz w:val="22"/>
      </w:rPr>
      <w:tblPr/>
      <w:tcPr>
        <w:shd w:val="clear" w:color="70AD47" w:fill="70AD47" w:themeFill="accent6"/>
      </w:tcPr>
    </w:tblStylePr>
    <w:tblStylePr w:type="firstRow">
      <w:pPr/>
      <w:rPr>
        <w:b/>
        <w:color w:val="FFFFFF"/>
        <w:sz w:val="22"/>
      </w:rPr>
      <w:tblPr/>
      <w:tcPr>
        <w:shd w:val="clear" w:color="70AD47" w:fill="70AD47" w:themeFill="accent6"/>
      </w:tcPr>
    </w:tblStylePr>
    <w:tblStylePr w:type="lastCol">
      <w:pPr/>
      <w:rPr>
        <w:b/>
        <w:color w:val="FFFFFF"/>
        <w:sz w:val="22"/>
      </w:rPr>
      <w:tblPr/>
      <w:tcPr>
        <w:shd w:val="clear" w:color="70AD47" w:fill="70AD47" w:themeFill="accent6"/>
      </w:tcPr>
    </w:tblStylePr>
    <w:tblStylePr w:type="lastRow">
      <w:pPr/>
      <w:rPr>
        <w:b/>
        <w:color w:val="FFFFFF"/>
        <w:sz w:val="22"/>
      </w:rPr>
      <w:tblPr/>
      <w:tcPr>
        <w:tcBorders>
          <w:top w:val="single" w:color="FFFFFF" w:themeColor="light1" w:sz="4" w:space="0"/>
        </w:tcBorders>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1">
    <w:name w:val="Grid Table 6 Colorful"/>
    <w:basedOn w:val="807"/>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val="7F7F7F" w:themeColor="text1" w:themeTint="80" w:themeShade="95"/>
        <w:sz w:val="22"/>
      </w:rPr>
      <w:tblPr/>
      <w:tcPr>
        <w:shd w:val="clear" w:color="CBCBCB" w:fill="CBCBCB" w:themeFill="text1" w:themeFillTint="34"/>
      </w:tcPr>
    </w:tblStylePr>
    <w:tblStylePr w:type="band1Vert">
      <w:pPr/>
      <w:tblPr/>
      <w:tcPr>
        <w:shd w:val="clear" w:color="CBCBCB" w:fill="CBCBCB" w:themeFill="text1" w:themeFillTint="34"/>
      </w:tcPr>
    </w:tblStylePr>
    <w:tblStylePr w:type="band2Horz">
      <w:pPr/>
      <w:rPr>
        <w:color w:val="7F7F7F" w:themeColor="text1" w:themeTint="80" w:themeShade="95"/>
        <w:sz w:val="22"/>
      </w:rPr>
      <w:tblPr/>
      <w:tcPr/>
    </w:tblStylePr>
    <w:tblStylePr w:type="band2Vert">
      <w:pPr/>
      <w:tblPr/>
      <w:tcPr/>
    </w:tblStylePr>
    <w:tblStylePr w:type="firstCol">
      <w:pPr/>
      <w:rPr>
        <w:b/>
        <w:color w:val="7F7F7F" w:themeColor="text1" w:themeTint="80" w:themeShade="95"/>
      </w:rPr>
      <w:tblPr/>
      <w:tcPr/>
    </w:tblStylePr>
    <w:tblStylePr w:type="firstRow">
      <w:pPr/>
      <w:rPr>
        <w:b/>
        <w:color w:val="7F7F7F" w:themeColor="text1" w:themeTint="80" w:themeShade="95"/>
      </w:rPr>
      <w:tblPr/>
      <w:tcPr>
        <w:tcBorders>
          <w:bottom w:val="single" w:color="7F7F7F" w:themeColor="text1" w:sz="12" w:space="0"/>
        </w:tcBorders>
      </w:tcPr>
    </w:tblStylePr>
    <w:tblStylePr w:type="lastCol">
      <w:pPr/>
      <w:rPr>
        <w:b/>
        <w:color w:val="7F7F7F" w:themeColor="text1" w:themeTint="80" w:themeShade="95"/>
      </w:rPr>
      <w:tblPr/>
      <w:tcPr/>
    </w:tblStylePr>
    <w:tblStylePr w:type="lastRow">
      <w:pPr/>
      <w:rPr>
        <w:b/>
        <w:color w:val="7F7F7F"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2">
    <w:name w:val="Grid Table 6 Colorful Accent 1"/>
    <w:basedOn w:val="807"/>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blStylePr w:type="band1Horz">
      <w:pPr/>
      <w:rPr>
        <w:color w:val="ACCCEA" w:themeColor="accent1" w:themeTint="80" w:themeShade="95"/>
        <w:sz w:val="22"/>
      </w:rPr>
      <w:tblPr/>
      <w:tcPr>
        <w:shd w:val="clear" w:color="DDEAF6" w:fill="DDEAF6" w:themeFill="accent1" w:themeFillTint="34"/>
      </w:tcPr>
    </w:tblStylePr>
    <w:tblStylePr w:type="band1Vert">
      <w:pPr/>
      <w:tblPr/>
      <w:tcPr>
        <w:shd w:val="clear" w:color="DDEAF6" w:fill="DDEAF6" w:themeFill="accent1" w:themeFillTint="34"/>
      </w:tcPr>
    </w:tblStylePr>
    <w:tblStylePr w:type="band2Horz">
      <w:pPr/>
      <w:rPr>
        <w:color w:val="ACCCEA" w:themeColor="accent1" w:themeTint="80" w:themeShade="95"/>
        <w:sz w:val="22"/>
      </w:rPr>
      <w:tblPr/>
      <w:tcPr/>
    </w:tblStylePr>
    <w:tblStylePr w:type="band2Vert">
      <w:pPr/>
      <w:tblPr/>
      <w:tcPr/>
    </w:tblStylePr>
    <w:tblStylePr w:type="firstCol">
      <w:pPr/>
      <w:rPr>
        <w:b/>
        <w:color w:val="ACCCEA" w:themeColor="accent1" w:themeTint="80" w:themeShade="95"/>
      </w:rPr>
      <w:tblPr/>
      <w:tcPr/>
    </w:tblStylePr>
    <w:tblStylePr w:type="firstRow">
      <w:pPr/>
      <w:rPr>
        <w:b/>
        <w:color w:val="ACCCEA" w:themeColor="accent1" w:themeTint="80" w:themeShade="95"/>
      </w:rPr>
      <w:tblPr/>
      <w:tcPr>
        <w:tcBorders>
          <w:bottom w:val="single" w:color="ACCCEA" w:themeColor="accent1" w:sz="12" w:space="0"/>
        </w:tcBorders>
      </w:tcPr>
    </w:tblStylePr>
    <w:tblStylePr w:type="lastCol">
      <w:pPr/>
      <w:rPr>
        <w:b/>
        <w:color w:val="ACCCEA" w:themeColor="accent1" w:themeTint="80" w:themeShade="95"/>
      </w:rPr>
      <w:tblPr/>
      <w:tcPr/>
    </w:tblStylePr>
    <w:tblStylePr w:type="lastRow">
      <w:pPr/>
      <w:rPr>
        <w:b/>
        <w:color w:val="ACCCEA"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3">
    <w:name w:val="Grid Table 6 Colorful Accent 2"/>
    <w:basedOn w:val="807"/>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val="F4B184"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val="F4B184" w:themeColor="accent2" w:themeTint="97" w:themeShade="95"/>
        <w:sz w:val="22"/>
      </w:rPr>
      <w:tblPr/>
      <w:tcPr/>
    </w:tblStylePr>
    <w:tblStylePr w:type="band2Vert">
      <w:pPr/>
      <w:tblPr/>
      <w:tcPr/>
    </w:tblStylePr>
    <w:tblStylePr w:type="firstCol">
      <w:pPr/>
      <w:rPr>
        <w:b/>
        <w:color w:val="F4B184" w:themeColor="accent2" w:themeTint="97" w:themeShade="95"/>
      </w:rPr>
      <w:tblPr/>
      <w:tcPr/>
    </w:tblStylePr>
    <w:tblStylePr w:type="firstRow">
      <w:pPr/>
      <w:rPr>
        <w:b/>
        <w:color w:val="F4B184" w:themeColor="accent2" w:themeTint="97" w:themeShade="95"/>
      </w:rPr>
      <w:tblPr/>
      <w:tcPr>
        <w:tcBorders>
          <w:bottom w:val="single" w:color="F4B184" w:themeColor="accent2" w:sz="12" w:space="0"/>
        </w:tcBorders>
      </w:tcPr>
    </w:tblStylePr>
    <w:tblStylePr w:type="lastCol">
      <w:pPr/>
      <w:rPr>
        <w:b/>
        <w:color w:val="F4B184" w:themeColor="accent2" w:themeTint="97" w:themeShade="95"/>
      </w:rPr>
      <w:tblPr/>
      <w:tcPr/>
    </w:tblStylePr>
    <w:tblStylePr w:type="lastRow">
      <w:pPr/>
      <w:rPr>
        <w:b/>
        <w:color w:val="F4B184"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4">
    <w:name w:val="Grid Table 6 Colorful Accent 3"/>
    <w:basedOn w:val="807"/>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A5A5A5"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val="A5A5A5" w:themeColor="accent3" w:themeTint="fe" w:themeShade="95"/>
        <w:sz w:val="22"/>
      </w:rPr>
      <w:tblPr/>
      <w:tcPr/>
    </w:tblStylePr>
    <w:tblStylePr w:type="band2Vert">
      <w:pPr/>
      <w:tblPr/>
      <w:tcPr/>
    </w:tblStylePr>
    <w:tblStylePr w:type="firstCol">
      <w:pPr/>
      <w:rPr>
        <w:b/>
        <w:color w:val="A5A5A5" w:themeColor="accent3" w:themeTint="fe" w:themeShade="95"/>
      </w:rPr>
      <w:tblPr/>
      <w:tcPr/>
    </w:tblStylePr>
    <w:tblStylePr w:type="firstRow">
      <w:pPr/>
      <w:rPr>
        <w:b/>
        <w:color w:val="A5A5A5" w:themeColor="accent3" w:themeTint="fe" w:themeShade="95"/>
      </w:rPr>
      <w:tblPr/>
      <w:tcPr>
        <w:tcBorders>
          <w:bottom w:val="single" w:color="A5A5A5" w:themeColor="accent3" w:sz="12" w:space="0"/>
        </w:tcBorders>
      </w:tcPr>
    </w:tblStylePr>
    <w:tblStylePr w:type="lastCol">
      <w:pPr/>
      <w:rPr>
        <w:b/>
        <w:color w:val="A5A5A5" w:themeColor="accent3" w:themeTint="fe" w:themeShade="95"/>
      </w:rPr>
      <w:tblPr/>
      <w:tcPr/>
    </w:tblStylePr>
    <w:tblStylePr w:type="lastRow">
      <w:pPr/>
      <w:rPr>
        <w:b/>
        <w:color w:val="A5A5A5"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5">
    <w:name w:val="Grid Table 6 Colorful Accent 4"/>
    <w:basedOn w:val="807"/>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val="FFD865"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val="FFD865" w:themeColor="accent4" w:themeTint="9a" w:themeShade="95"/>
        <w:sz w:val="22"/>
      </w:rPr>
      <w:tblPr/>
      <w:tcPr/>
    </w:tblStylePr>
    <w:tblStylePr w:type="band2Vert">
      <w:pPr/>
      <w:tblPr/>
      <w:tcPr/>
    </w:tblStylePr>
    <w:tblStylePr w:type="firstCol">
      <w:pPr/>
      <w:rPr>
        <w:b/>
        <w:color w:val="FFD865" w:themeColor="accent4" w:themeTint="9a" w:themeShade="95"/>
      </w:rPr>
      <w:tblPr/>
      <w:tcPr/>
    </w:tblStylePr>
    <w:tblStylePr w:type="firstRow">
      <w:pPr/>
      <w:rPr>
        <w:b/>
        <w:color w:val="FFD865" w:themeColor="accent4" w:themeTint="9a" w:themeShade="95"/>
      </w:rPr>
      <w:tblPr/>
      <w:tcPr>
        <w:tcBorders>
          <w:bottom w:val="single" w:color="FFD865" w:themeColor="accent4" w:sz="12" w:space="0"/>
        </w:tcBorders>
      </w:tcPr>
    </w:tblStylePr>
    <w:tblStylePr w:type="lastCol">
      <w:pPr/>
      <w:rPr>
        <w:b/>
        <w:color w:val="FFD865" w:themeColor="accent4" w:themeTint="9a" w:themeShade="95"/>
      </w:rPr>
      <w:tblPr/>
      <w:tcPr/>
    </w:tblStylePr>
    <w:tblStylePr w:type="lastRow">
      <w:pPr/>
      <w:rPr>
        <w:b/>
        <w:color w:val="FFD865"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6">
    <w:name w:val="Grid Table 6 Colorful Accent 5"/>
    <w:basedOn w:val="807"/>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blStylePr w:type="band1Horz">
      <w:pPr/>
      <w:rPr>
        <w:color w:val="254175" w:themeColor="accent5" w:themeShade="95"/>
        <w:sz w:val="22"/>
      </w:rPr>
      <w:tblPr/>
      <w:tcPr>
        <w:shd w:val="clear" w:color="D8E2F3" w:fill="D8E2F3" w:themeFill="accent5" w:themeFillTint="34"/>
      </w:tcPr>
    </w:tblStylePr>
    <w:tblStylePr w:type="band1Vert">
      <w:pPr/>
      <w:tblPr/>
      <w:tcPr>
        <w:shd w:val="clear" w:color="D8E2F3" w:fill="D8E2F3" w:themeFill="accent5" w:themeFillTint="34"/>
      </w:tcPr>
    </w:tblStylePr>
    <w:tblStylePr w:type="band2Horz">
      <w:pPr/>
      <w:rPr>
        <w:color w:val="254175" w:themeColor="accent5" w:themeShade="95"/>
        <w:sz w:val="22"/>
      </w:rPr>
      <w:tblPr/>
      <w:tcPr/>
    </w:tblStylePr>
    <w:tblStylePr w:type="band2Vert">
      <w:pPr/>
      <w:tblPr/>
      <w:tcPr/>
    </w:tblStylePr>
    <w:tblStylePr w:type="firstCol">
      <w:pPr/>
      <w:rPr>
        <w:b/>
        <w:color w:val="254175" w:themeColor="accent5" w:themeShade="95"/>
      </w:rPr>
      <w:tblPr/>
      <w:tcPr/>
    </w:tblStylePr>
    <w:tblStylePr w:type="firstRow">
      <w:pPr/>
      <w:rPr>
        <w:b/>
        <w:color w:val="254175" w:themeColor="accent5" w:themeShade="95"/>
      </w:rPr>
      <w:tblPr/>
      <w:tcPr>
        <w:tcBorders>
          <w:bottom w:val="single" w:color="4472C4" w:themeColor="accent5" w:sz="12" w:space="0"/>
        </w:tcBorders>
      </w:tcPr>
    </w:tblStylePr>
    <w:tblStylePr w:type="lastCol">
      <w:pPr/>
      <w:rPr>
        <w:b/>
        <w:color w:val="254175" w:themeColor="accent5" w:themeShade="95"/>
      </w:rPr>
      <w:tblPr/>
      <w:tcPr/>
    </w:tblStylePr>
    <w:tblStylePr w:type="lastRow">
      <w:pPr/>
      <w:rPr>
        <w:b/>
        <w:color w:val="2541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7">
    <w:name w:val="Grid Table 6 Colorful Accent 6"/>
    <w:basedOn w:val="807"/>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blStylePr w:type="band1Horz">
      <w:pPr/>
      <w:rPr>
        <w:color w:val="254175" w:themeColor="accent5"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val="254175" w:themeColor="accent5" w:themeShade="95"/>
        <w:sz w:val="22"/>
      </w:rPr>
      <w:tblPr/>
      <w:tcPr/>
    </w:tblStylePr>
    <w:tblStylePr w:type="band2Vert">
      <w:pPr/>
      <w:tblPr/>
      <w:tcPr/>
    </w:tblStylePr>
    <w:tblStylePr w:type="firstCol">
      <w:pPr/>
      <w:rPr>
        <w:b/>
        <w:color w:val="254175" w:themeColor="accent5" w:themeShade="95"/>
      </w:rPr>
      <w:tblPr/>
      <w:tcPr/>
    </w:tblStylePr>
    <w:tblStylePr w:type="firstRow">
      <w:pPr/>
      <w:rPr>
        <w:b/>
        <w:color w:val="254175" w:themeColor="accent5" w:themeShade="95"/>
      </w:rPr>
      <w:tblPr/>
      <w:tcPr>
        <w:tcBorders>
          <w:bottom w:val="single" w:color="70AD47" w:themeColor="accent6" w:sz="12" w:space="0"/>
        </w:tcBorders>
      </w:tcPr>
    </w:tblStylePr>
    <w:tblStylePr w:type="lastCol">
      <w:pPr/>
      <w:rPr>
        <w:b/>
        <w:color w:val="254175" w:themeColor="accent5" w:themeShade="95"/>
      </w:rPr>
      <w:tblPr/>
      <w:tcPr/>
    </w:tblStylePr>
    <w:tblStylePr w:type="lastRow">
      <w:pPr/>
      <w:rPr>
        <w:b/>
        <w:color w:val="2541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8">
    <w:name w:val="Grid Table 7 Colorful"/>
    <w:basedOn w:val="807"/>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val="7F7F7F" w:themeColor="text1" w:themeTint="80" w:themeShade="95"/>
        <w:sz w:val="22"/>
      </w:rPr>
      <w:tblPr/>
      <w:tcPr>
        <w:shd w:val="clear" w:color="F2F2F2" w:fill="F2F2F2" w:themeFill="text1" w:themeFillTint="d"/>
      </w:tcPr>
    </w:tblStylePr>
    <w:tblStylePr w:type="band1Vert">
      <w:pPr/>
      <w:tblPr/>
      <w:tcPr>
        <w:shd w:val="clear" w:color="F2F2F2" w:fill="F2F2F2" w:themeFill="text1" w:themeFillTint="d"/>
      </w:tcPr>
    </w:tblStylePr>
    <w:tblStylePr w:type="band2Horz">
      <w:pPr/>
      <w:rPr>
        <w:color w:val="7F7F7F" w:themeColor="text1" w:themeTint="80" w:themeShade="95"/>
        <w:sz w:val="22"/>
      </w:rPr>
      <w:tblPr/>
      <w:tcPr/>
    </w:tblStylePr>
    <w:tblStylePr w:type="band2Vert">
      <w:pPr/>
      <w:tblPr/>
      <w:tcPr/>
    </w:tblStylePr>
    <w:tblStylePr w:type="firstCol">
      <w:pPr>
        <w:jc w:val="right"/>
      </w:pPr>
      <w:rPr>
        <w:i/>
        <w:color w:val="7F7F7F"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firstRow">
      <w:pPr/>
      <w:rPr>
        <w:b/>
        <w:color w:val="7F7F7F"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Col">
      <w:pPr/>
      <w:rPr>
        <w:i/>
        <w:color w:val="7F7F7F"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lastRow">
      <w:pPr/>
      <w:rPr>
        <w:b/>
        <w:color w:val="7F7F7F"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9">
    <w:name w:val="Grid Table 7 Colorful Accent 1"/>
    <w:basedOn w:val="807"/>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blStylePr w:type="band1Horz">
      <w:pPr/>
      <w:rPr>
        <w:color w:val="ACCCEA" w:themeColor="accent1" w:themeTint="80" w:themeShade="95"/>
        <w:sz w:val="22"/>
      </w:rPr>
      <w:tblPr/>
      <w:tcPr>
        <w:shd w:val="clear" w:color="DDEAF6" w:fill="DDEAF6" w:themeFill="accent1" w:themeFillTint="34"/>
      </w:tcPr>
    </w:tblStylePr>
    <w:tblStylePr w:type="band1Vert">
      <w:pPr/>
      <w:tblPr/>
      <w:tcPr>
        <w:shd w:val="clear" w:color="DDEAF6" w:fill="DDEAF6" w:themeFill="accent1" w:themeFillTint="34"/>
      </w:tcPr>
    </w:tblStylePr>
    <w:tblStylePr w:type="band2Horz">
      <w:pPr/>
      <w:rPr>
        <w:color w:val="ACCCEA" w:themeColor="accent1" w:themeTint="80" w:themeShade="95"/>
        <w:sz w:val="22"/>
      </w:rPr>
      <w:tblPr/>
      <w:tcPr/>
    </w:tblStylePr>
    <w:tblStylePr w:type="band2Vert">
      <w:pPr/>
      <w:tblPr/>
      <w:tcPr/>
    </w:tblStylePr>
    <w:tblStylePr w:type="firstCol">
      <w:pPr>
        <w:jc w:val="right"/>
      </w:pPr>
      <w:rPr>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sz="4" w:space="0"/>
        </w:tcBorders>
        <w:shd w:val="clear" w:color="FFFFFF" w:fill="auto"/>
      </w:tcPr>
    </w:tblStylePr>
    <w:tblStylePr w:type="firstRow">
      <w:pPr/>
      <w:rPr>
        <w:b/>
        <w:color w:val="ACCCEA" w:themeColor="accent1" w:themeTint="80" w:themeShade="95"/>
        <w:sz w:val="22"/>
      </w:rPr>
      <w:tblPr/>
      <w:tcPr>
        <w:tcBorders>
          <w:top w:val="none" w:color="000000" w:sz="4" w:space="0"/>
          <w:left w:val="none" w:color="000000" w:sz="4" w:space="0"/>
          <w:bottom w:val="single" w:color="ACCCEA" w:themeColor="accent1" w:sz="4" w:space="0"/>
          <w:right w:val="none" w:color="000000" w:sz="4" w:space="0"/>
        </w:tcBorders>
        <w:shd w:val="clear" w:color="FFFFFF" w:fill="FFFFFF" w:themeFill="light1"/>
      </w:tcPr>
    </w:tblStylePr>
    <w:tblStylePr w:type="lastCol">
      <w:pPr/>
      <w:rPr>
        <w:i/>
        <w:color w:val="ACCCEA" w:themeColor="accent1" w:themeTint="80" w:themeShade="95"/>
        <w:sz w:val="22"/>
      </w:rPr>
      <w:tblPr/>
      <w:tcPr>
        <w:tcBorders>
          <w:top w:val="none" w:color="000000" w:sz="4" w:space="0"/>
          <w:left w:val="single" w:color="ACCCEA" w:themeColor="accent1" w:sz="4" w:space="0"/>
          <w:bottom w:val="none" w:color="000000" w:sz="4" w:space="0"/>
          <w:right w:val="none" w:color="000000" w:sz="4" w:space="0"/>
        </w:tcBorders>
        <w:shd w:val="clear" w:color="FFFFFF" w:fill="auto"/>
      </w:tcPr>
    </w:tblStylePr>
    <w:tblStylePr w:type="lastRow">
      <w:pPr/>
      <w:rPr>
        <w:b/>
        <w:color w:val="ACCCEA" w:themeColor="accent1" w:themeTint="80" w:themeShade="95"/>
        <w:sz w:val="22"/>
      </w:rPr>
      <w:tblPr/>
      <w:tcPr>
        <w:tcBorders>
          <w:top w:val="single" w:color="ACCCEA"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0">
    <w:name w:val="Grid Table 7 Colorful Accent 2"/>
    <w:basedOn w:val="807"/>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val="F4B184"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val="F4B184" w:themeColor="accent2" w:themeTint="97" w:themeShade="95"/>
        <w:sz w:val="22"/>
      </w:rPr>
      <w:tblPr/>
      <w:tcPr/>
    </w:tblStylePr>
    <w:tblStylePr w:type="band2Vert">
      <w:pPr/>
      <w:tblPr/>
      <w:tcPr/>
    </w:tblStylePr>
    <w:tblStylePr w:type="firstCol">
      <w:pPr>
        <w:jc w:val="right"/>
      </w:pPr>
      <w:rPr>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firstRow">
      <w:pPr/>
      <w:rPr>
        <w:b/>
        <w:color w:val="F4B184"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Col">
      <w:pPr/>
      <w:rPr>
        <w:i/>
        <w:color w:val="F4B184"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lastRow">
      <w:pPr/>
      <w:rPr>
        <w:b/>
        <w:color w:val="F4B184"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1">
    <w:name w:val="Grid Table 7 Colorful Accent 3"/>
    <w:basedOn w:val="807"/>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val="A5A5A5"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val="A5A5A5" w:themeColor="accent3" w:themeTint="fe" w:themeShade="95"/>
        <w:sz w:val="22"/>
      </w:rPr>
      <w:tblPr/>
      <w:tcPr/>
    </w:tblStylePr>
    <w:tblStylePr w:type="band2Vert">
      <w:pPr/>
      <w:tblPr/>
      <w:tcPr/>
    </w:tblStylePr>
    <w:tblStylePr w:type="firstCol">
      <w:pPr>
        <w:jc w:val="right"/>
      </w:pPr>
      <w:rPr>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firstRow">
      <w:pPr/>
      <w:rPr>
        <w:b/>
        <w:color w:val="A5A5A5" w:themeColor="accent3" w:themeTint="fe" w:themeShade="95"/>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Col">
      <w:pPr/>
      <w:rPr>
        <w:i/>
        <w:color w:val="A5A5A5" w:themeColor="accent3" w:themeTint="fe" w:themeShade="95"/>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lastRow">
      <w:pPr/>
      <w:rPr>
        <w:b/>
        <w:color w:val="A5A5A5" w:themeColor="accent3" w:themeTint="fe" w:themeShade="95"/>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2">
    <w:name w:val="Grid Table 7 Colorful Accent 4"/>
    <w:basedOn w:val="807"/>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val="FFD865"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val="FFD865" w:themeColor="accent4" w:themeTint="9a" w:themeShade="95"/>
        <w:sz w:val="22"/>
      </w:rPr>
      <w:tblPr/>
      <w:tcPr/>
    </w:tblStylePr>
    <w:tblStylePr w:type="band2Vert">
      <w:pPr/>
      <w:tblPr/>
      <w:tcPr/>
    </w:tblStylePr>
    <w:tblStylePr w:type="firstCol">
      <w:pPr>
        <w:jc w:val="right"/>
      </w:pPr>
      <w:rPr>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firstRow">
      <w:pPr/>
      <w:rPr>
        <w:b/>
        <w:color w:val="FFD865"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Col">
      <w:pPr/>
      <w:rPr>
        <w:i/>
        <w:color w:val="FFD865"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lastRow">
      <w:pPr/>
      <w:rPr>
        <w:b/>
        <w:color w:val="FFD865"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3">
    <w:name w:val="Grid Table 7 Colorful Accent 5"/>
    <w:basedOn w:val="807"/>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blStylePr w:type="band1Horz">
      <w:pPr/>
      <w:rPr>
        <w:color w:val="254175" w:themeColor="accent5" w:themeShade="95"/>
        <w:sz w:val="22"/>
      </w:rPr>
      <w:tblPr/>
      <w:tcPr>
        <w:shd w:val="clear" w:color="D8E2F3" w:fill="D8E2F3" w:themeFill="accent5" w:themeFillTint="34"/>
      </w:tcPr>
    </w:tblStylePr>
    <w:tblStylePr w:type="band1Vert">
      <w:pPr/>
      <w:tblPr/>
      <w:tcPr>
        <w:shd w:val="clear" w:color="D8E2F3" w:fill="D8E2F3" w:themeFill="accent5" w:themeFillTint="34"/>
      </w:tcPr>
    </w:tblStylePr>
    <w:tblStylePr w:type="band2Horz">
      <w:pPr/>
      <w:rPr>
        <w:color w:val="254175" w:themeColor="accent5" w:themeShade="95"/>
        <w:sz w:val="22"/>
      </w:rPr>
      <w:tblPr/>
      <w:tcPr/>
    </w:tblStylePr>
    <w:tblStylePr w:type="band2Vert">
      <w:pPr/>
      <w:tblPr/>
      <w:tcPr/>
    </w:tblStylePr>
    <w:tblStylePr w:type="firstCol">
      <w:pPr>
        <w:jc w:val="right"/>
      </w:pPr>
      <w:rPr>
        <w:i/>
        <w:color w:val="254175" w:themeColor="accent5" w:themeShade="95"/>
        <w:sz w:val="22"/>
      </w:rPr>
      <w:tblPr/>
      <w:tcPr>
        <w:tcBorders>
          <w:top w:val="none" w:color="000000" w:sz="4" w:space="0"/>
          <w:left w:val="none" w:color="000000" w:sz="4" w:space="0"/>
          <w:bottom w:val="none" w:color="000000" w:sz="4" w:space="0"/>
          <w:right w:val="single" w:color="95AFDD" w:themeColor="accent5" w:sz="4" w:space="0"/>
        </w:tcBorders>
        <w:shd w:val="clear" w:color="FFFFFF" w:fill="auto"/>
      </w:tcPr>
    </w:tblStylePr>
    <w:tblStylePr w:type="firstRow">
      <w:pPr/>
      <w:rPr>
        <w:b/>
        <w:color w:val="254175" w:themeColor="accent5" w:themeShade="95"/>
        <w:sz w:val="22"/>
      </w:rPr>
      <w:tblPr/>
      <w:tcPr>
        <w:tcBorders>
          <w:top w:val="none" w:color="000000" w:sz="4" w:space="0"/>
          <w:left w:val="none" w:color="000000" w:sz="4" w:space="0"/>
          <w:bottom w:val="single" w:color="95AFDD" w:themeColor="accent5" w:sz="4" w:space="0"/>
          <w:right w:val="none" w:color="000000" w:sz="4" w:space="0"/>
        </w:tcBorders>
        <w:shd w:val="clear" w:color="FFFFFF" w:fill="FFFFFF" w:themeFill="light1"/>
      </w:tcPr>
    </w:tblStylePr>
    <w:tblStylePr w:type="lastCol">
      <w:pPr/>
      <w:rPr>
        <w:i/>
        <w:color w:val="254175" w:themeColor="accent5" w:themeShade="95"/>
        <w:sz w:val="22"/>
      </w:rPr>
      <w:tblPr/>
      <w:tcPr>
        <w:tcBorders>
          <w:top w:val="none" w:color="000000" w:sz="4" w:space="0"/>
          <w:left w:val="single" w:color="95AFDD" w:themeColor="accent5" w:sz="4" w:space="0"/>
          <w:bottom w:val="none" w:color="000000" w:sz="4" w:space="0"/>
          <w:right w:val="none" w:color="000000" w:sz="4" w:space="0"/>
        </w:tcBorders>
        <w:shd w:val="clear" w:color="FFFFFF" w:fill="auto"/>
      </w:tcPr>
    </w:tblStylePr>
    <w:tblStylePr w:type="lastRow">
      <w:pPr/>
      <w:rPr>
        <w:b/>
        <w:color w:val="254175" w:themeColor="accent5" w:themeShade="95"/>
        <w:sz w:val="22"/>
      </w:rPr>
      <w:tblPr/>
      <w:tcPr>
        <w:tcBorders>
          <w:top w:val="single" w:color="95AFDD"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4">
    <w:name w:val="Grid Table 7 Colorful Accent 6"/>
    <w:basedOn w:val="807"/>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color w:val="416429" w:themeColor="accent6"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val="416429" w:themeColor="accent6" w:themeShade="95"/>
        <w:sz w:val="22"/>
      </w:rPr>
      <w:tblPr/>
      <w:tcPr/>
    </w:tblStylePr>
    <w:tblStylePr w:type="band2Vert">
      <w:pPr/>
      <w:tblPr/>
      <w:tcPr/>
    </w:tblStylePr>
    <w:tblStylePr w:type="firstCol">
      <w:pPr>
        <w:jc w:val="right"/>
      </w:pPr>
      <w:rPr>
        <w:i/>
        <w:color w:val="416429" w:themeColor="accent6" w:themeShade="95"/>
        <w:sz w:val="22"/>
      </w:rPr>
      <w:tblPr/>
      <w:tcPr>
        <w:tcBorders>
          <w:top w:val="none" w:color="000000" w:sz="4" w:space="0"/>
          <w:left w:val="none" w:color="000000" w:sz="4" w:space="0"/>
          <w:bottom w:val="none" w:color="000000" w:sz="4" w:space="0"/>
          <w:right w:val="single" w:color="ADD394" w:themeColor="accent6" w:sz="4" w:space="0"/>
        </w:tcBorders>
        <w:shd w:val="clear" w:color="FFFFFF" w:fill="auto"/>
      </w:tcPr>
    </w:tblStylePr>
    <w:tblStylePr w:type="firstRow">
      <w:pPr/>
      <w:rPr>
        <w:b/>
        <w:color w:val="416429" w:themeColor="accent6" w:themeShade="95"/>
        <w:sz w:val="22"/>
      </w:rPr>
      <w:tblPr/>
      <w:tcPr>
        <w:tcBorders>
          <w:top w:val="none" w:color="000000" w:sz="4" w:space="0"/>
          <w:left w:val="none" w:color="000000" w:sz="4" w:space="0"/>
          <w:bottom w:val="single" w:color="ADD394" w:themeColor="accent6" w:sz="4" w:space="0"/>
          <w:right w:val="none" w:color="000000" w:sz="4" w:space="0"/>
        </w:tcBorders>
        <w:shd w:val="clear" w:color="FFFFFF" w:fill="FFFFFF" w:themeFill="light1"/>
      </w:tcPr>
    </w:tblStylePr>
    <w:tblStylePr w:type="lastCol">
      <w:pPr/>
      <w:rPr>
        <w:i/>
        <w:color w:val="416429" w:themeColor="accent6" w:themeShade="95"/>
        <w:sz w:val="22"/>
      </w:rPr>
      <w:tblPr/>
      <w:tcPr>
        <w:tcBorders>
          <w:top w:val="none" w:color="000000" w:sz="4" w:space="0"/>
          <w:left w:val="single" w:color="ADD394" w:themeColor="accent6" w:sz="4" w:space="0"/>
          <w:bottom w:val="none" w:color="000000" w:sz="4" w:space="0"/>
          <w:right w:val="none" w:color="000000" w:sz="4" w:space="0"/>
        </w:tcBorders>
        <w:shd w:val="clear" w:color="FFFFFF" w:fill="auto"/>
      </w:tcPr>
    </w:tblStylePr>
    <w:tblStylePr w:type="lastRow">
      <w:pPr/>
      <w:rPr>
        <w:b/>
        <w:color w:val="416429" w:themeColor="accent6" w:themeShade="95"/>
        <w:sz w:val="22"/>
      </w:rPr>
      <w:tblPr/>
      <w:tcPr>
        <w:tcBorders>
          <w:top w:val="single" w:color="ADD394"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5">
    <w:name w:val="List Table 1 Light"/>
    <w:basedOn w:val="807"/>
    <w:uiPriority w:val="99"/>
    <w:pPr>
      <w:spacing w:after="0" w:line="240" w:lineRule="auto"/>
    </w:pPr>
    <w:tblPr>
      <w:tblStyleRowBandSize w:val="1"/>
      <w:tblStyleColBandSize w:val="1"/>
    </w:tblPr>
    <w:tcPr/>
    <w:tblStylePr w:type="band1Horz">
      <w:pPr/>
      <w:tblPr/>
      <w:tcPr>
        <w:shd w:val="clear" w:color="BFBFBF" w:fill="BFBFBF" w:themeFill="text1" w:themeFillTint="40"/>
      </w:tcPr>
    </w:tblStylePr>
    <w:tblStylePr w:type="band1Vert">
      <w:pPr/>
      <w:tblPr/>
      <w:tcPr>
        <w:shd w:val="clear" w:color="BFBFBF" w:fill="BFBFBF" w:themeFill="tex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color w:val="404040"/>
      </w:rPr>
      <w:tblPr/>
      <w:tcPr/>
    </w:tblStylePr>
    <w:tblStylePr w:type="lastRow">
      <w:pPr/>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6">
    <w:name w:val="List Table 1 Light Accent 1"/>
    <w:basedOn w:val="807"/>
    <w:uiPriority w:val="99"/>
    <w:pPr>
      <w:spacing w:after="0" w:line="240" w:lineRule="auto"/>
    </w:pPr>
    <w:tblPr>
      <w:tblStyleRowBandSize w:val="1"/>
      <w:tblStyleColBandSize w:val="1"/>
    </w:tblPr>
    <w:tcPr/>
    <w:tblStylePr w:type="band1Horz">
      <w:pPr/>
      <w:tblPr/>
      <w:tcPr>
        <w:shd w:val="clear" w:color="D5E5F4" w:fill="D5E5F4" w:themeFill="accent1" w:themeFillTint="40"/>
      </w:tcPr>
    </w:tblStylePr>
    <w:tblStylePr w:type="band1Vert">
      <w:pPr/>
      <w:tblPr/>
      <w:tcPr>
        <w:shd w:val="clear" w:color="D5E5F4" w:fill="D5E5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Col">
      <w:pPr/>
      <w:rPr>
        <w:b/>
        <w:color w:val="404040"/>
      </w:rPr>
      <w:tblPr/>
      <w:tcPr/>
    </w:tblStylePr>
    <w:tblStylePr w:type="lastRow">
      <w:pPr/>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List Table 1 Light Accent 2"/>
    <w:basedOn w:val="807"/>
    <w:uiPriority w:val="99"/>
    <w:pPr>
      <w:spacing w:after="0" w:line="240" w:lineRule="auto"/>
    </w:pPr>
    <w:tblPr>
      <w:tblStyleRowBandSize w:val="1"/>
      <w:tblStyleColBandSize w:val="1"/>
    </w:tblPr>
    <w:tcPr/>
    <w:tblStylePr w:type="band1Horz">
      <w:p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Col">
      <w:pPr/>
      <w:rPr>
        <w:b/>
        <w:color w:val="404040"/>
      </w:rPr>
      <w:tblPr/>
      <w:tcPr/>
    </w:tblStylePr>
    <w:tblStylePr w:type="lastRow">
      <w:pPr/>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8">
    <w:name w:val="List Table 1 Light Accent 3"/>
    <w:basedOn w:val="807"/>
    <w:uiPriority w:val="99"/>
    <w:pPr>
      <w:spacing w:after="0" w:line="240" w:lineRule="auto"/>
    </w:pPr>
    <w:tblPr>
      <w:tblStyleRowBandSize w:val="1"/>
      <w:tblStyleColBandSize w:val="1"/>
    </w:tblPr>
    <w:tcPr/>
    <w:tblStylePr w:type="band1Horz">
      <w:p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Col">
      <w:pPr/>
      <w:rPr>
        <w:b/>
        <w:color w:val="404040"/>
      </w:rPr>
      <w:tblPr/>
      <w:tcPr/>
    </w:tblStylePr>
    <w:tblStylePr w:type="lastRow">
      <w:pPr/>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List Table 1 Light Accent 4"/>
    <w:basedOn w:val="807"/>
    <w:uiPriority w:val="99"/>
    <w:pPr>
      <w:spacing w:after="0" w:line="240" w:lineRule="auto"/>
    </w:pPr>
    <w:tblPr>
      <w:tblStyleRowBandSize w:val="1"/>
      <w:tblStyleColBandSize w:val="1"/>
    </w:tblPr>
    <w:tcPr/>
    <w:tblStylePr w:type="band1Horz">
      <w:p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Col">
      <w:pPr/>
      <w:rPr>
        <w:b/>
        <w:color w:val="404040"/>
      </w:rPr>
      <w:tblPr/>
      <w:tcPr/>
    </w:tblStylePr>
    <w:tblStylePr w:type="lastRow">
      <w:pPr/>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List Table 1 Light Accent 5"/>
    <w:basedOn w:val="807"/>
    <w:uiPriority w:val="99"/>
    <w:pPr>
      <w:spacing w:after="0" w:line="240" w:lineRule="auto"/>
    </w:pPr>
    <w:tblPr>
      <w:tblStyleRowBandSize w:val="1"/>
      <w:tblStyleColBandSize w:val="1"/>
    </w:tblPr>
    <w:tcPr/>
    <w:tblStylePr w:type="band1Horz">
      <w:pPr/>
      <w:tblPr/>
      <w:tcPr>
        <w:shd w:val="clear" w:color="CFDBF0" w:fill="CFDBF0" w:themeFill="accent5" w:themeFillTint="40"/>
      </w:tcPr>
    </w:tblStylePr>
    <w:tblStylePr w:type="band1Vert">
      <w:pPr/>
      <w:tblPr/>
      <w:tcPr>
        <w:shd w:val="clear" w:color="CFDBF0" w:fill="CFDB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Col">
      <w:pPr/>
      <w:rPr>
        <w:b/>
        <w:color w:val="404040"/>
      </w:rPr>
      <w:tblPr/>
      <w:tcPr/>
    </w:tblStylePr>
    <w:tblStylePr w:type="lastRow">
      <w:pPr/>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List Table 1 Light Accent 6"/>
    <w:basedOn w:val="807"/>
    <w:uiPriority w:val="99"/>
    <w:pPr>
      <w:spacing w:after="0" w:line="240" w:lineRule="auto"/>
    </w:pPr>
    <w:tblPr>
      <w:tblStyleRowBandSize w:val="1"/>
      <w:tblStyleColBandSize w:val="1"/>
    </w:tblPr>
    <w:tcPr/>
    <w:tblStylePr w:type="band1Horz">
      <w:p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Col">
      <w:pPr/>
      <w:rPr>
        <w:b/>
        <w:color w:val="404040"/>
      </w:rPr>
      <w:tblPr/>
      <w:tcPr/>
    </w:tblStylePr>
    <w:tblStylePr w:type="lastRow">
      <w:pPr/>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List Table 2"/>
    <w:basedOn w:val="807"/>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blStylePr w:type="band1Horz">
      <w:pPr/>
      <w:rPr>
        <w:color w:val="404040"/>
        <w:sz w:val="22"/>
      </w:rPr>
      <w:tblPr/>
      <w:tcPr>
        <w:shd w:val="clear" w:color="BFBFBF" w:fill="BFBFBF" w:themeFill="text1" w:themeFillTint="40"/>
      </w:tcPr>
    </w:tblStylePr>
    <w:tblStylePr w:type="band1Vert">
      <w:pPr/>
      <w:rPr>
        <w:color w:val="404040"/>
        <w:sz w:val="22"/>
      </w:rPr>
      <w:tblPr/>
      <w:tcPr>
        <w:shd w:val="clear" w:color="BFBFBF" w:fill="BFBFBF" w:themeFill="text1"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List Table 2 Accent 1"/>
    <w:basedOn w:val="807"/>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blStylePr w:type="band1Horz">
      <w:pPr/>
      <w:rPr>
        <w:color w:val="404040"/>
        <w:sz w:val="22"/>
      </w:rPr>
      <w:tblPr/>
      <w:tcPr>
        <w:shd w:val="clear" w:color="D5E5F4" w:fill="D5E5F4" w:themeFill="accent1" w:themeFillTint="40"/>
      </w:tcPr>
    </w:tblStylePr>
    <w:tblStylePr w:type="band1Vert">
      <w:pPr/>
      <w:rPr>
        <w:color w:val="404040"/>
        <w:sz w:val="22"/>
      </w:rPr>
      <w:tblPr/>
      <w:tcPr>
        <w:shd w:val="clear" w:color="D5E5F4" w:fill="D5E5F4" w:themeFill="accent1"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4">
    <w:name w:val="List Table 2 Accent 2"/>
    <w:basedOn w:val="807"/>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blStylePr w:type="band1Horz">
      <w:pPr/>
      <w:rPr>
        <w:color w:val="404040"/>
        <w:sz w:val="22"/>
      </w:rPr>
      <w:tblPr/>
      <w:tcPr>
        <w:shd w:val="clear" w:color="FADECB" w:fill="FADECB" w:themeFill="accent2" w:themeFillTint="40"/>
      </w:tcPr>
    </w:tblStylePr>
    <w:tblStylePr w:type="band1Vert">
      <w:pPr/>
      <w:rPr>
        <w:color w:val="404040"/>
        <w:sz w:val="22"/>
      </w:rPr>
      <w:tblPr/>
      <w:tcPr>
        <w:shd w:val="clear" w:color="FADECB" w:fill="FADECB" w:themeFill="accent2"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5">
    <w:name w:val="List Table 2 Accent 3"/>
    <w:basedOn w:val="807"/>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blStylePr w:type="band1Horz">
      <w:pPr/>
      <w:rPr>
        <w:color w:val="404040"/>
        <w:sz w:val="22"/>
      </w:rPr>
      <w:tblPr/>
      <w:tcPr>
        <w:shd w:val="clear" w:color="E8E8E8" w:fill="E8E8E8" w:themeFill="accent3" w:themeFillTint="40"/>
      </w:tcPr>
    </w:tblStylePr>
    <w:tblStylePr w:type="band1Vert">
      <w:pPr/>
      <w:rPr>
        <w:color w:val="404040"/>
        <w:sz w:val="22"/>
      </w:rPr>
      <w:tblPr/>
      <w:tcPr>
        <w:shd w:val="clear" w:color="E8E8E8" w:fill="E8E8E8" w:themeFill="accent3"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6">
    <w:name w:val="List Table 2 Accent 4"/>
    <w:basedOn w:val="807"/>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blStylePr w:type="band1Horz">
      <w:pPr/>
      <w:rPr>
        <w:color w:val="404040"/>
        <w:sz w:val="22"/>
      </w:rPr>
      <w:tblPr/>
      <w:tcPr>
        <w:shd w:val="clear" w:color="FFEFBF" w:fill="FFEFBF" w:themeFill="accent4" w:themeFillTint="40"/>
      </w:tcPr>
    </w:tblStylePr>
    <w:tblStylePr w:type="band1Vert">
      <w:pPr/>
      <w:rPr>
        <w:color w:val="404040"/>
        <w:sz w:val="22"/>
      </w:rPr>
      <w:tblPr/>
      <w:tcPr>
        <w:shd w:val="clear" w:color="FFEFBF" w:fill="FFEFBF" w:themeFill="accent4"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7">
    <w:name w:val="List Table 2 Accent 5"/>
    <w:basedOn w:val="807"/>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blStylePr w:type="band1Horz">
      <w:pPr/>
      <w:rPr>
        <w:color w:val="404040"/>
        <w:sz w:val="22"/>
      </w:rPr>
      <w:tblPr/>
      <w:tcPr>
        <w:shd w:val="clear" w:color="CFDBF0" w:fill="CFDBF0" w:themeFill="accent5" w:themeFillTint="40"/>
      </w:tcPr>
    </w:tblStylePr>
    <w:tblStylePr w:type="band1Vert">
      <w:pPr/>
      <w:rPr>
        <w:color w:val="404040"/>
        <w:sz w:val="22"/>
      </w:rPr>
      <w:tblPr/>
      <w:tcPr>
        <w:shd w:val="clear" w:color="CFDBF0" w:fill="CFDBF0" w:themeFill="accent5"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8">
    <w:name w:val="List Table 2 Accent 6"/>
    <w:basedOn w:val="807"/>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blStylePr w:type="band1Horz">
      <w:pPr/>
      <w:rPr>
        <w:color w:val="404040"/>
        <w:sz w:val="22"/>
      </w:rPr>
      <w:tblPr/>
      <w:tcPr>
        <w:shd w:val="clear" w:color="DAEBCF" w:fill="DAEBCF" w:themeFill="accent6" w:themeFillTint="40"/>
      </w:tcPr>
    </w:tblStylePr>
    <w:tblStylePr w:type="band1Vert">
      <w:pPr/>
      <w:rPr>
        <w:color w:val="404040"/>
        <w:sz w:val="22"/>
      </w:rPr>
      <w:tblPr/>
      <w:tcPr>
        <w:shd w:val="clear" w:color="DAEBCF" w:fill="DAEBCF" w:themeFill="accent6" w:themeFillTint="40"/>
      </w:tcPr>
    </w:tblStylePr>
    <w:tblStylePr w:type="band2Horz">
      <w:pPr/>
      <w:tblPr/>
      <w:tcPr/>
    </w:tblStylePr>
    <w:tblStylePr w:type="band2Vert">
      <w:pPr/>
      <w:tblPr/>
      <w:tcPr/>
    </w:tblStylePr>
    <w:tblStylePr w:type="firstCol">
      <w:pPr/>
      <w:rPr>
        <w:b/>
        <w:color w:val="404040"/>
        <w:sz w:val="22"/>
      </w:rPr>
      <w:tblPr/>
      <w:tcPr/>
    </w:tblStylePr>
    <w:tblStylePr w:type="firstRow">
      <w:pPr/>
      <w:rPr>
        <w:b/>
        <w:color w:val="404040"/>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pPr/>
      <w:rPr>
        <w:b/>
        <w:color w:val="404040"/>
        <w:sz w:val="22"/>
      </w:rPr>
      <w:tblPr/>
      <w:tcPr/>
    </w:tblStylePr>
    <w:tblStylePr w:type="lastRow">
      <w:pPr/>
      <w:rPr>
        <w:b/>
        <w:color w:val="404040"/>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9">
    <w:name w:val="List Table 3"/>
    <w:basedOn w:val="80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color w:val="404040"/>
        <w:sz w:val="22"/>
      </w:rPr>
      <w:tblPr/>
      <w:tcPr>
        <w:tcBorders>
          <w:top w:val="single" w:color="000000" w:themeColor="text1" w:sz="4" w:space="0"/>
          <w:bottom w:val="single" w:color="000000" w:themeColor="text1" w:sz="4" w:space="0"/>
        </w:tcBorders>
      </w:tcPr>
    </w:tblStylePr>
    <w:tblStylePr w:type="band1Vert">
      <w:pPr/>
      <w:rPr>
        <w:color w:val="404040"/>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000000" w:fill="000000" w:themeFill="tex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0">
    <w:name w:val="List Table 3 Accent 1"/>
    <w:basedOn w:val="807"/>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blStylePr w:type="band1Horz">
      <w:pPr/>
      <w:rPr>
        <w:color w:val="404040"/>
        <w:sz w:val="22"/>
      </w:rPr>
      <w:tblPr/>
      <w:tcPr>
        <w:tcBorders>
          <w:top w:val="single" w:color="5B9BD5" w:themeColor="accent1" w:sz="4" w:space="0"/>
          <w:bottom w:val="single" w:color="5B9BD5" w:themeColor="accent1" w:sz="4" w:space="0"/>
        </w:tcBorders>
      </w:tcPr>
    </w:tblStylePr>
    <w:tblStylePr w:type="band1Vert">
      <w:pPr/>
      <w:rPr>
        <w:color w:val="404040"/>
        <w:sz w:val="22"/>
      </w:rPr>
      <w:tblPr/>
      <w:tcPr>
        <w:tcBorders>
          <w:left w:val="single" w:color="5B9BD5" w:themeColor="accent1" w:sz="4" w:space="0"/>
          <w:right w:val="single" w:color="5B9BD5" w:themeColor="accent1"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5B9BD5"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1">
    <w:name w:val="List Table 3 Accent 2"/>
    <w:basedOn w:val="807"/>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blStylePr w:type="band1Horz">
      <w:pPr/>
      <w:rPr>
        <w:color w:val="404040"/>
        <w:sz w:val="22"/>
      </w:rPr>
      <w:tblPr/>
      <w:tcPr>
        <w:tcBorders>
          <w:top w:val="single" w:color="F4B184" w:themeColor="accent2" w:sz="4" w:space="0"/>
          <w:bottom w:val="single" w:color="F4B184" w:themeColor="accent2" w:sz="4" w:space="0"/>
        </w:tcBorders>
      </w:tcPr>
    </w:tblStylePr>
    <w:tblStylePr w:type="band1Vert">
      <w:pPr/>
      <w:rPr>
        <w:color w:val="404040"/>
        <w:sz w:val="22"/>
      </w:rPr>
      <w:tblPr/>
      <w:tcPr>
        <w:tcBorders>
          <w:left w:val="single" w:color="F4B184" w:themeColor="accent2" w:sz="4" w:space="0"/>
          <w:right w:val="single" w:color="F4B184" w:themeColor="accent2"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4B184" w:fill="F4B184" w:themeFill="accent2" w:themeFillTint="97"/>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2">
    <w:name w:val="List Table 3 Accent 3"/>
    <w:basedOn w:val="807"/>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blStylePr w:type="band1Horz">
      <w:pPr/>
      <w:rPr>
        <w:color w:val="404040"/>
        <w:sz w:val="22"/>
      </w:rPr>
      <w:tblPr/>
      <w:tcPr>
        <w:tcBorders>
          <w:top w:val="single" w:color="C9C9C9" w:themeColor="accent3" w:sz="4" w:space="0"/>
          <w:bottom w:val="single" w:color="C9C9C9" w:themeColor="accent3" w:sz="4" w:space="0"/>
        </w:tcBorders>
      </w:tcPr>
    </w:tblStylePr>
    <w:tblStylePr w:type="band1Vert">
      <w:pPr/>
      <w:rPr>
        <w:color w:val="404040"/>
        <w:sz w:val="22"/>
      </w:rPr>
      <w:tblPr/>
      <w:tcPr>
        <w:tcBorders>
          <w:left w:val="single" w:color="C9C9C9" w:themeColor="accent3" w:sz="4" w:space="0"/>
          <w:right w:val="single" w:color="C9C9C9" w:themeColor="accent3"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C9C9C9" w:fill="C9C9C9" w:themeFill="accent3"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3">
    <w:name w:val="List Table 3 Accent 4"/>
    <w:basedOn w:val="807"/>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blStylePr w:type="band1Horz">
      <w:pPr/>
      <w:rPr>
        <w:color w:val="404040"/>
        <w:sz w:val="22"/>
      </w:rPr>
      <w:tblPr/>
      <w:tcPr>
        <w:tcBorders>
          <w:top w:val="single" w:color="FFD865" w:themeColor="accent4" w:sz="4" w:space="0"/>
          <w:bottom w:val="single" w:color="FFD865" w:themeColor="accent4" w:sz="4" w:space="0"/>
        </w:tcBorders>
      </w:tcPr>
    </w:tblStylePr>
    <w:tblStylePr w:type="band1Vert">
      <w:pPr/>
      <w:rPr>
        <w:color w:val="404040"/>
        <w:sz w:val="22"/>
      </w:rPr>
      <w:tblPr/>
      <w:tcPr>
        <w:tcBorders>
          <w:left w:val="single" w:color="FFD865" w:themeColor="accent4" w:sz="4" w:space="0"/>
          <w:right w:val="single" w:color="FFD865" w:themeColor="accent4"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D865" w:fill="FFD865" w:themeFill="accent4"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4">
    <w:name w:val="List Table 3 Accent 5"/>
    <w:basedOn w:val="807"/>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blStylePr w:type="band1Horz">
      <w:pPr/>
      <w:rPr>
        <w:color w:val="404040"/>
        <w:sz w:val="22"/>
      </w:rPr>
      <w:tblPr/>
      <w:tcPr>
        <w:tcBorders>
          <w:top w:val="single" w:color="8DA9DB" w:themeColor="accent5" w:sz="4" w:space="0"/>
          <w:bottom w:val="single" w:color="8DA9DB" w:themeColor="accent5" w:sz="4" w:space="0"/>
        </w:tcBorders>
      </w:tcPr>
    </w:tblStylePr>
    <w:tblStylePr w:type="band1Vert">
      <w:pPr/>
      <w:rPr>
        <w:color w:val="404040"/>
        <w:sz w:val="22"/>
      </w:rPr>
      <w:tblPr/>
      <w:tcPr>
        <w:tcBorders>
          <w:left w:val="single" w:color="8DA9DB" w:themeColor="accent5" w:sz="4" w:space="0"/>
          <w:right w:val="single" w:color="8DA9DB" w:themeColor="accent5"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8DA9DB" w:fill="8DA9DB" w:themeFill="accent5" w:themeFillTint="9a"/>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5">
    <w:name w:val="List Table 3 Accent 6"/>
    <w:basedOn w:val="807"/>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blStylePr w:type="band1Horz">
      <w:pPr/>
      <w:rPr>
        <w:color w:val="404040"/>
        <w:sz w:val="22"/>
      </w:rPr>
      <w:tblPr/>
      <w:tcPr>
        <w:tcBorders>
          <w:top w:val="single" w:color="A9D08E" w:themeColor="accent6" w:sz="4" w:space="0"/>
          <w:bottom w:val="single" w:color="A9D08E" w:themeColor="accent6" w:sz="4" w:space="0"/>
        </w:tcBorders>
      </w:tcPr>
    </w:tblStylePr>
    <w:tblStylePr w:type="band1Vert">
      <w:pPr/>
      <w:rPr>
        <w:color w:val="404040"/>
        <w:sz w:val="22"/>
      </w:rPr>
      <w:tblPr/>
      <w:tcPr>
        <w:tcBorders>
          <w:left w:val="single" w:color="A9D08E" w:themeColor="accent6" w:sz="4" w:space="0"/>
          <w:right w:val="single" w:color="A9D08E" w:themeColor="accent6" w:sz="4" w:space="0"/>
        </w:tcBorders>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A9D08E" w:fill="A9D08E" w:themeFill="accent6" w:themeFillTint="98"/>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6">
    <w:name w:val="List Table 4"/>
    <w:basedOn w:val="80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color w:val="404040"/>
        <w:sz w:val="22"/>
      </w:rPr>
      <w:tblPr/>
      <w:tcPr>
        <w:shd w:val="clear" w:color="BFBFBF" w:fill="BFBFBF" w:themeFill="text1" w:themeFillTint="40"/>
      </w:tcPr>
    </w:tblStylePr>
    <w:tblStylePr w:type="band1Vert">
      <w:pPr/>
      <w:rPr>
        <w:color w:val="404040"/>
        <w:sz w:val="22"/>
      </w:rPr>
      <w:tblPr/>
      <w:tcPr>
        <w:shd w:val="clear" w:color="BFBFBF" w:fill="BFBFBF" w:themeFill="tex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000000" w:fill="000000" w:themeFill="tex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7">
    <w:name w:val="List Table 4 Accent 1"/>
    <w:basedOn w:val="807"/>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blStylePr w:type="band1Horz">
      <w:pPr/>
      <w:rPr>
        <w:color w:val="404040"/>
        <w:sz w:val="22"/>
      </w:rPr>
      <w:tblPr/>
      <w:tcPr>
        <w:shd w:val="clear" w:color="D5E5F4" w:fill="D5E5F4" w:themeFill="accent1" w:themeFillTint="40"/>
      </w:tcPr>
    </w:tblStylePr>
    <w:tblStylePr w:type="band1Vert">
      <w:pPr/>
      <w:rPr>
        <w:color w:val="404040"/>
        <w:sz w:val="22"/>
      </w:rPr>
      <w:tblPr/>
      <w:tcPr>
        <w:shd w:val="clear" w:color="D5E5F4" w:fill="D5E5F4" w:themeFill="accent1"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5B9BD5" w:fill="5B9BD5" w:themeFill="accent1"/>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8">
    <w:name w:val="List Table 4 Accent 2"/>
    <w:basedOn w:val="807"/>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blStylePr w:type="band1Horz">
      <w:pPr/>
      <w:rPr>
        <w:color w:val="404040"/>
        <w:sz w:val="22"/>
      </w:rPr>
      <w:tblPr/>
      <w:tcPr>
        <w:shd w:val="clear" w:color="FADECB" w:fill="FADECB" w:themeFill="accent2" w:themeFillTint="40"/>
      </w:tcPr>
    </w:tblStylePr>
    <w:tblStylePr w:type="band1Vert">
      <w:pPr/>
      <w:rPr>
        <w:color w:val="404040"/>
        <w:sz w:val="22"/>
      </w:rPr>
      <w:tblPr/>
      <w:tcPr>
        <w:shd w:val="clear" w:color="FADECB" w:fill="FADECB" w:themeFill="accent2"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ED7D31" w:fill="ED7D31" w:themeFill="accent2"/>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9">
    <w:name w:val="List Table 4 Accent 3"/>
    <w:basedOn w:val="807"/>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blStylePr w:type="band1Horz">
      <w:pPr/>
      <w:rPr>
        <w:color w:val="404040"/>
        <w:sz w:val="22"/>
      </w:rPr>
      <w:tblPr/>
      <w:tcPr>
        <w:shd w:val="clear" w:color="E8E8E8" w:fill="E8E8E8" w:themeFill="accent3" w:themeFillTint="40"/>
      </w:tcPr>
    </w:tblStylePr>
    <w:tblStylePr w:type="band1Vert">
      <w:pPr/>
      <w:rPr>
        <w:color w:val="404040"/>
        <w:sz w:val="22"/>
      </w:rPr>
      <w:tblPr/>
      <w:tcPr>
        <w:shd w:val="clear" w:color="E8E8E8" w:fill="E8E8E8" w:themeFill="accent3"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A5A5A5" w:fill="A5A5A5" w:themeFill="accent3"/>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0">
    <w:name w:val="List Table 4 Accent 4"/>
    <w:basedOn w:val="807"/>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blStylePr w:type="band1Horz">
      <w:pPr/>
      <w:rPr>
        <w:color w:val="404040"/>
        <w:sz w:val="22"/>
      </w:rPr>
      <w:tblPr/>
      <w:tcPr>
        <w:shd w:val="clear" w:color="FFEFBF" w:fill="FFEFBF" w:themeFill="accent4" w:themeFillTint="40"/>
      </w:tcPr>
    </w:tblStylePr>
    <w:tblStylePr w:type="band1Vert">
      <w:pPr/>
      <w:rPr>
        <w:color w:val="404040"/>
        <w:sz w:val="22"/>
      </w:rPr>
      <w:tblPr/>
      <w:tcPr>
        <w:shd w:val="clear" w:color="FFEFBF" w:fill="FFEFBF" w:themeFill="accent4"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FFC000" w:fill="FFC000" w:themeFill="accent4"/>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1">
    <w:name w:val="List Table 4 Accent 5"/>
    <w:basedOn w:val="807"/>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blStylePr w:type="band1Horz">
      <w:pPr/>
      <w:rPr>
        <w:color w:val="404040"/>
        <w:sz w:val="22"/>
      </w:rPr>
      <w:tblPr/>
      <w:tcPr>
        <w:shd w:val="clear" w:color="CFDBF0" w:fill="CFDBF0" w:themeFill="accent5" w:themeFillTint="40"/>
      </w:tcPr>
    </w:tblStylePr>
    <w:tblStylePr w:type="band1Vert">
      <w:pPr/>
      <w:rPr>
        <w:color w:val="404040"/>
        <w:sz w:val="22"/>
      </w:rPr>
      <w:tblPr/>
      <w:tcPr>
        <w:shd w:val="clear" w:color="CFDBF0" w:fill="CFDBF0" w:themeFill="accent5"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4472C4" w:fill="4472C4" w:themeFill="accent5"/>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2">
    <w:name w:val="List Table 4 Accent 6"/>
    <w:basedOn w:val="807"/>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blStylePr w:type="band1Horz">
      <w:pPr/>
      <w:rPr>
        <w:color w:val="404040"/>
        <w:sz w:val="22"/>
      </w:rPr>
      <w:tblPr/>
      <w:tcPr>
        <w:shd w:val="clear" w:color="DAEBCF" w:fill="DAEBCF" w:themeFill="accent6" w:themeFillTint="40"/>
      </w:tcPr>
    </w:tblStylePr>
    <w:tblStylePr w:type="band1Vert">
      <w:pPr/>
      <w:rPr>
        <w:color w:val="404040"/>
        <w:sz w:val="22"/>
      </w:rPr>
      <w:tblPr/>
      <w:tcPr>
        <w:shd w:val="clear" w:color="DAEBCF" w:fill="DAEBCF" w:themeFill="accent6" w:themeFillTint="40"/>
      </w:tcPr>
    </w:tblStylePr>
    <w:tblStylePr w:type="band2Horz">
      <w:pPr/>
      <w:tblPr/>
      <w:tcPr/>
    </w:tblStylePr>
    <w:tblStylePr w:type="band2Vert">
      <w:pPr/>
      <w:tblPr/>
      <w:tcPr/>
    </w:tblStylePr>
    <w:tblStylePr w:type="firstCol">
      <w:pPr/>
      <w:rPr>
        <w:b/>
        <w:color w:val="404040"/>
      </w:rPr>
      <w:tblPr/>
      <w:tcPr/>
    </w:tblStylePr>
    <w:tblStylePr w:type="firstRow">
      <w:pPr/>
      <w:rPr>
        <w:b/>
        <w:color w:val="FFFFFF"/>
        <w:sz w:val="22"/>
      </w:rPr>
      <w:tblPr/>
      <w:tcPr>
        <w:shd w:val="clear" w:color="70AD47" w:fill="70AD47" w:themeFill="accent6"/>
      </w:tcPr>
    </w:tblStylePr>
    <w:tblStylePr w:type="lastCol">
      <w:pPr/>
      <w:rPr>
        <w:b/>
        <w:color w:val="404040"/>
      </w:rPr>
      <w:tblPr/>
      <w:tcPr/>
    </w:tblStylePr>
    <w:tblStylePr w:type="lastRow">
      <w:pPr/>
      <w:rPr>
        <w:b/>
        <w:color w:val="40404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3">
    <w:name w:val="List Table 5 Dark"/>
    <w:basedOn w:val="807"/>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blStylePr w:type="band1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1Vert">
      <w:pPr/>
      <w:tblPr/>
      <w:tcPr>
        <w:tcBorders>
          <w:left w:val="single" w:color="FFFFFF" w:themeColor="light1" w:sz="4" w:space="0"/>
          <w:right w:val="single" w:color="FFFFFF" w:themeColor="light1" w:sz="4" w:space="0"/>
        </w:tcBorders>
        <w:shd w:val="clear" w:color="7F7F7F" w:fill="7F7F7F" w:themeFill="text1" w:themeFillTint="80"/>
      </w:tcPr>
    </w:tblStylePr>
    <w:tblStylePr w:type="band2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7F7F7F" w:themeColor="text1" w:sz="32" w:space="0"/>
          <w:right w:val="single" w:color="FFFFFF" w:themeColor="light1" w:sz="4" w:space="0"/>
        </w:tcBorders>
      </w:tcPr>
    </w:tblStylePr>
    <w:tblStylePr w:type="firstRow">
      <w:pPr/>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Col">
      <w:pPr/>
      <w:tblPr/>
      <w:tcPr>
        <w:tcBorders>
          <w:left w:val="single" w:color="FFFFFF" w:themeColor="light1" w:sz="4" w:space="0"/>
          <w:right w:val="single" w:color="7F7F7F"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4">
    <w:name w:val="List Table 5 Dark Accent 1"/>
    <w:basedOn w:val="807"/>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cPr/>
    <w:tblStylePr w:type="band1Horz">
      <w:pPr/>
      <w:tblPr/>
      <w:tcPr>
        <w:tcBorders>
          <w:top w:val="single" w:color="FFFFFF" w:themeColor="light1" w:sz="4" w:space="0"/>
          <w:bottom w:val="single" w:color="FFFFFF" w:themeColor="light1" w:sz="4" w:space="0"/>
        </w:tcBorders>
        <w:shd w:val="clear" w:color="5B9BD5" w:fill="5B9BD5" w:themeFill="accent1"/>
      </w:tcPr>
    </w:tblStylePr>
    <w:tblStylePr w:type="band1Vert">
      <w:pPr/>
      <w:tblPr/>
      <w:tcPr>
        <w:tcBorders>
          <w:left w:val="single" w:color="FFFFFF" w:themeColor="light1" w:sz="4" w:space="0"/>
          <w:right w:val="single" w:color="FFFFFF" w:themeColor="light1" w:sz="4" w:space="0"/>
        </w:tcBorders>
        <w:shd w:val="clear" w:color="5B9BD5" w:fill="5B9BD5" w:themeFill="accent1"/>
      </w:tcPr>
    </w:tblStylePr>
    <w:tblStylePr w:type="band2Horz">
      <w:pPr/>
      <w:tblPr/>
      <w:tcPr>
        <w:tcBorders>
          <w:top w:val="single" w:color="FFFFFF" w:themeColor="light1" w:sz="4" w:space="0"/>
          <w:bottom w:val="single" w:color="FFFFFF" w:themeColor="light1" w:sz="4" w:space="0"/>
        </w:tcBorders>
        <w:shd w:val="clear" w:color="5B9BD5" w:fill="5B9BD5" w:themeFill="accent1"/>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5B9BD5" w:themeColor="accent1" w:sz="32" w:space="0"/>
          <w:right w:val="single" w:color="FFFFFF" w:themeColor="light1" w:sz="4" w:space="0"/>
        </w:tcBorders>
      </w:tcPr>
    </w:tblStylePr>
    <w:tblStylePr w:type="firstRow">
      <w:pPr/>
      <w:rPr>
        <w:b/>
        <w:color w:val="FFFFFF"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Col">
      <w:pPr/>
      <w:tblPr/>
      <w:tcPr>
        <w:tcBorders>
          <w:left w:val="single" w:color="FFFFFF" w:themeColor="light1" w:sz="4" w:space="0"/>
          <w:right w:val="single" w:color="5B9BD5"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5">
    <w:name w:val="List Table 5 Dark Accent 2"/>
    <w:basedOn w:val="807"/>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blStylePr w:type="band1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1Vert">
      <w:pPr/>
      <w:tblPr/>
      <w:tcPr>
        <w:tcBorders>
          <w:left w:val="single" w:color="FFFFFF" w:themeColor="light1" w:sz="4" w:space="0"/>
          <w:right w:val="single" w:color="FFFFFF" w:themeColor="light1" w:sz="4" w:space="0"/>
        </w:tcBorders>
        <w:shd w:val="clear" w:color="F4B184" w:fill="F4B184" w:themeFill="accent2" w:themeFillTint="97"/>
      </w:tcPr>
    </w:tblStylePr>
    <w:tblStylePr w:type="band2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F4B184" w:themeColor="accent2" w:sz="32" w:space="0"/>
          <w:right w:val="single" w:color="FFFFFF" w:themeColor="light1" w:sz="4" w:space="0"/>
        </w:tcBorders>
      </w:tcPr>
    </w:tblStylePr>
    <w:tblStylePr w:type="firstRow">
      <w:pPr/>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Col">
      <w:pPr/>
      <w:tblPr/>
      <w:tcPr>
        <w:tcBorders>
          <w:left w:val="single" w:color="FFFFFF" w:themeColor="light1" w:sz="4" w:space="0"/>
          <w:right w:val="single" w:color="F4B184"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6">
    <w:name w:val="List Table 5 Dark Accent 3"/>
    <w:basedOn w:val="807"/>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blStylePr w:type="band1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1Vert">
      <w:pPr/>
      <w:tblPr/>
      <w:tcPr>
        <w:tcBorders>
          <w:left w:val="single" w:color="FFFFFF" w:themeColor="light1" w:sz="4" w:space="0"/>
          <w:right w:val="single" w:color="FFFFFF" w:themeColor="light1" w:sz="4" w:space="0"/>
        </w:tcBorders>
        <w:shd w:val="clear" w:color="C9C9C9" w:fill="C9C9C9" w:themeFill="accent3" w:themeFillTint="98"/>
      </w:tcPr>
    </w:tblStylePr>
    <w:tblStylePr w:type="band2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C9C9C9" w:themeColor="accent3" w:sz="32" w:space="0"/>
          <w:right w:val="single" w:color="FFFFFF" w:themeColor="light1" w:sz="4" w:space="0"/>
        </w:tcBorders>
      </w:tcPr>
    </w:tblStylePr>
    <w:tblStylePr w:type="firstRow">
      <w:pPr/>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Col">
      <w:pPr/>
      <w:tblPr/>
      <w:tcPr>
        <w:tcBorders>
          <w:left w:val="single" w:color="FFFFFF" w:themeColor="light1" w:sz="4" w:space="0"/>
          <w:right w:val="single" w:color="C9C9C9"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7">
    <w:name w:val="List Table 5 Dark Accent 4"/>
    <w:basedOn w:val="807"/>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blStylePr w:type="band1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1Vert">
      <w:pPr/>
      <w:tblPr/>
      <w:tcPr>
        <w:tcBorders>
          <w:left w:val="single" w:color="FFFFFF" w:themeColor="light1" w:sz="4" w:space="0"/>
          <w:right w:val="single" w:color="FFFFFF" w:themeColor="light1" w:sz="4" w:space="0"/>
        </w:tcBorders>
        <w:shd w:val="clear" w:color="FFD865" w:fill="FFD865" w:themeFill="accent4" w:themeFillTint="9a"/>
      </w:tcPr>
    </w:tblStylePr>
    <w:tblStylePr w:type="band2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FFD865" w:themeColor="accent4" w:sz="32" w:space="0"/>
          <w:right w:val="single" w:color="FFFFFF" w:themeColor="light1" w:sz="4" w:space="0"/>
        </w:tcBorders>
      </w:tcPr>
    </w:tblStylePr>
    <w:tblStylePr w:type="firstRow">
      <w:pPr/>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Col">
      <w:pPr/>
      <w:tblPr/>
      <w:tcPr>
        <w:tcBorders>
          <w:left w:val="single" w:color="FFFFFF" w:themeColor="light1" w:sz="4" w:space="0"/>
          <w:right w:val="single" w:color="FFD865"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8">
    <w:name w:val="List Table 5 Dark Accent 5"/>
    <w:basedOn w:val="807"/>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cPr/>
    <w:tblStylePr w:type="band1Horz">
      <w:pPr/>
      <w:tblPr/>
      <w:tcPr>
        <w:tcBorders>
          <w:top w:val="single" w:color="FFFFFF" w:themeColor="light1" w:sz="4" w:space="0"/>
          <w:bottom w:val="single" w:color="FFFFFF" w:themeColor="light1" w:sz="4" w:space="0"/>
        </w:tcBorders>
        <w:shd w:val="clear" w:color="8DA9DB" w:fill="8DA9DB" w:themeFill="accent5" w:themeFillTint="9a"/>
      </w:tcPr>
    </w:tblStylePr>
    <w:tblStylePr w:type="band1Vert">
      <w:pPr/>
      <w:tblPr/>
      <w:tcPr>
        <w:tcBorders>
          <w:left w:val="single" w:color="FFFFFF" w:themeColor="light1" w:sz="4" w:space="0"/>
          <w:right w:val="single" w:color="FFFFFF" w:themeColor="light1" w:sz="4" w:space="0"/>
        </w:tcBorders>
        <w:shd w:val="clear" w:color="8DA9DB" w:fill="8DA9DB" w:themeFill="accent5" w:themeFillTint="9a"/>
      </w:tcPr>
    </w:tblStylePr>
    <w:tblStylePr w:type="band2Horz">
      <w:pPr/>
      <w:tblPr/>
      <w:tcPr>
        <w:tcBorders>
          <w:top w:val="single" w:color="FFFFFF" w:themeColor="light1" w:sz="4" w:space="0"/>
          <w:bottom w:val="single" w:color="FFFFFF" w:themeColor="light1" w:sz="4" w:space="0"/>
        </w:tcBorders>
        <w:shd w:val="clear" w:color="8DA9DB" w:fill="8DA9DB" w:themeFill="accent5"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8DA9DB" w:themeColor="accent5" w:sz="32" w:space="0"/>
          <w:right w:val="single" w:color="FFFFFF" w:themeColor="light1" w:sz="4" w:space="0"/>
        </w:tcBorders>
      </w:tcPr>
    </w:tblStylePr>
    <w:tblStylePr w:type="firstRow">
      <w:pPr/>
      <w:rPr>
        <w:b/>
        <w:color w:val="FFFFFF"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Col">
      <w:pPr/>
      <w:tblPr/>
      <w:tcPr>
        <w:tcBorders>
          <w:left w:val="single" w:color="FFFFFF" w:themeColor="light1" w:sz="4" w:space="0"/>
          <w:right w:val="single" w:color="8DA9DB"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9">
    <w:name w:val="List Table 5 Dark Accent 6"/>
    <w:basedOn w:val="807"/>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blStylePr w:type="band1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1Vert">
      <w:pPr/>
      <w:tblPr/>
      <w:tcPr>
        <w:tcBorders>
          <w:left w:val="single" w:color="FFFFFF" w:themeColor="light1" w:sz="4" w:space="0"/>
          <w:right w:val="single" w:color="FFFFFF" w:themeColor="light1" w:sz="4" w:space="0"/>
        </w:tcBorders>
        <w:shd w:val="clear" w:color="A9D08E" w:fill="A9D08E" w:themeFill="accent6" w:themeFillTint="98"/>
      </w:tcPr>
    </w:tblStylePr>
    <w:tblStylePr w:type="band2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A9D08E" w:themeColor="accent6" w:sz="32" w:space="0"/>
          <w:right w:val="single" w:color="FFFFFF" w:themeColor="light1" w:sz="4" w:space="0"/>
        </w:tcBorders>
      </w:tcPr>
    </w:tblStylePr>
    <w:tblStylePr w:type="firstRow">
      <w:pPr/>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Col">
      <w:pPr/>
      <w:tblPr/>
      <w:tcPr>
        <w:tcBorders>
          <w:left w:val="single" w:color="FFFFFF" w:themeColor="light1" w:sz="4" w:space="0"/>
          <w:right w:val="single" w:color="A9D08E"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0">
    <w:name w:val="List Table 6 Colorful"/>
    <w:basedOn w:val="807"/>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cPr/>
    <w:tblStylePr w:type="band1Horz">
      <w:pPr/>
      <w:rPr>
        <w:color w:val="000000" w:themeColor="text1"/>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val="00000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7F7F7F"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7F7F7F"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1">
    <w:name w:val="List Table 6 Colorful Accent 1"/>
    <w:basedOn w:val="807"/>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cPr/>
    <w:tblStylePr w:type="band1Horz">
      <w:pPr/>
      <w:rPr>
        <w:color w:val="245A8D" w:themeColor="accent1" w:themeShade="95"/>
        <w:sz w:val="22"/>
      </w:rPr>
      <w:tblPr/>
      <w:tcPr>
        <w:shd w:val="clear" w:color="D5E5F4" w:fill="D5E5F4" w:themeFill="accent1" w:themeFillTint="40"/>
      </w:tcPr>
    </w:tblStylePr>
    <w:tblStylePr w:type="band1Vert">
      <w:pPr/>
      <w:tblPr/>
      <w:tcPr>
        <w:shd w:val="clear" w:color="D5E5F4" w:fill="D5E5F4" w:themeFill="accent1" w:themeFillTint="40"/>
      </w:tcPr>
    </w:tblStylePr>
    <w:tblStylePr w:type="band2Horz">
      <w:pPr/>
      <w:rPr>
        <w:color w:val="245A8D" w:themeColor="accent1" w:themeShade="95"/>
        <w:sz w:val="22"/>
      </w:rPr>
      <w:tblPr/>
      <w:tcPr/>
    </w:tblStylePr>
    <w:tblStylePr w:type="band2Vert">
      <w:pPr/>
      <w:tblPr/>
      <w:tcPr/>
    </w:tblStylePr>
    <w:tblStylePr w:type="firstCol">
      <w:pPr/>
      <w:rPr>
        <w:b/>
        <w:color w:val="245A8D" w:themeColor="accent1" w:themeShade="95"/>
      </w:rPr>
      <w:tblPr/>
      <w:tcPr/>
    </w:tblStylePr>
    <w:tblStylePr w:type="firstRow">
      <w:pPr/>
      <w:rPr>
        <w:b/>
        <w:color w:val="245A8D" w:themeColor="accent1" w:themeShade="95"/>
      </w:rPr>
      <w:tblPr/>
      <w:tcPr>
        <w:tcBorders>
          <w:bottom w:val="single" w:color="5B9BD5" w:themeColor="accent1" w:sz="4" w:space="0"/>
        </w:tcBorders>
      </w:tcPr>
    </w:tblStylePr>
    <w:tblStylePr w:type="lastCol">
      <w:pPr/>
      <w:rPr>
        <w:b/>
        <w:color w:val="245A8D" w:themeColor="accent1" w:themeShade="95"/>
      </w:rPr>
      <w:tblPr/>
      <w:tcPr/>
    </w:tblStylePr>
    <w:tblStylePr w:type="lastRow">
      <w:pPr/>
      <w:rPr>
        <w:b/>
        <w:color w:val="245A8D" w:themeColor="accent1" w:themeShade="95"/>
      </w:rPr>
      <w:tblPr/>
      <w:tcPr>
        <w:tcBorders>
          <w:top w:val="single" w:color="5B9BD5"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2">
    <w:name w:val="List Table 6 Colorful Accent 2"/>
    <w:basedOn w:val="807"/>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cPr/>
    <w:tblStylePr w:type="band1Horz">
      <w:pPr/>
      <w:rPr>
        <w:color w:val="F4B184"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val="F4B184" w:themeColor="accent2" w:themeTint="97" w:themeShade="95"/>
        <w:sz w:val="22"/>
      </w:rPr>
      <w:tblPr/>
      <w:tcPr/>
    </w:tblStylePr>
    <w:tblStylePr w:type="band2Vert">
      <w:pPr/>
      <w:tblPr/>
      <w:tcPr/>
    </w:tblStylePr>
    <w:tblStylePr w:type="firstCol">
      <w:pPr/>
      <w:rPr>
        <w:b/>
        <w:color w:val="F4B184" w:themeColor="accent2" w:themeTint="97" w:themeShade="95"/>
      </w:rPr>
      <w:tblPr/>
      <w:tcPr/>
    </w:tblStylePr>
    <w:tblStylePr w:type="firstRow">
      <w:pPr/>
      <w:rPr>
        <w:b/>
        <w:color w:val="F4B184" w:themeColor="accent2" w:themeTint="97" w:themeShade="95"/>
      </w:rPr>
      <w:tblPr/>
      <w:tcPr>
        <w:tcBorders>
          <w:bottom w:val="single" w:color="F4B184" w:themeColor="accent2" w:sz="4" w:space="0"/>
        </w:tcBorders>
      </w:tcPr>
    </w:tblStylePr>
    <w:tblStylePr w:type="lastCol">
      <w:pPr/>
      <w:rPr>
        <w:b/>
        <w:color w:val="F4B184" w:themeColor="accent2" w:themeTint="97" w:themeShade="95"/>
      </w:rPr>
      <w:tblPr/>
      <w:tcPr/>
    </w:tblStylePr>
    <w:tblStylePr w:type="lastRow">
      <w:pPr/>
      <w:rPr>
        <w:b/>
        <w:color w:val="F4B184" w:themeColor="accent2" w:themeTint="97" w:themeShade="95"/>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3">
    <w:name w:val="List Table 6 Colorful Accent 3"/>
    <w:basedOn w:val="807"/>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cPr/>
    <w:tblStylePr w:type="band1Horz">
      <w:pPr/>
      <w:rPr>
        <w:color w:val="C9C9C9"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val="C9C9C9" w:themeColor="accent3" w:themeTint="98" w:themeShade="95"/>
        <w:sz w:val="22"/>
      </w:rPr>
      <w:tblPr/>
      <w:tcPr/>
    </w:tblStylePr>
    <w:tblStylePr w:type="band2Vert">
      <w:pPr/>
      <w:tblPr/>
      <w:tcPr/>
    </w:tblStylePr>
    <w:tblStylePr w:type="firstCol">
      <w:pPr/>
      <w:rPr>
        <w:b/>
        <w:color w:val="C9C9C9" w:themeColor="accent3" w:themeTint="98" w:themeShade="95"/>
      </w:rPr>
      <w:tblPr/>
      <w:tcPr/>
    </w:tblStylePr>
    <w:tblStylePr w:type="firstRow">
      <w:pPr/>
      <w:rPr>
        <w:b/>
        <w:color w:val="C9C9C9" w:themeColor="accent3" w:themeTint="98" w:themeShade="95"/>
      </w:rPr>
      <w:tblPr/>
      <w:tcPr>
        <w:tcBorders>
          <w:bottom w:val="single" w:color="C9C9C9" w:themeColor="accent3" w:sz="4" w:space="0"/>
        </w:tcBorders>
      </w:tcPr>
    </w:tblStylePr>
    <w:tblStylePr w:type="lastCol">
      <w:pPr/>
      <w:rPr>
        <w:b/>
        <w:color w:val="C9C9C9" w:themeColor="accent3" w:themeTint="98" w:themeShade="95"/>
      </w:rPr>
      <w:tblPr/>
      <w:tcPr/>
    </w:tblStylePr>
    <w:tblStylePr w:type="lastRow">
      <w:pPr/>
      <w:rPr>
        <w:b/>
        <w:color w:val="C9C9C9" w:themeColor="accent3" w:themeTint="98" w:themeShade="95"/>
      </w:rPr>
      <w:tblPr/>
      <w:tcPr>
        <w:tcBorders>
          <w:top w:val="single" w:color="C9C9C9"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4">
    <w:name w:val="List Table 6 Colorful Accent 4"/>
    <w:basedOn w:val="807"/>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cPr/>
    <w:tblStylePr w:type="band1Horz">
      <w:pPr/>
      <w:rPr>
        <w:color w:val="FFD865"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val="FFD865" w:themeColor="accent4" w:themeTint="9a" w:themeShade="95"/>
        <w:sz w:val="22"/>
      </w:rPr>
      <w:tblPr/>
      <w:tcPr/>
    </w:tblStylePr>
    <w:tblStylePr w:type="band2Vert">
      <w:pPr/>
      <w:tblPr/>
      <w:tcPr/>
    </w:tblStylePr>
    <w:tblStylePr w:type="firstCol">
      <w:pPr/>
      <w:rPr>
        <w:b/>
        <w:color w:val="FFD865" w:themeColor="accent4" w:themeTint="9a" w:themeShade="95"/>
      </w:rPr>
      <w:tblPr/>
      <w:tcPr/>
    </w:tblStylePr>
    <w:tblStylePr w:type="firstRow">
      <w:pPr/>
      <w:rPr>
        <w:b/>
        <w:color w:val="FFD865" w:themeColor="accent4" w:themeTint="9a" w:themeShade="95"/>
      </w:rPr>
      <w:tblPr/>
      <w:tcPr>
        <w:tcBorders>
          <w:bottom w:val="single" w:color="FFD865" w:themeColor="accent4" w:sz="4" w:space="0"/>
        </w:tcBorders>
      </w:tcPr>
    </w:tblStylePr>
    <w:tblStylePr w:type="lastCol">
      <w:pPr/>
      <w:rPr>
        <w:b/>
        <w:color w:val="FFD865" w:themeColor="accent4" w:themeTint="9a" w:themeShade="95"/>
      </w:rPr>
      <w:tblPr/>
      <w:tcPr/>
    </w:tblStylePr>
    <w:tblStylePr w:type="lastRow">
      <w:pPr/>
      <w:rPr>
        <w:b/>
        <w:color w:val="FFD865" w:themeColor="accent4" w:themeTint="9a" w:themeShade="95"/>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5">
    <w:name w:val="List Table 6 Colorful Accent 5"/>
    <w:basedOn w:val="807"/>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cPr/>
    <w:tblStylePr w:type="band1Horz">
      <w:pPr/>
      <w:rPr>
        <w:color w:val="8DA9DB" w:themeColor="accent5" w:themeTint="9a" w:themeShade="95"/>
        <w:sz w:val="22"/>
      </w:rPr>
      <w:tblPr/>
      <w:tcPr>
        <w:shd w:val="clear" w:color="CFDBF0" w:fill="CFDBF0" w:themeFill="accent5" w:themeFillTint="40"/>
      </w:tcPr>
    </w:tblStylePr>
    <w:tblStylePr w:type="band1Vert">
      <w:pPr/>
      <w:tblPr/>
      <w:tcPr>
        <w:shd w:val="clear" w:color="CFDBF0" w:fill="CFDBF0" w:themeFill="accent5" w:themeFillTint="40"/>
      </w:tcPr>
    </w:tblStylePr>
    <w:tblStylePr w:type="band2Horz">
      <w:pPr/>
      <w:rPr>
        <w:color w:val="8DA9DB" w:themeColor="accent5" w:themeTint="9a" w:themeShade="95"/>
        <w:sz w:val="22"/>
      </w:rPr>
      <w:tblPr/>
      <w:tcPr/>
    </w:tblStylePr>
    <w:tblStylePr w:type="band2Vert">
      <w:pPr/>
      <w:tblPr/>
      <w:tcPr/>
    </w:tblStylePr>
    <w:tblStylePr w:type="firstCol">
      <w:pPr/>
      <w:rPr>
        <w:b/>
        <w:color w:val="8DA9DB" w:themeColor="accent5" w:themeTint="9a" w:themeShade="95"/>
      </w:rPr>
      <w:tblPr/>
      <w:tcPr/>
    </w:tblStylePr>
    <w:tblStylePr w:type="firstRow">
      <w:pPr/>
      <w:rPr>
        <w:b/>
        <w:color w:val="8DA9DB" w:themeColor="accent5" w:themeTint="9a" w:themeShade="95"/>
      </w:rPr>
      <w:tblPr/>
      <w:tcPr>
        <w:tcBorders>
          <w:bottom w:val="single" w:color="8DA9DB" w:themeColor="accent5" w:sz="4" w:space="0"/>
        </w:tcBorders>
      </w:tcPr>
    </w:tblStylePr>
    <w:tblStylePr w:type="lastCol">
      <w:pPr/>
      <w:rPr>
        <w:b/>
        <w:color w:val="8DA9DB" w:themeColor="accent5" w:themeTint="9a" w:themeShade="95"/>
      </w:rPr>
      <w:tblPr/>
      <w:tcPr/>
    </w:tblStylePr>
    <w:tblStylePr w:type="lastRow">
      <w:pPr/>
      <w:rPr>
        <w:b/>
        <w:color w:val="8DA9DB" w:themeColor="accent5" w:themeTint="9a" w:themeShade="95"/>
      </w:rPr>
      <w:tblPr/>
      <w:tcPr>
        <w:tcBorders>
          <w:top w:val="single" w:color="8DA9DB"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6">
    <w:name w:val="List Table 6 Colorful Accent 6"/>
    <w:basedOn w:val="807"/>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cPr/>
    <w:tblStylePr w:type="band1Horz">
      <w:pPr/>
      <w:rPr>
        <w:color w:val="A9D08E"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val="A9D08E" w:themeColor="accent6" w:themeTint="98" w:themeShade="95"/>
        <w:sz w:val="22"/>
      </w:rPr>
      <w:tblPr/>
      <w:tcPr/>
    </w:tblStylePr>
    <w:tblStylePr w:type="band2Vert">
      <w:pPr/>
      <w:tblPr/>
      <w:tcPr/>
    </w:tblStylePr>
    <w:tblStylePr w:type="firstCol">
      <w:pPr/>
      <w:rPr>
        <w:b/>
        <w:color w:val="A9D08E" w:themeColor="accent6" w:themeTint="98" w:themeShade="95"/>
      </w:rPr>
      <w:tblPr/>
      <w:tcPr/>
    </w:tblStylePr>
    <w:tblStylePr w:type="firstRow">
      <w:pPr/>
      <w:rPr>
        <w:b/>
        <w:color w:val="A9D08E" w:themeColor="accent6" w:themeTint="98" w:themeShade="95"/>
      </w:rPr>
      <w:tblPr/>
      <w:tcPr>
        <w:tcBorders>
          <w:bottom w:val="single" w:color="A9D08E" w:themeColor="accent6" w:sz="4" w:space="0"/>
        </w:tcBorders>
      </w:tcPr>
    </w:tblStylePr>
    <w:tblStylePr w:type="lastCol">
      <w:pPr/>
      <w:rPr>
        <w:b/>
        <w:color w:val="A9D08E" w:themeColor="accent6" w:themeTint="98" w:themeShade="95"/>
      </w:rPr>
      <w:tblPr/>
      <w:tcPr/>
    </w:tblStylePr>
    <w:tblStylePr w:type="lastRow">
      <w:pPr/>
      <w:rPr>
        <w:b/>
        <w:color w:val="A9D08E" w:themeColor="accent6" w:themeTint="98" w:themeShade="95"/>
      </w:rPr>
      <w:tblPr/>
      <w:tcPr>
        <w:tcBorders>
          <w:top w:val="single" w:color="A9D08E"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7">
    <w:name w:val="List Table 7 Colorful"/>
    <w:basedOn w:val="807"/>
    <w:uiPriority w:val="99"/>
    <w:pPr>
      <w:spacing w:after="0" w:line="240" w:lineRule="auto"/>
    </w:pPr>
    <w:tblPr>
      <w:tblStyleRowBandSize w:val="1"/>
      <w:tblStyleColBandSize w:val="1"/>
      <w:tblBorders>
        <w:right w:val="single" w:color="7F7F7F" w:themeColor="text1" w:themeTint="80" w:sz="4" w:space="0"/>
      </w:tblBorders>
    </w:tblPr>
    <w:tcPr/>
    <w:tblStylePr w:type="band1Horz">
      <w:pPr/>
      <w:rPr>
        <w:color w:val="7F7F7F" w:themeColor="text1" w:themeTint="80" w:themeShade="95"/>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val="7F7F7F" w:themeColor="text1" w:themeTint="80" w:themeShade="95"/>
        <w:sz w:val="22"/>
      </w:rPr>
      <w:tblPr/>
      <w:tcPr/>
    </w:tblStylePr>
    <w:tblStylePr w:type="band2Vert">
      <w:pPr/>
      <w:tblPr/>
      <w:tcPr/>
    </w:tblStylePr>
    <w:tblStylePr w:type="firstCol">
      <w:pPr>
        <w:jc w:val="right"/>
      </w:pPr>
      <w:rPr>
        <w:i/>
        <w:color w:val="7F7F7F"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firstRow">
      <w:pPr/>
      <w:rPr>
        <w:i/>
        <w:color w:val="7F7F7F"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Col">
      <w:pPr/>
      <w:rPr>
        <w:i/>
        <w:color w:val="7F7F7F"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lastRow">
      <w:pPr/>
      <w:rPr>
        <w:i/>
        <w:color w:val="7F7F7F"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8">
    <w:name w:val="List Table 7 Colorful Accent 1"/>
    <w:basedOn w:val="807"/>
    <w:uiPriority w:val="99"/>
    <w:pPr>
      <w:spacing w:after="0" w:line="240" w:lineRule="auto"/>
    </w:pPr>
    <w:tblPr>
      <w:tblStyleRowBandSize w:val="1"/>
      <w:tblStyleColBandSize w:val="1"/>
      <w:tblBorders>
        <w:right w:val="single" w:color="5B9BD5" w:themeColor="accent1" w:sz="4" w:space="0"/>
      </w:tblBorders>
    </w:tblPr>
    <w:tcPr/>
    <w:tblStylePr w:type="band1Horz">
      <w:pPr/>
      <w:rPr>
        <w:color w:val="245A8D" w:themeColor="accent1" w:themeShade="95"/>
        <w:sz w:val="22"/>
      </w:rPr>
      <w:tblPr/>
      <w:tcPr>
        <w:shd w:val="clear" w:color="D5E5F4" w:fill="D5E5F4" w:themeFill="accent1" w:themeFillTint="40"/>
      </w:tcPr>
    </w:tblStylePr>
    <w:tblStylePr w:type="band1Vert">
      <w:pPr/>
      <w:tblPr/>
      <w:tcPr>
        <w:shd w:val="clear" w:color="D5E5F4" w:fill="D5E5F4" w:themeFill="accent1" w:themeFillTint="40"/>
      </w:tcPr>
    </w:tblStylePr>
    <w:tblStylePr w:type="band2Horz">
      <w:pPr/>
      <w:rPr>
        <w:color w:val="245A8D" w:themeColor="accent1" w:themeShade="95"/>
        <w:sz w:val="22"/>
      </w:rPr>
      <w:tblPr/>
      <w:tcPr/>
    </w:tblStylePr>
    <w:tblStylePr w:type="band2Vert">
      <w:pPr/>
      <w:tblPr/>
      <w:tcPr/>
    </w:tblStylePr>
    <w:tblStylePr w:type="firstCol">
      <w:pPr>
        <w:jc w:val="right"/>
      </w:pPr>
      <w:rPr>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firstRow">
      <w:pPr/>
      <w:rPr>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Col">
      <w:pPr/>
      <w:rPr>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lastRow">
      <w:pPr/>
      <w:rPr>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9">
    <w:name w:val="List Table 7 Colorful Accent 2"/>
    <w:basedOn w:val="807"/>
    <w:uiPriority w:val="99"/>
    <w:pPr>
      <w:spacing w:after="0" w:line="240" w:lineRule="auto"/>
    </w:pPr>
    <w:tblPr>
      <w:tblStyleRowBandSize w:val="1"/>
      <w:tblStyleColBandSize w:val="1"/>
      <w:tblBorders>
        <w:right w:val="single" w:color="F4B184" w:themeColor="accent2" w:themeTint="97" w:sz="4" w:space="0"/>
      </w:tblBorders>
    </w:tblPr>
    <w:tcPr/>
    <w:tblStylePr w:type="band1Horz">
      <w:pPr/>
      <w:rPr>
        <w:color w:val="F4B184"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val="F4B184" w:themeColor="accent2" w:themeTint="97" w:themeShade="95"/>
        <w:sz w:val="22"/>
      </w:rPr>
      <w:tblPr/>
      <w:tcPr/>
    </w:tblStylePr>
    <w:tblStylePr w:type="band2Vert">
      <w:pPr/>
      <w:tblPr/>
      <w:tcPr/>
    </w:tblStylePr>
    <w:tblStylePr w:type="firstCol">
      <w:pPr>
        <w:jc w:val="right"/>
      </w:pPr>
      <w:rPr>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firstRow">
      <w:pPr/>
      <w:rPr>
        <w:i/>
        <w:color w:val="F4B184"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Col">
      <w:pPr/>
      <w:rPr>
        <w:i/>
        <w:color w:val="F4B184"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lastRow">
      <w:pPr/>
      <w:rPr>
        <w:i/>
        <w:color w:val="F4B184"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0">
    <w:name w:val="List Table 7 Colorful Accent 3"/>
    <w:basedOn w:val="807"/>
    <w:uiPriority w:val="99"/>
    <w:pPr>
      <w:spacing w:after="0" w:line="240" w:lineRule="auto"/>
    </w:pPr>
    <w:tblPr>
      <w:tblStyleRowBandSize w:val="1"/>
      <w:tblStyleColBandSize w:val="1"/>
      <w:tblBorders>
        <w:right w:val="single" w:color="C9C9C9" w:themeColor="accent3" w:themeTint="98" w:sz="4" w:space="0"/>
      </w:tblBorders>
    </w:tblPr>
    <w:tcPr/>
    <w:tblStylePr w:type="band1Horz">
      <w:pPr/>
      <w:rPr>
        <w:color w:val="C9C9C9"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val="C9C9C9" w:themeColor="accent3" w:themeTint="98" w:themeShade="95"/>
        <w:sz w:val="22"/>
      </w:rPr>
      <w:tblPr/>
      <w:tcPr/>
    </w:tblStylePr>
    <w:tblStylePr w:type="band2Vert">
      <w:pPr/>
      <w:tblPr/>
      <w:tcPr/>
    </w:tblStylePr>
    <w:tblStylePr w:type="firstCol">
      <w:pPr>
        <w:jc w:val="right"/>
      </w:pPr>
      <w:rPr>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sz="4" w:space="0"/>
        </w:tcBorders>
        <w:shd w:val="clear" w:color="FFFFFF" w:fill="auto"/>
      </w:tcPr>
    </w:tblStylePr>
    <w:tblStylePr w:type="firstRow">
      <w:pPr/>
      <w:rPr>
        <w:i/>
        <w:color w:val="C9C9C9" w:themeColor="accent3" w:themeTint="98" w:themeShade="95"/>
        <w:sz w:val="22"/>
      </w:rPr>
      <w:tblPr/>
      <w:tcPr>
        <w:tcBorders>
          <w:top w:val="none" w:color="000000" w:sz="4" w:space="0"/>
          <w:left w:val="none" w:color="000000" w:sz="4" w:space="0"/>
          <w:bottom w:val="single" w:color="C9C9C9" w:themeColor="accent3" w:sz="4" w:space="0"/>
          <w:right w:val="none" w:color="000000" w:sz="4" w:space="0"/>
        </w:tcBorders>
        <w:shd w:val="clear" w:color="FFFFFF" w:fill="FFFFFF" w:themeFill="light1"/>
      </w:tcPr>
    </w:tblStylePr>
    <w:tblStylePr w:type="lastCol">
      <w:pPr/>
      <w:rPr>
        <w:i/>
        <w:color w:val="C9C9C9" w:themeColor="accent3" w:themeTint="98" w:themeShade="95"/>
        <w:sz w:val="22"/>
      </w:rPr>
      <w:tblPr/>
      <w:tcPr>
        <w:tcBorders>
          <w:top w:val="none" w:color="000000" w:sz="4" w:space="0"/>
          <w:left w:val="single" w:color="C9C9C9" w:themeColor="accent3" w:sz="4" w:space="0"/>
          <w:bottom w:val="none" w:color="000000" w:sz="4" w:space="0"/>
          <w:right w:val="none" w:color="000000" w:sz="4" w:space="0"/>
        </w:tcBorders>
        <w:shd w:val="clear" w:color="FFFFFF" w:fill="auto"/>
      </w:tcPr>
    </w:tblStylePr>
    <w:tblStylePr w:type="lastRow">
      <w:pPr/>
      <w:rPr>
        <w:i/>
        <w:color w:val="C9C9C9" w:themeColor="accent3" w:themeTint="98" w:themeShade="95"/>
        <w:sz w:val="22"/>
      </w:rPr>
      <w:tblPr/>
      <w:tcPr>
        <w:tcBorders>
          <w:top w:val="single" w:color="C9C9C9"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1">
    <w:name w:val="List Table 7 Colorful Accent 4"/>
    <w:basedOn w:val="807"/>
    <w:uiPriority w:val="99"/>
    <w:pPr>
      <w:spacing w:after="0" w:line="240" w:lineRule="auto"/>
    </w:pPr>
    <w:tblPr>
      <w:tblStyleRowBandSize w:val="1"/>
      <w:tblStyleColBandSize w:val="1"/>
      <w:tblBorders>
        <w:right w:val="single" w:color="FFD865" w:themeColor="accent4" w:themeTint="9a" w:sz="4" w:space="0"/>
      </w:tblBorders>
    </w:tblPr>
    <w:tcPr/>
    <w:tblStylePr w:type="band1Horz">
      <w:pPr/>
      <w:rPr>
        <w:color w:val="FFD865"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val="FFD865" w:themeColor="accent4" w:themeTint="9a" w:themeShade="95"/>
        <w:sz w:val="22"/>
      </w:rPr>
      <w:tblPr/>
      <w:tcPr/>
    </w:tblStylePr>
    <w:tblStylePr w:type="band2Vert">
      <w:pPr/>
      <w:tblPr/>
      <w:tcPr/>
    </w:tblStylePr>
    <w:tblStylePr w:type="firstCol">
      <w:pPr>
        <w:jc w:val="right"/>
      </w:pPr>
      <w:rPr>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firstRow">
      <w:pPr/>
      <w:rPr>
        <w:i/>
        <w:color w:val="FFD865"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Col">
      <w:pPr/>
      <w:rPr>
        <w:i/>
        <w:color w:val="FFD865"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lastRow">
      <w:pPr/>
      <w:rPr>
        <w:i/>
        <w:color w:val="FFD865"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2">
    <w:name w:val="List Table 7 Colorful Accent 5"/>
    <w:basedOn w:val="807"/>
    <w:uiPriority w:val="99"/>
    <w:pPr>
      <w:spacing w:after="0" w:line="240" w:lineRule="auto"/>
    </w:pPr>
    <w:tblPr>
      <w:tblStyleRowBandSize w:val="1"/>
      <w:tblStyleColBandSize w:val="1"/>
      <w:tblBorders>
        <w:right w:val="single" w:color="8DA9DB" w:themeColor="accent5" w:themeTint="9a" w:sz="4" w:space="0"/>
      </w:tblBorders>
    </w:tblPr>
    <w:tcPr/>
    <w:tblStylePr w:type="band1Horz">
      <w:pPr/>
      <w:rPr>
        <w:color w:val="8DA9DB" w:themeColor="accent5" w:themeTint="9a" w:themeShade="95"/>
        <w:sz w:val="22"/>
      </w:rPr>
      <w:tblPr/>
      <w:tcPr>
        <w:shd w:val="clear" w:color="CFDBF0" w:fill="CFDBF0" w:themeFill="accent5" w:themeFillTint="40"/>
      </w:tcPr>
    </w:tblStylePr>
    <w:tblStylePr w:type="band1Vert">
      <w:pPr/>
      <w:tblPr/>
      <w:tcPr>
        <w:shd w:val="clear" w:color="CFDBF0" w:fill="CFDBF0" w:themeFill="accent5" w:themeFillTint="40"/>
      </w:tcPr>
    </w:tblStylePr>
    <w:tblStylePr w:type="band2Horz">
      <w:pPr/>
      <w:rPr>
        <w:color w:val="8DA9DB" w:themeColor="accent5" w:themeTint="9a" w:themeShade="95"/>
        <w:sz w:val="22"/>
      </w:rPr>
      <w:tblPr/>
      <w:tcPr/>
    </w:tblStylePr>
    <w:tblStylePr w:type="band2Vert">
      <w:pPr/>
      <w:tblPr/>
      <w:tcPr/>
    </w:tblStylePr>
    <w:tblStylePr w:type="firstCol">
      <w:pPr>
        <w:jc w:val="right"/>
      </w:pPr>
      <w:rPr>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sz="4" w:space="0"/>
        </w:tcBorders>
        <w:shd w:val="clear" w:color="FFFFFF" w:fill="auto"/>
      </w:tcPr>
    </w:tblStylePr>
    <w:tblStylePr w:type="firstRow">
      <w:pPr/>
      <w:rPr>
        <w:i/>
        <w:color w:val="8DA9DB" w:themeColor="accent5" w:themeTint="9a" w:themeShade="95"/>
        <w:sz w:val="22"/>
      </w:rPr>
      <w:tblPr/>
      <w:tcPr>
        <w:tcBorders>
          <w:top w:val="none" w:color="000000" w:sz="4" w:space="0"/>
          <w:left w:val="none" w:color="000000" w:sz="4" w:space="0"/>
          <w:bottom w:val="single" w:color="8DA9DB" w:themeColor="accent5" w:sz="4" w:space="0"/>
          <w:right w:val="none" w:color="000000" w:sz="4" w:space="0"/>
        </w:tcBorders>
        <w:shd w:val="clear" w:color="FFFFFF" w:fill="FFFFFF" w:themeFill="light1"/>
      </w:tcPr>
    </w:tblStylePr>
    <w:tblStylePr w:type="lastCol">
      <w:pPr/>
      <w:rPr>
        <w:i/>
        <w:color w:val="8DA9DB" w:themeColor="accent5" w:themeTint="9a" w:themeShade="95"/>
        <w:sz w:val="22"/>
      </w:rPr>
      <w:tblPr/>
      <w:tcPr>
        <w:tcBorders>
          <w:top w:val="none" w:color="000000" w:sz="4" w:space="0"/>
          <w:left w:val="single" w:color="8DA9DB" w:themeColor="accent5" w:sz="4" w:space="0"/>
          <w:bottom w:val="none" w:color="000000" w:sz="4" w:space="0"/>
          <w:right w:val="none" w:color="000000" w:sz="4" w:space="0"/>
        </w:tcBorders>
        <w:shd w:val="clear" w:color="FFFFFF" w:fill="auto"/>
      </w:tcPr>
    </w:tblStylePr>
    <w:tblStylePr w:type="lastRow">
      <w:pPr/>
      <w:rPr>
        <w:i/>
        <w:color w:val="8DA9DB" w:themeColor="accent5" w:themeTint="9a" w:themeShade="95"/>
        <w:sz w:val="22"/>
      </w:rPr>
      <w:tblPr/>
      <w:tcPr>
        <w:tcBorders>
          <w:top w:val="single" w:color="8DA9DB"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3">
    <w:name w:val="List Table 7 Colorful Accent 6"/>
    <w:basedOn w:val="807"/>
    <w:uiPriority w:val="99"/>
    <w:pPr>
      <w:spacing w:after="0" w:line="240" w:lineRule="auto"/>
    </w:pPr>
    <w:tblPr>
      <w:tblStyleRowBandSize w:val="1"/>
      <w:tblStyleColBandSize w:val="1"/>
      <w:tblBorders>
        <w:right w:val="single" w:color="A9D08E" w:themeColor="accent6" w:themeTint="98" w:sz="4" w:space="0"/>
      </w:tblBorders>
    </w:tblPr>
    <w:tcPr/>
    <w:tblStylePr w:type="band1Horz">
      <w:pPr/>
      <w:rPr>
        <w:color w:val="A9D08E"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val="A9D08E" w:themeColor="accent6" w:themeTint="98" w:themeShade="95"/>
        <w:sz w:val="22"/>
      </w:rPr>
      <w:tblPr/>
      <w:tcPr/>
    </w:tblStylePr>
    <w:tblStylePr w:type="band2Vert">
      <w:pPr/>
      <w:tblPr/>
      <w:tcPr/>
    </w:tblStylePr>
    <w:tblStylePr w:type="firstCol">
      <w:pPr>
        <w:jc w:val="right"/>
      </w:pPr>
      <w:rPr>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sz="4" w:space="0"/>
        </w:tcBorders>
        <w:shd w:val="clear" w:color="FFFFFF" w:fill="auto"/>
      </w:tcPr>
    </w:tblStylePr>
    <w:tblStylePr w:type="firstRow">
      <w:pPr/>
      <w:rPr>
        <w:i/>
        <w:color w:val="A9D08E" w:themeColor="accent6" w:themeTint="98" w:themeShade="95"/>
        <w:sz w:val="22"/>
      </w:rPr>
      <w:tblPr/>
      <w:tcPr>
        <w:tcBorders>
          <w:top w:val="none" w:color="000000" w:sz="4" w:space="0"/>
          <w:left w:val="none" w:color="000000" w:sz="4" w:space="0"/>
          <w:bottom w:val="single" w:color="A9D08E" w:themeColor="accent6" w:sz="4" w:space="0"/>
          <w:right w:val="none" w:color="000000" w:sz="4" w:space="0"/>
        </w:tcBorders>
        <w:shd w:val="clear" w:color="FFFFFF" w:fill="FFFFFF" w:themeFill="light1"/>
      </w:tcPr>
    </w:tblStylePr>
    <w:tblStylePr w:type="lastCol">
      <w:pPr/>
      <w:rPr>
        <w:i/>
        <w:color w:val="A9D08E" w:themeColor="accent6" w:themeTint="98" w:themeShade="95"/>
        <w:sz w:val="22"/>
      </w:rPr>
      <w:tblPr/>
      <w:tcPr>
        <w:tcBorders>
          <w:top w:val="none" w:color="000000" w:sz="4" w:space="0"/>
          <w:left w:val="single" w:color="A9D08E" w:themeColor="accent6" w:sz="4" w:space="0"/>
          <w:bottom w:val="none" w:color="000000" w:sz="4" w:space="0"/>
          <w:right w:val="none" w:color="000000" w:sz="4" w:space="0"/>
        </w:tcBorders>
        <w:shd w:val="clear" w:color="FFFFFF" w:fill="auto"/>
      </w:tcPr>
    </w:tblStylePr>
    <w:tblStylePr w:type="lastRow">
      <w:pPr/>
      <w:rPr>
        <w:i/>
        <w:color w:val="A9D08E" w:themeColor="accent6" w:themeTint="98" w:themeShade="95"/>
        <w:sz w:val="22"/>
      </w:rPr>
      <w:tblPr/>
      <w:tcPr>
        <w:tcBorders>
          <w:top w:val="single" w:color="A9D08E"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4">
    <w:name w:val="Lined - Accent"/>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2F2F2" w:fill="F2F2F2" w:themeFill="text1" w:themeFillTint="d"/>
      </w:tcPr>
    </w:tblStylePr>
    <w:tblStylePr w:type="band2Vert">
      <w:pPr/>
      <w:rPr>
        <w:color w:val="404040"/>
        <w:sz w:val="22"/>
      </w:rPr>
      <w:tblPr/>
      <w:tcPr>
        <w:shd w:val="clear" w:color="F2F2F2" w:fill="F2F2F2" w:themeFill="text1" w:themeFillTint="d"/>
      </w:tcPr>
    </w:tblStylePr>
    <w:tblStylePr w:type="firstCol">
      <w:pPr/>
      <w:rPr>
        <w:color w:val="F2F2F2"/>
        <w:sz w:val="22"/>
      </w:rPr>
      <w:tblPr/>
      <w:tcPr>
        <w:shd w:val="clear" w:color="7F7F7F" w:fill="7F7F7F" w:themeFill="text1" w:themeFillTint="80"/>
      </w:tcPr>
    </w:tblStylePr>
    <w:tblStylePr w:type="firstRow">
      <w:pPr/>
      <w:rPr>
        <w:color w:val="F2F2F2"/>
        <w:sz w:val="22"/>
      </w:rPr>
      <w:tblPr/>
      <w:tcPr>
        <w:shd w:val="clear" w:color="7F7F7F" w:fill="7F7F7F" w:themeFill="text1" w:themeFillTint="80"/>
      </w:tcPr>
    </w:tblStylePr>
    <w:tblStylePr w:type="lastCol">
      <w:pPr/>
      <w:rPr>
        <w:color w:val="F2F2F2"/>
        <w:sz w:val="22"/>
      </w:rPr>
      <w:tblPr/>
      <w:tcPr>
        <w:shd w:val="clear" w:color="7F7F7F" w:fill="7F7F7F" w:themeFill="text1" w:themeFillTint="80"/>
      </w:tcPr>
    </w:tblStylePr>
    <w:tblStylePr w:type="lastRow">
      <w:pPr/>
      <w:rPr>
        <w:color w:val="F2F2F2"/>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5">
    <w:name w:val="Lined - Accent 1"/>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CBDFF1" w:fill="CBDFF1" w:themeFill="accent1" w:themeFillTint="50"/>
      </w:tcPr>
    </w:tblStylePr>
    <w:tblStylePr w:type="band2Vert">
      <w:pPr/>
      <w:rPr>
        <w:color w:val="404040"/>
        <w:sz w:val="22"/>
      </w:rPr>
      <w:tblPr/>
      <w:tcPr>
        <w:shd w:val="clear" w:color="CBDFF1" w:fill="CBDFF1" w:themeFill="accent1" w:themeFillTint="50"/>
      </w:tcPr>
    </w:tblStylePr>
    <w:tblStylePr w:type="firstCol">
      <w:pPr/>
      <w:rPr>
        <w:color w:val="F2F2F2"/>
        <w:sz w:val="22"/>
      </w:rPr>
      <w:tblPr/>
      <w:tcPr>
        <w:shd w:val="clear" w:color="68A2D8" w:fill="68A2D8" w:themeFill="accent1" w:themeFillTint="ea"/>
      </w:tcPr>
    </w:tblStylePr>
    <w:tblStylePr w:type="firstRow">
      <w:pPr/>
      <w:rPr>
        <w:color w:val="F2F2F2"/>
        <w:sz w:val="22"/>
      </w:rPr>
      <w:tblPr/>
      <w:tcPr>
        <w:shd w:val="clear" w:color="68A2D8" w:fill="68A2D8" w:themeFill="accent1" w:themeFillTint="ea"/>
      </w:tcPr>
    </w:tblStylePr>
    <w:tblStylePr w:type="lastCol">
      <w:pPr/>
      <w:rPr>
        <w:color w:val="F2F2F2"/>
        <w:sz w:val="22"/>
      </w:rPr>
      <w:tblPr/>
      <w:tcPr>
        <w:shd w:val="clear" w:color="68A2D8" w:fill="68A2D8" w:themeFill="accent1" w:themeFillTint="ea"/>
      </w:tcPr>
    </w:tblStylePr>
    <w:tblStylePr w:type="lastRow">
      <w:pPr/>
      <w:rPr>
        <w:color w:val="F2F2F2"/>
        <w:sz w:val="22"/>
      </w:rPr>
      <w:tblPr/>
      <w:tcPr>
        <w:shd w:val="clear" w:color="68A2D8" w:fill="68A2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6">
    <w:name w:val="Lined - Accent 2"/>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BE5D6" w:fill="FBE5D6" w:themeFill="accent2" w:themeFillTint="32"/>
      </w:tcPr>
    </w:tblStylePr>
    <w:tblStylePr w:type="band2Vert">
      <w:pPr/>
      <w:rPr>
        <w:color w:val="404040"/>
        <w:sz w:val="22"/>
      </w:rPr>
      <w:tblPr/>
      <w:tcPr>
        <w:shd w:val="clear" w:color="FBE5D6" w:fill="FBE5D6" w:themeFill="accent2" w:themeFillTint="32"/>
      </w:tcPr>
    </w:tblStylePr>
    <w:tblStylePr w:type="firstCol">
      <w:pPr/>
      <w:rPr>
        <w:color w:val="F2F2F2"/>
        <w:sz w:val="22"/>
      </w:rPr>
      <w:tblPr/>
      <w:tcPr>
        <w:shd w:val="clear" w:color="F4B184" w:fill="F4B184" w:themeFill="accent2" w:themeFillTint="97"/>
      </w:tcPr>
    </w:tblStylePr>
    <w:tblStylePr w:type="firstRow">
      <w:pPr/>
      <w:rPr>
        <w:color w:val="F2F2F2"/>
        <w:sz w:val="22"/>
      </w:rPr>
      <w:tblPr/>
      <w:tcPr>
        <w:shd w:val="clear" w:color="F4B184" w:fill="F4B184" w:themeFill="accent2" w:themeFillTint="97"/>
      </w:tcPr>
    </w:tblStylePr>
    <w:tblStylePr w:type="lastCol">
      <w:pPr/>
      <w:rPr>
        <w:color w:val="F2F2F2"/>
        <w:sz w:val="22"/>
      </w:rPr>
      <w:tblPr/>
      <w:tcPr>
        <w:shd w:val="clear" w:color="F4B184" w:fill="F4B184" w:themeFill="accent2" w:themeFillTint="97"/>
      </w:tcPr>
    </w:tblStylePr>
    <w:tblStylePr w:type="lastRow">
      <w:pPr/>
      <w:rPr>
        <w:color w:val="F2F2F2"/>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7">
    <w:name w:val="Lined - Accent 3"/>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ECECEC" w:fill="ECECEC" w:themeFill="accent3" w:themeFillTint="34"/>
      </w:tcPr>
    </w:tblStylePr>
    <w:tblStylePr w:type="band2Vert">
      <w:pPr/>
      <w:rPr>
        <w:color w:val="404040"/>
        <w:sz w:val="22"/>
      </w:rPr>
      <w:tblPr/>
      <w:tcPr>
        <w:shd w:val="clear" w:color="ECECEC" w:fill="ECECEC" w:themeFill="accent3" w:themeFillTint="34"/>
      </w:tcPr>
    </w:tblStylePr>
    <w:tblStylePr w:type="firstCol">
      <w:pPr/>
      <w:rPr>
        <w:color w:val="F2F2F2"/>
        <w:sz w:val="22"/>
      </w:rPr>
      <w:tblPr/>
      <w:tcPr>
        <w:shd w:val="clear" w:color="A5A5A5" w:fill="A5A5A5" w:themeFill="accent3" w:themeFillTint="fe"/>
      </w:tcPr>
    </w:tblStylePr>
    <w:tblStylePr w:type="firstRow">
      <w:pPr/>
      <w:rPr>
        <w:color w:val="F2F2F2"/>
        <w:sz w:val="22"/>
      </w:rPr>
      <w:tblPr/>
      <w:tcPr>
        <w:shd w:val="clear" w:color="A5A5A5" w:fill="A5A5A5" w:themeFill="accent3" w:themeFillTint="fe"/>
      </w:tcPr>
    </w:tblStylePr>
    <w:tblStylePr w:type="lastCol">
      <w:pPr/>
      <w:rPr>
        <w:color w:val="F2F2F2"/>
        <w:sz w:val="22"/>
      </w:rPr>
      <w:tblPr/>
      <w:tcPr>
        <w:shd w:val="clear" w:color="A5A5A5" w:fill="A5A5A5" w:themeFill="accent3" w:themeFillTint="fe"/>
      </w:tcPr>
    </w:tblStylePr>
    <w:tblStylePr w:type="lastRow">
      <w:pPr/>
      <w:rPr>
        <w:color w:val="F2F2F2"/>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8">
    <w:name w:val="Lined - Accent 4"/>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2CB" w:fill="FFF2CB" w:themeFill="accent4" w:themeFillTint="34"/>
      </w:tcPr>
    </w:tblStylePr>
    <w:tblStylePr w:type="band2Vert">
      <w:pPr/>
      <w:rPr>
        <w:color w:val="404040"/>
        <w:sz w:val="22"/>
      </w:rPr>
      <w:tblPr/>
      <w:tcPr>
        <w:shd w:val="clear" w:color="FFF2CB" w:fill="FFF2CB" w:themeFill="accent4" w:themeFillTint="34"/>
      </w:tcPr>
    </w:tblStylePr>
    <w:tblStylePr w:type="firstCol">
      <w:pPr/>
      <w:rPr>
        <w:color w:val="F2F2F2"/>
        <w:sz w:val="22"/>
      </w:rPr>
      <w:tblPr/>
      <w:tcPr>
        <w:shd w:val="clear" w:color="FFD865" w:fill="FFD865" w:themeFill="accent4" w:themeFillTint="9a"/>
      </w:tcPr>
    </w:tblStylePr>
    <w:tblStylePr w:type="firstRow">
      <w:pPr/>
      <w:rPr>
        <w:color w:val="F2F2F2"/>
        <w:sz w:val="22"/>
      </w:rPr>
      <w:tblPr/>
      <w:tcPr>
        <w:shd w:val="clear" w:color="FFD865" w:fill="FFD865" w:themeFill="accent4" w:themeFillTint="9a"/>
      </w:tcPr>
    </w:tblStylePr>
    <w:tblStylePr w:type="lastCol">
      <w:pPr/>
      <w:rPr>
        <w:color w:val="F2F2F2"/>
        <w:sz w:val="22"/>
      </w:rPr>
      <w:tblPr/>
      <w:tcPr>
        <w:shd w:val="clear" w:color="FFD865" w:fill="FFD865" w:themeFill="accent4" w:themeFillTint="9a"/>
      </w:tcPr>
    </w:tblStylePr>
    <w:tblStylePr w:type="lastRow">
      <w:pPr/>
      <w:rPr>
        <w:color w:val="F2F2F2"/>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9">
    <w:name w:val="Lined - Accent 5"/>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D8E2F3" w:fill="D8E2F3" w:themeFill="accent5" w:themeFillTint="34"/>
      </w:tcPr>
    </w:tblStylePr>
    <w:tblStylePr w:type="band2Vert">
      <w:pPr/>
      <w:rPr>
        <w:color w:val="404040"/>
        <w:sz w:val="22"/>
      </w:rPr>
      <w:tblPr/>
      <w:tcPr>
        <w:shd w:val="clear" w:color="D8E2F3" w:fill="D8E2F3" w:themeFill="accent5" w:themeFillTint="34"/>
      </w:tcPr>
    </w:tblStylePr>
    <w:tblStylePr w:type="firstCol">
      <w:pPr/>
      <w:rPr>
        <w:color w:val="F2F2F2"/>
        <w:sz w:val="22"/>
      </w:rPr>
      <w:tblPr/>
      <w:tcPr>
        <w:shd w:val="clear" w:color="4472C4" w:fill="4472C4" w:themeFill="accent5"/>
      </w:tcPr>
    </w:tblStylePr>
    <w:tblStylePr w:type="firstRow">
      <w:pPr/>
      <w:rPr>
        <w:color w:val="F2F2F2"/>
        <w:sz w:val="22"/>
      </w:rPr>
      <w:tblPr/>
      <w:tcPr>
        <w:shd w:val="clear" w:color="4472C4" w:fill="4472C4" w:themeFill="accent5"/>
      </w:tcPr>
    </w:tblStylePr>
    <w:tblStylePr w:type="lastCol">
      <w:pPr/>
      <w:rPr>
        <w:color w:val="F2F2F2"/>
        <w:sz w:val="22"/>
      </w:rPr>
      <w:tblPr/>
      <w:tcPr>
        <w:shd w:val="clear" w:color="4472C4" w:fill="4472C4" w:themeFill="accent5"/>
      </w:tcPr>
    </w:tblStylePr>
    <w:tblStylePr w:type="lastRow">
      <w:pPr/>
      <w:rPr>
        <w:color w:val="F2F2F2"/>
        <w:sz w:val="22"/>
      </w:rPr>
      <w:tblPr/>
      <w:tcPr>
        <w:shd w:val="clear" w:color="4472C4"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0">
    <w:name w:val="Lined - Accent 6"/>
    <w:basedOn w:val="807"/>
    <w:uiPriority w:val="99"/>
    <w:pPr>
      <w:spacing w:after="0" w:line="240" w:lineRule="auto"/>
    </w:pPr>
    <w:rPr>
      <w:color w:val="404040"/>
      <w:sz w:val="20"/>
      <w:szCs w:val="20"/>
    </w:rPr>
    <w:tblPr>
      <w:tblStyleRowBandSize w:val="1"/>
      <w:tblStyleColBandSize w:val="1"/>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E1EFD8" w:fill="E1EFD8" w:themeFill="accent6" w:themeFillTint="34"/>
      </w:tcPr>
    </w:tblStylePr>
    <w:tblStylePr w:type="band2Vert">
      <w:pPr/>
      <w:rPr>
        <w:color w:val="404040"/>
        <w:sz w:val="22"/>
      </w:rPr>
      <w:tblPr/>
      <w:tcPr>
        <w:shd w:val="clear" w:color="E1EFD8" w:fill="E1EFD8" w:themeFill="accent6" w:themeFillTint="34"/>
      </w:tcPr>
    </w:tblStylePr>
    <w:tblStylePr w:type="firstCol">
      <w:pPr/>
      <w:rPr>
        <w:color w:val="F2F2F2"/>
        <w:sz w:val="22"/>
      </w:rPr>
      <w:tblPr/>
      <w:tcPr>
        <w:shd w:val="clear" w:color="70AD47" w:fill="70AD47" w:themeFill="accent6"/>
      </w:tcPr>
    </w:tblStylePr>
    <w:tblStylePr w:type="firstRow">
      <w:pPr/>
      <w:rPr>
        <w:color w:val="F2F2F2"/>
        <w:sz w:val="22"/>
      </w:rPr>
      <w:tblPr/>
      <w:tcPr>
        <w:shd w:val="clear" w:color="70AD47" w:fill="70AD47" w:themeFill="accent6"/>
      </w:tcPr>
    </w:tblStylePr>
    <w:tblStylePr w:type="lastCol">
      <w:pPr/>
      <w:rPr>
        <w:color w:val="F2F2F2"/>
        <w:sz w:val="22"/>
      </w:rPr>
      <w:tblPr/>
      <w:tcPr>
        <w:shd w:val="clear" w:color="70AD47" w:fill="70AD47" w:themeFill="accent6"/>
      </w:tcPr>
    </w:tblStylePr>
    <w:tblStylePr w:type="lastRow">
      <w:pPr/>
      <w:rPr>
        <w:color w:val="F2F2F2"/>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1">
    <w:name w:val="Bordered &amp; Lined - Accent"/>
    <w:basedOn w:val="807"/>
    <w:uiPriority w:val="99"/>
    <w:pPr>
      <w:spacing w:after="0" w:line="240" w:lineRule="auto"/>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2F2F2" w:fill="F2F2F2" w:themeFill="text1" w:themeFillTint="d"/>
      </w:tcPr>
    </w:tblStylePr>
    <w:tblStylePr w:type="band2Vert">
      <w:pPr/>
      <w:rPr>
        <w:color w:val="404040"/>
        <w:sz w:val="22"/>
      </w:rPr>
      <w:tblPr/>
      <w:tcPr>
        <w:shd w:val="clear" w:color="F2F2F2" w:fill="F2F2F2" w:themeFill="text1" w:themeFillTint="d"/>
      </w:tcPr>
    </w:tblStylePr>
    <w:tblStylePr w:type="firstCol">
      <w:pPr/>
      <w:rPr>
        <w:color w:val="F2F2F2"/>
        <w:sz w:val="22"/>
      </w:rPr>
      <w:tblPr/>
      <w:tcPr>
        <w:shd w:val="clear" w:color="7F7F7F" w:fill="7F7F7F" w:themeFill="text1" w:themeFillTint="80"/>
      </w:tcPr>
    </w:tblStylePr>
    <w:tblStylePr w:type="firstRow">
      <w:pPr/>
      <w:rPr>
        <w:color w:val="F2F2F2"/>
        <w:sz w:val="22"/>
      </w:rPr>
      <w:tblPr/>
      <w:tcPr>
        <w:shd w:val="clear" w:color="7F7F7F" w:fill="7F7F7F" w:themeFill="text1" w:themeFillTint="80"/>
      </w:tcPr>
    </w:tblStylePr>
    <w:tblStylePr w:type="lastCol">
      <w:pPr/>
      <w:rPr>
        <w:color w:val="F2F2F2"/>
        <w:sz w:val="22"/>
      </w:rPr>
      <w:tblPr/>
      <w:tcPr>
        <w:shd w:val="clear" w:color="7F7F7F" w:fill="7F7F7F" w:themeFill="text1" w:themeFillTint="80"/>
      </w:tcPr>
    </w:tblStylePr>
    <w:tblStylePr w:type="lastRow">
      <w:pPr/>
      <w:rPr>
        <w:color w:val="F2F2F2"/>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2">
    <w:name w:val="Bordered &amp; Lined - Accent 1"/>
    <w:basedOn w:val="807"/>
    <w:uiPriority w:val="99"/>
    <w:pPr>
      <w:spacing w:after="0" w:line="240" w:lineRule="auto"/>
    </w:pPr>
    <w:rPr>
      <w:color w:val="404040"/>
      <w:sz w:val="20"/>
      <w:szCs w:val="20"/>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CBDFF1" w:fill="CBDFF1" w:themeFill="accent1" w:themeFillTint="50"/>
      </w:tcPr>
    </w:tblStylePr>
    <w:tblStylePr w:type="band2Vert">
      <w:pPr/>
      <w:rPr>
        <w:color w:val="404040"/>
        <w:sz w:val="22"/>
      </w:rPr>
      <w:tblPr/>
      <w:tcPr>
        <w:shd w:val="clear" w:color="CBDFF1" w:fill="CBDFF1" w:themeFill="accent1" w:themeFillTint="50"/>
      </w:tcPr>
    </w:tblStylePr>
    <w:tblStylePr w:type="firstCol">
      <w:pPr/>
      <w:rPr>
        <w:color w:val="F2F2F2"/>
        <w:sz w:val="22"/>
      </w:rPr>
      <w:tblPr/>
      <w:tcPr>
        <w:shd w:val="clear" w:color="68A2D8" w:fill="68A2D8" w:themeFill="accent1" w:themeFillTint="ea"/>
      </w:tcPr>
    </w:tblStylePr>
    <w:tblStylePr w:type="firstRow">
      <w:pPr/>
      <w:rPr>
        <w:color w:val="F2F2F2"/>
        <w:sz w:val="22"/>
      </w:rPr>
      <w:tblPr/>
      <w:tcPr>
        <w:shd w:val="clear" w:color="68A2D8" w:fill="68A2D8" w:themeFill="accent1" w:themeFillTint="ea"/>
      </w:tcPr>
    </w:tblStylePr>
    <w:tblStylePr w:type="lastCol">
      <w:pPr/>
      <w:rPr>
        <w:color w:val="F2F2F2"/>
        <w:sz w:val="22"/>
      </w:rPr>
      <w:tblPr/>
      <w:tcPr>
        <w:shd w:val="clear" w:color="68A2D8" w:fill="68A2D8" w:themeFill="accent1" w:themeFillTint="ea"/>
      </w:tcPr>
    </w:tblStylePr>
    <w:tblStylePr w:type="lastRow">
      <w:pPr/>
      <w:rPr>
        <w:color w:val="F2F2F2"/>
        <w:sz w:val="22"/>
      </w:rPr>
      <w:tblPr/>
      <w:tcPr>
        <w:shd w:val="clear" w:color="68A2D8" w:fill="68A2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3">
    <w:name w:val="Bordered &amp; Lined - Accent 2"/>
    <w:basedOn w:val="807"/>
    <w:uiPriority w:val="99"/>
    <w:pPr>
      <w:spacing w:after="0" w:line="240" w:lineRule="auto"/>
    </w:pPr>
    <w:rPr>
      <w:color w:val="404040"/>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BE5D6" w:fill="FBE5D6" w:themeFill="accent2" w:themeFillTint="32"/>
      </w:tcPr>
    </w:tblStylePr>
    <w:tblStylePr w:type="band2Vert">
      <w:pPr/>
      <w:rPr>
        <w:color w:val="404040"/>
        <w:sz w:val="22"/>
      </w:rPr>
      <w:tblPr/>
      <w:tcPr>
        <w:shd w:val="clear" w:color="FBE5D6" w:fill="FBE5D6" w:themeFill="accent2" w:themeFillTint="32"/>
      </w:tcPr>
    </w:tblStylePr>
    <w:tblStylePr w:type="firstCol">
      <w:pPr/>
      <w:rPr>
        <w:color w:val="F2F2F2"/>
        <w:sz w:val="22"/>
      </w:rPr>
      <w:tblPr/>
      <w:tcPr>
        <w:shd w:val="clear" w:color="F4B184" w:fill="F4B184" w:themeFill="accent2" w:themeFillTint="97"/>
      </w:tcPr>
    </w:tblStylePr>
    <w:tblStylePr w:type="firstRow">
      <w:pPr/>
      <w:rPr>
        <w:color w:val="F2F2F2"/>
        <w:sz w:val="22"/>
      </w:rPr>
      <w:tblPr/>
      <w:tcPr>
        <w:shd w:val="clear" w:color="F4B184" w:fill="F4B184" w:themeFill="accent2" w:themeFillTint="97"/>
      </w:tcPr>
    </w:tblStylePr>
    <w:tblStylePr w:type="lastCol">
      <w:pPr/>
      <w:rPr>
        <w:color w:val="F2F2F2"/>
        <w:sz w:val="22"/>
      </w:rPr>
      <w:tblPr/>
      <w:tcPr>
        <w:shd w:val="clear" w:color="F4B184" w:fill="F4B184" w:themeFill="accent2" w:themeFillTint="97"/>
      </w:tcPr>
    </w:tblStylePr>
    <w:tblStylePr w:type="lastRow">
      <w:pPr/>
      <w:rPr>
        <w:color w:val="F2F2F2"/>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4">
    <w:name w:val="Bordered &amp; Lined - Accent 3"/>
    <w:basedOn w:val="807"/>
    <w:uiPriority w:val="99"/>
    <w:pPr>
      <w:spacing w:after="0" w:line="240" w:lineRule="auto"/>
    </w:pPr>
    <w:rPr>
      <w:color w:val="404040"/>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ECECEC" w:fill="ECECEC" w:themeFill="accent3" w:themeFillTint="34"/>
      </w:tcPr>
    </w:tblStylePr>
    <w:tblStylePr w:type="band2Vert">
      <w:pPr/>
      <w:rPr>
        <w:color w:val="404040"/>
        <w:sz w:val="22"/>
      </w:rPr>
      <w:tblPr/>
      <w:tcPr>
        <w:shd w:val="clear" w:color="ECECEC" w:fill="ECECEC" w:themeFill="accent3" w:themeFillTint="34"/>
      </w:tcPr>
    </w:tblStylePr>
    <w:tblStylePr w:type="firstCol">
      <w:pPr/>
      <w:rPr>
        <w:color w:val="F2F2F2"/>
        <w:sz w:val="22"/>
      </w:rPr>
      <w:tblPr/>
      <w:tcPr>
        <w:shd w:val="clear" w:color="A5A5A5" w:fill="A5A5A5" w:themeFill="accent3" w:themeFillTint="fe"/>
      </w:tcPr>
    </w:tblStylePr>
    <w:tblStylePr w:type="firstRow">
      <w:pPr/>
      <w:rPr>
        <w:color w:val="F2F2F2"/>
        <w:sz w:val="22"/>
      </w:rPr>
      <w:tblPr/>
      <w:tcPr>
        <w:shd w:val="clear" w:color="A5A5A5" w:fill="A5A5A5" w:themeFill="accent3" w:themeFillTint="fe"/>
      </w:tcPr>
    </w:tblStylePr>
    <w:tblStylePr w:type="lastCol">
      <w:pPr/>
      <w:rPr>
        <w:color w:val="F2F2F2"/>
        <w:sz w:val="22"/>
      </w:rPr>
      <w:tblPr/>
      <w:tcPr>
        <w:shd w:val="clear" w:color="A5A5A5" w:fill="A5A5A5" w:themeFill="accent3" w:themeFillTint="fe"/>
      </w:tcPr>
    </w:tblStylePr>
    <w:tblStylePr w:type="lastRow">
      <w:pPr/>
      <w:rPr>
        <w:color w:val="F2F2F2"/>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5">
    <w:name w:val="Bordered &amp; Lined - Accent 4"/>
    <w:basedOn w:val="807"/>
    <w:uiPriority w:val="99"/>
    <w:pPr>
      <w:spacing w:after="0" w:line="240" w:lineRule="auto"/>
    </w:pPr>
    <w:rPr>
      <w:color w:val="404040"/>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FFF2CB" w:fill="FFF2CB" w:themeFill="accent4" w:themeFillTint="34"/>
      </w:tcPr>
    </w:tblStylePr>
    <w:tblStylePr w:type="band2Vert">
      <w:pPr/>
      <w:rPr>
        <w:color w:val="404040"/>
        <w:sz w:val="22"/>
      </w:rPr>
      <w:tblPr/>
      <w:tcPr>
        <w:shd w:val="clear" w:color="FFF2CB" w:fill="FFF2CB" w:themeFill="accent4" w:themeFillTint="34"/>
      </w:tcPr>
    </w:tblStylePr>
    <w:tblStylePr w:type="firstCol">
      <w:pPr/>
      <w:rPr>
        <w:color w:val="F2F2F2"/>
        <w:sz w:val="22"/>
      </w:rPr>
      <w:tblPr/>
      <w:tcPr>
        <w:shd w:val="clear" w:color="FFD865" w:fill="FFD865" w:themeFill="accent4" w:themeFillTint="9a"/>
      </w:tcPr>
    </w:tblStylePr>
    <w:tblStylePr w:type="firstRow">
      <w:pPr/>
      <w:rPr>
        <w:color w:val="F2F2F2"/>
        <w:sz w:val="22"/>
      </w:rPr>
      <w:tblPr/>
      <w:tcPr>
        <w:shd w:val="clear" w:color="FFD865" w:fill="FFD865" w:themeFill="accent4" w:themeFillTint="9a"/>
      </w:tcPr>
    </w:tblStylePr>
    <w:tblStylePr w:type="lastCol">
      <w:pPr/>
      <w:rPr>
        <w:color w:val="F2F2F2"/>
        <w:sz w:val="22"/>
      </w:rPr>
      <w:tblPr/>
      <w:tcPr>
        <w:shd w:val="clear" w:color="FFD865" w:fill="FFD865" w:themeFill="accent4" w:themeFillTint="9a"/>
      </w:tcPr>
    </w:tblStylePr>
    <w:tblStylePr w:type="lastRow">
      <w:pPr/>
      <w:rPr>
        <w:color w:val="F2F2F2"/>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6">
    <w:name w:val="Bordered &amp; Lined - Accent 5"/>
    <w:basedOn w:val="807"/>
    <w:uiPriority w:val="99"/>
    <w:pPr>
      <w:spacing w:after="0" w:line="240" w:lineRule="auto"/>
    </w:pPr>
    <w:rPr>
      <w:color w:val="404040"/>
      <w:sz w:val="20"/>
      <w:szCs w:val="20"/>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D8E2F3" w:fill="D8E2F3" w:themeFill="accent5" w:themeFillTint="34"/>
      </w:tcPr>
    </w:tblStylePr>
    <w:tblStylePr w:type="band2Vert">
      <w:pPr/>
      <w:rPr>
        <w:color w:val="404040"/>
        <w:sz w:val="22"/>
      </w:rPr>
      <w:tblPr/>
      <w:tcPr>
        <w:shd w:val="clear" w:color="D8E2F3" w:fill="D8E2F3" w:themeFill="accent5" w:themeFillTint="34"/>
      </w:tcPr>
    </w:tblStylePr>
    <w:tblStylePr w:type="firstCol">
      <w:pPr/>
      <w:rPr>
        <w:color w:val="F2F2F2"/>
        <w:sz w:val="22"/>
      </w:rPr>
      <w:tblPr/>
      <w:tcPr>
        <w:shd w:val="clear" w:color="4472C4" w:fill="4472C4" w:themeFill="accent5"/>
      </w:tcPr>
    </w:tblStylePr>
    <w:tblStylePr w:type="firstRow">
      <w:pPr/>
      <w:rPr>
        <w:color w:val="F2F2F2"/>
        <w:sz w:val="22"/>
      </w:rPr>
      <w:tblPr/>
      <w:tcPr>
        <w:shd w:val="clear" w:color="4472C4" w:fill="4472C4" w:themeFill="accent5"/>
      </w:tcPr>
    </w:tblStylePr>
    <w:tblStylePr w:type="lastCol">
      <w:pPr/>
      <w:rPr>
        <w:color w:val="F2F2F2"/>
        <w:sz w:val="22"/>
      </w:rPr>
      <w:tblPr/>
      <w:tcPr>
        <w:shd w:val="clear" w:color="4472C4" w:fill="4472C4" w:themeFill="accent5"/>
      </w:tcPr>
    </w:tblStylePr>
    <w:tblStylePr w:type="lastRow">
      <w:pPr/>
      <w:rPr>
        <w:color w:val="F2F2F2"/>
        <w:sz w:val="22"/>
      </w:rPr>
      <w:tblPr/>
      <w:tcPr>
        <w:shd w:val="clear" w:color="4472C4"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7">
    <w:name w:val="Bordered &amp; Lined - Accent 6"/>
    <w:basedOn w:val="807"/>
    <w:uiPriority w:val="99"/>
    <w:pPr>
      <w:spacing w:after="0" w:line="240" w:lineRule="auto"/>
    </w:pPr>
    <w:rPr>
      <w:color w:val="404040"/>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blStylePr w:type="band1Horz">
      <w:pPr/>
      <w:rPr>
        <w:color w:val="404040"/>
        <w:sz w:val="22"/>
      </w:rPr>
      <w:tblPr/>
      <w:tcPr/>
    </w:tblStylePr>
    <w:tblStylePr w:type="band1Vert">
      <w:pPr/>
      <w:rPr>
        <w:color w:val="404040"/>
        <w:sz w:val="22"/>
      </w:rPr>
      <w:tblPr/>
      <w:tcPr/>
    </w:tblStylePr>
    <w:tblStylePr w:type="band2Horz">
      <w:pPr/>
      <w:rPr>
        <w:color w:val="404040"/>
        <w:sz w:val="22"/>
      </w:rPr>
      <w:tblPr/>
      <w:tcPr>
        <w:shd w:val="clear" w:color="E1EFD8" w:fill="E1EFD8" w:themeFill="accent6" w:themeFillTint="34"/>
      </w:tcPr>
    </w:tblStylePr>
    <w:tblStylePr w:type="band2Vert">
      <w:pPr/>
      <w:rPr>
        <w:color w:val="404040"/>
        <w:sz w:val="22"/>
      </w:rPr>
      <w:tblPr/>
      <w:tcPr>
        <w:shd w:val="clear" w:color="E1EFD8" w:fill="E1EFD8" w:themeFill="accent6" w:themeFillTint="34"/>
      </w:tcPr>
    </w:tblStylePr>
    <w:tblStylePr w:type="firstCol">
      <w:pPr/>
      <w:rPr>
        <w:color w:val="F2F2F2"/>
        <w:sz w:val="22"/>
      </w:rPr>
      <w:tblPr/>
      <w:tcPr>
        <w:shd w:val="clear" w:color="70AD47" w:fill="70AD47" w:themeFill="accent6"/>
      </w:tcPr>
    </w:tblStylePr>
    <w:tblStylePr w:type="firstRow">
      <w:pPr/>
      <w:rPr>
        <w:color w:val="F2F2F2"/>
        <w:sz w:val="22"/>
      </w:rPr>
      <w:tblPr/>
      <w:tcPr>
        <w:shd w:val="clear" w:color="70AD47" w:fill="70AD47" w:themeFill="accent6"/>
      </w:tcPr>
    </w:tblStylePr>
    <w:tblStylePr w:type="lastCol">
      <w:pPr/>
      <w:rPr>
        <w:color w:val="F2F2F2"/>
        <w:sz w:val="22"/>
      </w:rPr>
      <w:tblPr/>
      <w:tcPr>
        <w:shd w:val="clear" w:color="70AD47" w:fill="70AD47" w:themeFill="accent6"/>
      </w:tcPr>
    </w:tblStylePr>
    <w:tblStylePr w:type="lastRow">
      <w:pPr/>
      <w:rPr>
        <w:color w:val="F2F2F2"/>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8">
    <w:name w:val="Bordered"/>
    <w:basedOn w:val="807"/>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blStylePr w:type="band1Horz">
      <w:pPr/>
      <w:rPr>
        <w:color w:val="404040"/>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7F7F7F" w:themeColor="text1" w:sz="12" w:space="0"/>
        </w:tcBorders>
      </w:tcPr>
    </w:tblStylePr>
    <w:tblStylePr w:type="lastCol">
      <w:pPr/>
      <w:rPr>
        <w:color w:val="404040"/>
        <w:sz w:val="22"/>
      </w:rPr>
      <w:tblPr/>
      <w:tcPr>
        <w:tcBorders>
          <w:left w:val="single" w:color="7F7F7F" w:themeColor="text1" w:sz="12" w:space="0"/>
        </w:tcBorders>
      </w:tcPr>
    </w:tblStylePr>
    <w:tblStylePr w:type="lastRow">
      <w:pPr/>
      <w:rPr>
        <w:color w:val="404040"/>
        <w:sz w:val="22"/>
      </w:rPr>
      <w:tblPr/>
      <w:tcPr>
        <w:tcBorders>
          <w:top w:val="single" w:color="7F7F7F"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9">
    <w:name w:val="Bordered - Accent 1"/>
    <w:basedOn w:val="807"/>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blStylePr w:type="band1Horz">
      <w:pPr/>
      <w:rPr>
        <w:color w:val="404040"/>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5B9BD5" w:themeColor="accent1" w:sz="12" w:space="0"/>
        </w:tcBorders>
      </w:tcPr>
    </w:tblStylePr>
    <w:tblStylePr w:type="lastCol">
      <w:pPr/>
      <w:rPr>
        <w:color w:val="404040"/>
        <w:sz w:val="22"/>
      </w:rPr>
      <w:tblPr/>
      <w:tcPr>
        <w:tcBorders>
          <w:left w:val="single" w:color="5B9BD5" w:themeColor="accent1" w:sz="12" w:space="0"/>
        </w:tcBorders>
      </w:tcPr>
    </w:tblStylePr>
    <w:tblStylePr w:type="lastRow">
      <w:pPr/>
      <w:rPr>
        <w:color w:val="404040"/>
        <w:sz w:val="22"/>
      </w:rPr>
      <w:tblPr/>
      <w:tcPr>
        <w:tcBorders>
          <w:top w:val="single" w:color="5B9BD5"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0">
    <w:name w:val="Bordered - Accent 2"/>
    <w:basedOn w:val="807"/>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color w:val="404040"/>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F4B184" w:themeColor="accent2" w:sz="12" w:space="0"/>
        </w:tcBorders>
      </w:tcPr>
    </w:tblStylePr>
    <w:tblStylePr w:type="lastCol">
      <w:pPr/>
      <w:rPr>
        <w:color w:val="404040"/>
        <w:sz w:val="22"/>
      </w:rPr>
      <w:tblPr/>
      <w:tcPr>
        <w:tcBorders>
          <w:left w:val="single" w:color="F4B184" w:themeColor="accent2" w:sz="12" w:space="0"/>
        </w:tcBorders>
      </w:tcPr>
    </w:tblStylePr>
    <w:tblStylePr w:type="lastRow">
      <w:pPr/>
      <w:rPr>
        <w:color w:val="404040"/>
        <w:sz w:val="22"/>
      </w:rPr>
      <w:tblPr/>
      <w:tcPr>
        <w:tcBorders>
          <w:top w:val="single" w:color="F4B184"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1">
    <w:name w:val="Bordered - Accent 3"/>
    <w:basedOn w:val="807"/>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color w:val="404040"/>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C9C9C9" w:themeColor="accent3" w:sz="12" w:space="0"/>
        </w:tcBorders>
      </w:tcPr>
    </w:tblStylePr>
    <w:tblStylePr w:type="lastCol">
      <w:pPr/>
      <w:rPr>
        <w:color w:val="404040"/>
        <w:sz w:val="22"/>
      </w:rPr>
      <w:tblPr/>
      <w:tcPr>
        <w:tcBorders>
          <w:left w:val="single" w:color="C9C9C9" w:themeColor="accent3" w:sz="12" w:space="0"/>
        </w:tcBorders>
      </w:tcPr>
    </w:tblStylePr>
    <w:tblStylePr w:type="lastRow">
      <w:pPr/>
      <w:rPr>
        <w:color w:val="404040"/>
        <w:sz w:val="22"/>
      </w:rPr>
      <w:tblPr/>
      <w:tcPr>
        <w:tcBorders>
          <w:top w:val="single" w:color="C9C9C9"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2">
    <w:name w:val="Bordered - Accent 4"/>
    <w:basedOn w:val="807"/>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color w:val="404040"/>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FFD865" w:themeColor="accent4" w:sz="12" w:space="0"/>
        </w:tcBorders>
      </w:tcPr>
    </w:tblStylePr>
    <w:tblStylePr w:type="lastCol">
      <w:pPr/>
      <w:rPr>
        <w:color w:val="404040"/>
        <w:sz w:val="22"/>
      </w:rPr>
      <w:tblPr/>
      <w:tcPr>
        <w:tcBorders>
          <w:left w:val="single" w:color="FFD865" w:themeColor="accent4" w:sz="12" w:space="0"/>
        </w:tcBorders>
      </w:tcPr>
    </w:tblStylePr>
    <w:tblStylePr w:type="lastRow">
      <w:pPr/>
      <w:rPr>
        <w:color w:val="404040"/>
        <w:sz w:val="22"/>
      </w:rPr>
      <w:tblPr/>
      <w:tcPr>
        <w:tcBorders>
          <w:top w:val="single" w:color="FFD865"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3">
    <w:name w:val="Bordered - Accent 5"/>
    <w:basedOn w:val="807"/>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blStylePr w:type="band1Horz">
      <w:pPr/>
      <w:rPr>
        <w:color w:val="404040"/>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8DA9DB" w:themeColor="accent5" w:sz="12" w:space="0"/>
        </w:tcBorders>
      </w:tcPr>
    </w:tblStylePr>
    <w:tblStylePr w:type="lastCol">
      <w:pPr/>
      <w:rPr>
        <w:color w:val="404040"/>
        <w:sz w:val="22"/>
      </w:rPr>
      <w:tblPr/>
      <w:tcPr>
        <w:tcBorders>
          <w:left w:val="single" w:color="8DA9DB" w:themeColor="accent5" w:sz="12" w:space="0"/>
        </w:tcBorders>
      </w:tcPr>
    </w:tblStylePr>
    <w:tblStylePr w:type="lastRow">
      <w:pPr/>
      <w:rPr>
        <w:color w:val="404040"/>
        <w:sz w:val="22"/>
      </w:rPr>
      <w:tblPr/>
      <w:tcPr>
        <w:tcBorders>
          <w:top w:val="single" w:color="8DA9DB"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4">
    <w:name w:val="Bordered - Accent 6"/>
    <w:basedOn w:val="807"/>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color w:val="404040"/>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color w:val="404040"/>
        <w:sz w:val="22"/>
      </w:rPr>
      <w:tblPr/>
      <w:tcPr/>
    </w:tblStylePr>
    <w:tblStylePr w:type="firstRow">
      <w:pPr/>
      <w:rPr>
        <w:color w:val="404040"/>
        <w:sz w:val="22"/>
      </w:rPr>
      <w:tblPr/>
      <w:tcPr>
        <w:tcBorders>
          <w:bottom w:val="single" w:color="A9D08E" w:themeColor="accent6" w:sz="12" w:space="0"/>
        </w:tcBorders>
      </w:tcPr>
    </w:tblStylePr>
    <w:tblStylePr w:type="lastCol">
      <w:pPr/>
      <w:rPr>
        <w:color w:val="404040"/>
        <w:sz w:val="22"/>
      </w:rPr>
      <w:tblPr/>
      <w:tcPr>
        <w:tcBorders>
          <w:left w:val="single" w:color="A9D08E" w:themeColor="accent6" w:sz="12" w:space="0"/>
        </w:tcBorders>
      </w:tcPr>
    </w:tblStylePr>
    <w:tblStylePr w:type="lastRow">
      <w:pPr/>
      <w:rPr>
        <w:color w:val="404040"/>
        <w:sz w:val="22"/>
      </w:rPr>
      <w:tblPr/>
      <w:tcPr>
        <w:tcBorders>
          <w:top w:val="single" w:color="A9D08E"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Contrac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1"/>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LibreOffice/7.1.8.1$Linux_X86_64 LibreOffice_project/10$Build-1</Application>
  <AppVersion>15.0000</AppVersion>
  <Pages>30</Pages>
  <Words>4694</Words>
  <Characters>29331</Characters>
  <CharactersWithSpaces>34246</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2025-10-30T22:03:00Z</dcterms:created>
  <dc:creator/>
  <dc:description/>
  <dc:language>en-US</dc:language>
  <cp:lastModifiedBy/>
  <dcterms:modified xsi:type="dcterms:W3CDTF">2025-10-31T15:50:04Z</dcterms:modified>
  <cp:revision>5</cp:revision>
  <dc:subject/>
  <dc:title/>
</cp:coreProperties>
</file>