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Cyber in a Box: Competitive Comparison</w:t>
      </w:r>
    </w:p>
    <w:p>
      <w:pPr>
        <w:spacing w:after="300"/>
      </w:pPr>
      <w:r>
        <w:rPr>
          <w:rFonts w:ascii="Arial" w:cs="Arial" w:eastAsia="Arial" w:hAnsi="Arial"/>
          <w:sz w:val="18"/>
          <w:szCs w:val="18"/>
        </w:rPr>
        <w:t xml:space="preserve">The following table compares Cyber in a Box against the primary commercial alternatives available to Very Small Businesses (VSBs) seeking NIST SP 800-171 / CMMC compliance readiness. Cyber in a Box (highlighted in green) is the only solution purpose-built for the 0–20 employee segment that delivers a near-complete compliance stack with owned hardware, zero software licensing fees, and no vendor lock-in.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4"/>
        <w:gridCol w:w="1226"/>
        <w:gridCol w:w="1226"/>
        <w:gridCol w:w="1226"/>
        <w:gridCol w:w="1226"/>
        <w:gridCol w:w="1226"/>
        <w:gridCol w:w="1226"/>
      </w:tblGrid>
      <w:tr>
        <w:trPr>
          <w:tblHeader/>
        </w:trPr>
        <w:tc>
          <w:tcPr>
            <w:tcW w:type="dxa" w:w="2004"/>
            <w:tcBorders>
              <w:top w:val="single" w:color="2E5E8E" w:sz="4"/>
              <w:left w:val="single" w:color="2E5E8E" w:sz="4"/>
              <w:bottom w:val="single" w:color="2E5E8E" w:sz="4"/>
              <w:right w:val="single" w:color="2E5E8E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Solution</w:t>
            </w:r>
          </w:p>
        </w:tc>
        <w:tc>
          <w:tcPr>
            <w:tcW w:type="dxa" w:w="1226"/>
            <w:tcBorders>
              <w:top w:val="single" w:color="2E5E8E" w:sz="4"/>
              <w:left w:val="single" w:color="2E5E8E" w:sz="4"/>
              <w:bottom w:val="single" w:color="2E5E8E" w:sz="4"/>
              <w:right w:val="single" w:color="2E5E8E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Upfront Cost</w:t>
            </w:r>
          </w:p>
        </w:tc>
        <w:tc>
          <w:tcPr>
            <w:tcW w:type="dxa" w:w="1226"/>
            <w:tcBorders>
              <w:top w:val="single" w:color="2E5E8E" w:sz="4"/>
              <w:left w:val="single" w:color="2E5E8E" w:sz="4"/>
              <w:bottom w:val="single" w:color="2E5E8E" w:sz="4"/>
              <w:right w:val="single" w:color="2E5E8E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Annual Ongoing Cost</w:t>
            </w:r>
          </w:p>
        </w:tc>
        <w:tc>
          <w:tcPr>
            <w:tcW w:type="dxa" w:w="1226"/>
            <w:tcBorders>
              <w:top w:val="single" w:color="2E5E8E" w:sz="4"/>
              <w:left w:val="single" w:color="2E5E8E" w:sz="4"/>
              <w:bottom w:val="single" w:color="2E5E8E" w:sz="4"/>
              <w:right w:val="single" w:color="2E5E8E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 Difficulty</w:t>
            </w:r>
          </w:p>
        </w:tc>
        <w:tc>
          <w:tcPr>
            <w:tcW w:type="dxa" w:w="1226"/>
            <w:tcBorders>
              <w:top w:val="single" w:color="2E5E8E" w:sz="4"/>
              <w:left w:val="single" w:color="2E5E8E" w:sz="4"/>
              <w:bottom w:val="single" w:color="2E5E8E" w:sz="4"/>
              <w:right w:val="single" w:color="2E5E8E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Hardware Owned?</w:t>
            </w:r>
          </w:p>
        </w:tc>
        <w:tc>
          <w:tcPr>
            <w:tcW w:type="dxa" w:w="1226"/>
            <w:tcBorders>
              <w:top w:val="single" w:color="2E5E8E" w:sz="4"/>
              <w:left w:val="single" w:color="2E5E8E" w:sz="4"/>
              <w:bottom w:val="single" w:color="2E5E8E" w:sz="4"/>
              <w:right w:val="single" w:color="2E5E8E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 Compliance Stack?</w:t>
            </w:r>
          </w:p>
        </w:tc>
        <w:tc>
          <w:tcPr>
            <w:tcW w:type="dxa" w:w="1226"/>
            <w:tcBorders>
              <w:top w:val="single" w:color="2E5E8E" w:sz="4"/>
              <w:left w:val="single" w:color="2E5E8E" w:sz="4"/>
              <w:bottom w:val="single" w:color="2E5E8E" w:sz="4"/>
              <w:right w:val="single" w:color="2E5E8E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Vendor Independent?</w:t>
            </w:r>
          </w:p>
        </w:tc>
      </w:tr>
      <w:tr>
        <w:tc>
          <w:tcPr>
            <w:tcW w:type="dxa" w:w="2004"/>
            <w:tcBorders>
              <w:top w:val="single" w:color="2E5E8E" w:sz="4"/>
              <w:left w:val="single" w:color="2E5E8E" w:sz="4"/>
              <w:bottom w:val="single" w:color="2E5E8E" w:sz="4"/>
              <w:right w:val="single" w:color="2E5E8E" w:sz="4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Cyber in a Box</w:t>
            </w:r>
          </w:p>
        </w:tc>
        <w:tc>
          <w:tcPr>
            <w:tcW w:type="dxa" w:w="1226"/>
            <w:tcBorders>
              <w:top w:val="single" w:color="2E5E8E" w:sz="4"/>
              <w:left w:val="single" w:color="2E5E8E" w:sz="4"/>
              <w:bottom w:val="single" w:color="2E5E8E" w:sz="4"/>
              <w:right w:val="single" w:color="2E5E8E" w:sz="4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~$9,999</w:t>
            </w:r>
          </w:p>
        </w:tc>
        <w:tc>
          <w:tcPr>
            <w:tcW w:type="dxa" w:w="1226"/>
            <w:tcBorders>
              <w:top w:val="single" w:color="2E5E8E" w:sz="4"/>
              <w:left w:val="single" w:color="2E5E8E" w:sz="4"/>
              <w:bottom w:val="single" w:color="2E5E8E" w:sz="4"/>
              <w:right w:val="single" w:color="2E5E8E" w:sz="4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 (optional MSP contract)</w:t>
            </w:r>
          </w:p>
        </w:tc>
        <w:tc>
          <w:tcPr>
            <w:tcW w:type="dxa" w:w="1226"/>
            <w:tcBorders>
              <w:top w:val="single" w:color="2E5E8E" w:sz="4"/>
              <w:left w:val="single" w:color="2E5E8E" w:sz="4"/>
              <w:bottom w:val="single" w:color="2E5E8E" w:sz="4"/>
              <w:right w:val="single" w:color="2E5E8E" w:sz="4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 (turnkey)</w:t>
            </w:r>
          </w:p>
        </w:tc>
        <w:tc>
          <w:tcPr>
            <w:tcW w:type="dxa" w:w="1226"/>
            <w:tcBorders>
              <w:top w:val="single" w:color="2E5E8E" w:sz="4"/>
              <w:left w:val="single" w:color="2E5E8E" w:sz="4"/>
              <w:bottom w:val="single" w:color="2E5E8E" w:sz="4"/>
              <w:right w:val="single" w:color="2E5E8E" w:sz="4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Yes</w:t>
            </w:r>
          </w:p>
        </w:tc>
        <w:tc>
          <w:tcPr>
            <w:tcW w:type="dxa" w:w="1226"/>
            <w:tcBorders>
              <w:top w:val="single" w:color="2E5E8E" w:sz="4"/>
              <w:left w:val="single" w:color="2E5E8E" w:sz="4"/>
              <w:bottom w:val="single" w:color="2E5E8E" w:sz="4"/>
              <w:right w:val="single" w:color="2E5E8E" w:sz="4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Near-complete</w:t>
            </w:r>
          </w:p>
        </w:tc>
        <w:tc>
          <w:tcPr>
            <w:tcW w:type="dxa" w:w="1226"/>
            <w:tcBorders>
              <w:top w:val="single" w:color="2E5E8E" w:sz="4"/>
              <w:left w:val="single" w:color="2E5E8E" w:sz="4"/>
              <w:bottom w:val="single" w:color="2E5E8E" w:sz="4"/>
              <w:right w:val="single" w:color="2E5E8E" w:sz="4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Yes</w:t>
            </w:r>
          </w:p>
        </w:tc>
      </w:tr>
      <w:tr>
        <w:tc>
          <w:tcPr>
            <w:tcW w:type="dxa" w:w="2004"/>
            <w:tcBorders>
              <w:top w:val="single" w:color="2E5E8E" w:sz="4"/>
              <w:left w:val="single" w:color="2E5E8E" w:sz="4"/>
              <w:bottom w:val="single" w:color="2E5E8E" w:sz="4"/>
              <w:right w:val="single" w:color="2E5E8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MSSP Retainer
(e.g., CyberSheath)</w:t>
            </w:r>
          </w:p>
        </w:tc>
        <w:tc>
          <w:tcPr>
            <w:tcW w:type="dxa" w:w="1226"/>
            <w:tcBorders>
              <w:top w:val="single" w:color="2E5E8E" w:sz="4"/>
              <w:left w:val="single" w:color="2E5E8E" w:sz="4"/>
              <w:bottom w:val="single" w:color="2E5E8E" w:sz="4"/>
              <w:right w:val="single" w:color="2E5E8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$5,000–$15,000</w:t>
            </w:r>
          </w:p>
        </w:tc>
        <w:tc>
          <w:tcPr>
            <w:tcW w:type="dxa" w:w="1226"/>
            <w:tcBorders>
              <w:top w:val="single" w:color="2E5E8E" w:sz="4"/>
              <w:left w:val="single" w:color="2E5E8E" w:sz="4"/>
              <w:bottom w:val="single" w:color="2E5E8E" w:sz="4"/>
              <w:right w:val="single" w:color="2E5E8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$18,000–$60,000</w:t>
            </w:r>
          </w:p>
        </w:tc>
        <w:tc>
          <w:tcPr>
            <w:tcW w:type="dxa" w:w="1226"/>
            <w:tcBorders>
              <w:top w:val="single" w:color="2E5E8E" w:sz="4"/>
              <w:left w:val="single" w:color="2E5E8E" w:sz="4"/>
              <w:bottom w:val="single" w:color="2E5E8E" w:sz="4"/>
              <w:right w:val="single" w:color="2E5E8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1226"/>
            <w:tcBorders>
              <w:top w:val="single" w:color="2E5E8E" w:sz="4"/>
              <w:left w:val="single" w:color="2E5E8E" w:sz="4"/>
              <w:bottom w:val="single" w:color="2E5E8E" w:sz="4"/>
              <w:right w:val="single" w:color="2E5E8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 No</w:t>
            </w:r>
          </w:p>
        </w:tc>
        <w:tc>
          <w:tcPr>
            <w:tcW w:type="dxa" w:w="1226"/>
            <w:tcBorders>
              <w:top w:val="single" w:color="2E5E8E" w:sz="4"/>
              <w:left w:val="single" w:color="2E5E8E" w:sz="4"/>
              <w:bottom w:val="single" w:color="2E5E8E" w:sz="4"/>
              <w:right w:val="single" w:color="2E5E8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Yes</w:t>
            </w:r>
          </w:p>
        </w:tc>
        <w:tc>
          <w:tcPr>
            <w:tcW w:type="dxa" w:w="1226"/>
            <w:tcBorders>
              <w:top w:val="single" w:color="2E5E8E" w:sz="4"/>
              <w:left w:val="single" w:color="2E5E8E" w:sz="4"/>
              <w:bottom w:val="single" w:color="2E5E8E" w:sz="4"/>
              <w:right w:val="single" w:color="2E5E8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 No</w:t>
            </w:r>
          </w:p>
        </w:tc>
      </w:tr>
      <w:tr>
        <w:tc>
          <w:tcPr>
            <w:tcW w:type="dxa" w:w="2004"/>
            <w:tcBorders>
              <w:top w:val="single" w:color="2E5E8E" w:sz="4"/>
              <w:left w:val="single" w:color="2E5E8E" w:sz="4"/>
              <w:bottom w:val="single" w:color="2E5E8E" w:sz="4"/>
              <w:right w:val="single" w:color="2E5E8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SaaS GRC Platform
(e.g., Drata, Vanta)</w:t>
            </w:r>
          </w:p>
        </w:tc>
        <w:tc>
          <w:tcPr>
            <w:tcW w:type="dxa" w:w="1226"/>
            <w:tcBorders>
              <w:top w:val="single" w:color="2E5E8E" w:sz="4"/>
              <w:left w:val="single" w:color="2E5E8E" w:sz="4"/>
              <w:bottom w:val="single" w:color="2E5E8E" w:sz="4"/>
              <w:right w:val="single" w:color="2E5E8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$5,000–$10,000</w:t>
            </w:r>
          </w:p>
        </w:tc>
        <w:tc>
          <w:tcPr>
            <w:tcW w:type="dxa" w:w="1226"/>
            <w:tcBorders>
              <w:top w:val="single" w:color="2E5E8E" w:sz="4"/>
              <w:left w:val="single" w:color="2E5E8E" w:sz="4"/>
              <w:bottom w:val="single" w:color="2E5E8E" w:sz="4"/>
              <w:right w:val="single" w:color="2E5E8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$10,000–$30,000</w:t>
            </w:r>
          </w:p>
        </w:tc>
        <w:tc>
          <w:tcPr>
            <w:tcW w:type="dxa" w:w="1226"/>
            <w:tcBorders>
              <w:top w:val="single" w:color="2E5E8E" w:sz="4"/>
              <w:left w:val="single" w:color="2E5E8E" w:sz="4"/>
              <w:bottom w:val="single" w:color="2E5E8E" w:sz="4"/>
              <w:right w:val="single" w:color="2E5E8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Moderate</w:t>
            </w:r>
          </w:p>
        </w:tc>
        <w:tc>
          <w:tcPr>
            <w:tcW w:type="dxa" w:w="1226"/>
            <w:tcBorders>
              <w:top w:val="single" w:color="2E5E8E" w:sz="4"/>
              <w:left w:val="single" w:color="2E5E8E" w:sz="4"/>
              <w:bottom w:val="single" w:color="2E5E8E" w:sz="4"/>
              <w:right w:val="single" w:color="2E5E8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 No</w:t>
            </w:r>
          </w:p>
        </w:tc>
        <w:tc>
          <w:tcPr>
            <w:tcW w:type="dxa" w:w="1226"/>
            <w:tcBorders>
              <w:top w:val="single" w:color="2E5E8E" w:sz="4"/>
              <w:left w:val="single" w:color="2E5E8E" w:sz="4"/>
              <w:bottom w:val="single" w:color="2E5E8E" w:sz="4"/>
              <w:right w:val="single" w:color="2E5E8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1226"/>
            <w:tcBorders>
              <w:top w:val="single" w:color="2E5E8E" w:sz="4"/>
              <w:left w:val="single" w:color="2E5E8E" w:sz="4"/>
              <w:bottom w:val="single" w:color="2E5E8E" w:sz="4"/>
              <w:right w:val="single" w:color="2E5E8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 No</w:t>
            </w:r>
          </w:p>
        </w:tc>
      </w:tr>
      <w:tr>
        <w:tc>
          <w:tcPr>
            <w:tcW w:type="dxa" w:w="2004"/>
            <w:tcBorders>
              <w:top w:val="single" w:color="2E5E8E" w:sz="4"/>
              <w:left w:val="single" w:color="2E5E8E" w:sz="4"/>
              <w:bottom w:val="single" w:color="2E5E8E" w:sz="4"/>
              <w:right w:val="single" w:color="2E5E8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Microsoft GCC High
+ Compliance Mgr</w:t>
            </w:r>
          </w:p>
        </w:tc>
        <w:tc>
          <w:tcPr>
            <w:tcW w:type="dxa" w:w="1226"/>
            <w:tcBorders>
              <w:top w:val="single" w:color="2E5E8E" w:sz="4"/>
              <w:left w:val="single" w:color="2E5E8E" w:sz="4"/>
              <w:bottom w:val="single" w:color="2E5E8E" w:sz="4"/>
              <w:right w:val="single" w:color="2E5E8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$10,000–$30,000 setup</w:t>
            </w:r>
          </w:p>
        </w:tc>
        <w:tc>
          <w:tcPr>
            <w:tcW w:type="dxa" w:w="1226"/>
            <w:tcBorders>
              <w:top w:val="single" w:color="2E5E8E" w:sz="4"/>
              <w:left w:val="single" w:color="2E5E8E" w:sz="4"/>
              <w:bottom w:val="single" w:color="2E5E8E" w:sz="4"/>
              <w:right w:val="single" w:color="2E5E8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$7,000–$10,000</w:t>
            </w:r>
          </w:p>
        </w:tc>
        <w:tc>
          <w:tcPr>
            <w:tcW w:type="dxa" w:w="1226"/>
            <w:tcBorders>
              <w:top w:val="single" w:color="2E5E8E" w:sz="4"/>
              <w:left w:val="single" w:color="2E5E8E" w:sz="4"/>
              <w:bottom w:val="single" w:color="2E5E8E" w:sz="4"/>
              <w:right w:val="single" w:color="2E5E8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Moderate–Hard</w:t>
            </w:r>
          </w:p>
        </w:tc>
        <w:tc>
          <w:tcPr>
            <w:tcW w:type="dxa" w:w="1226"/>
            <w:tcBorders>
              <w:top w:val="single" w:color="2E5E8E" w:sz="4"/>
              <w:left w:val="single" w:color="2E5E8E" w:sz="4"/>
              <w:bottom w:val="single" w:color="2E5E8E" w:sz="4"/>
              <w:right w:val="single" w:color="2E5E8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 No</w:t>
            </w:r>
          </w:p>
        </w:tc>
        <w:tc>
          <w:tcPr>
            <w:tcW w:type="dxa" w:w="1226"/>
            <w:tcBorders>
              <w:top w:val="single" w:color="2E5E8E" w:sz="4"/>
              <w:left w:val="single" w:color="2E5E8E" w:sz="4"/>
              <w:bottom w:val="single" w:color="2E5E8E" w:sz="4"/>
              <w:right w:val="single" w:color="2E5E8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1226"/>
            <w:tcBorders>
              <w:top w:val="single" w:color="2E5E8E" w:sz="4"/>
              <w:left w:val="single" w:color="2E5E8E" w:sz="4"/>
              <w:bottom w:val="single" w:color="2E5E8E" w:sz="4"/>
              <w:right w:val="single" w:color="2E5E8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 No</w:t>
            </w:r>
          </w:p>
        </w:tc>
      </w:tr>
      <w:tr>
        <w:tc>
          <w:tcPr>
            <w:tcW w:type="dxa" w:w="2004"/>
            <w:tcBorders>
              <w:top w:val="single" w:color="2E5E8E" w:sz="4"/>
              <w:left w:val="single" w:color="2E5E8E" w:sz="4"/>
              <w:bottom w:val="single" w:color="2E5E8E" w:sz="4"/>
              <w:right w:val="single" w:color="2E5E8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PreVeil / Kiteworks
(CUI email/files only)</w:t>
            </w:r>
          </w:p>
        </w:tc>
        <w:tc>
          <w:tcPr>
            <w:tcW w:type="dxa" w:w="1226"/>
            <w:tcBorders>
              <w:top w:val="single" w:color="2E5E8E" w:sz="4"/>
              <w:left w:val="single" w:color="2E5E8E" w:sz="4"/>
              <w:bottom w:val="single" w:color="2E5E8E" w:sz="4"/>
              <w:right w:val="single" w:color="2E5E8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Minimal</w:t>
            </w:r>
          </w:p>
        </w:tc>
        <w:tc>
          <w:tcPr>
            <w:tcW w:type="dxa" w:w="1226"/>
            <w:tcBorders>
              <w:top w:val="single" w:color="2E5E8E" w:sz="4"/>
              <w:left w:val="single" w:color="2E5E8E" w:sz="4"/>
              <w:bottom w:val="single" w:color="2E5E8E" w:sz="4"/>
              <w:right w:val="single" w:color="2E5E8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$1,800–$3,000</w:t>
            </w:r>
          </w:p>
        </w:tc>
        <w:tc>
          <w:tcPr>
            <w:tcW w:type="dxa" w:w="1226"/>
            <w:tcBorders>
              <w:top w:val="single" w:color="2E5E8E" w:sz="4"/>
              <w:left w:val="single" w:color="2E5E8E" w:sz="4"/>
              <w:bottom w:val="single" w:color="2E5E8E" w:sz="4"/>
              <w:right w:val="single" w:color="2E5E8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Easy</w:t>
            </w:r>
          </w:p>
        </w:tc>
        <w:tc>
          <w:tcPr>
            <w:tcW w:type="dxa" w:w="1226"/>
            <w:tcBorders>
              <w:top w:val="single" w:color="2E5E8E" w:sz="4"/>
              <w:left w:val="single" w:color="2E5E8E" w:sz="4"/>
              <w:bottom w:val="single" w:color="2E5E8E" w:sz="4"/>
              <w:right w:val="single" w:color="2E5E8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 No</w:t>
            </w:r>
          </w:p>
        </w:tc>
        <w:tc>
          <w:tcPr>
            <w:tcW w:type="dxa" w:w="1226"/>
            <w:tcBorders>
              <w:top w:val="single" w:color="2E5E8E" w:sz="4"/>
              <w:left w:val="single" w:color="2E5E8E" w:sz="4"/>
              <w:bottom w:val="single" w:color="2E5E8E" w:sz="4"/>
              <w:right w:val="single" w:color="2E5E8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 Narrow scope</w:t>
            </w:r>
          </w:p>
        </w:tc>
        <w:tc>
          <w:tcPr>
            <w:tcW w:type="dxa" w:w="1226"/>
            <w:tcBorders>
              <w:top w:val="single" w:color="2E5E8E" w:sz="4"/>
              <w:left w:val="single" w:color="2E5E8E" w:sz="4"/>
              <w:bottom w:val="single" w:color="2E5E8E" w:sz="4"/>
              <w:right w:val="single" w:color="2E5E8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 No</w:t>
            </w:r>
          </w:p>
        </w:tc>
      </w:tr>
      <w:tr>
        <w:tc>
          <w:tcPr>
            <w:tcW w:type="dxa" w:w="2004"/>
            <w:tcBorders>
              <w:top w:val="single" w:color="2E5E8E" w:sz="4"/>
              <w:left w:val="single" w:color="2E5E8E" w:sz="4"/>
              <w:bottom w:val="single" w:color="2E5E8E" w:sz="4"/>
              <w:right w:val="single" w:color="2E5E8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C3PAO-Bundled
Readiness + Assessment</w:t>
            </w:r>
          </w:p>
        </w:tc>
        <w:tc>
          <w:tcPr>
            <w:tcW w:type="dxa" w:w="1226"/>
            <w:tcBorders>
              <w:top w:val="single" w:color="2E5E8E" w:sz="4"/>
              <w:left w:val="single" w:color="2E5E8E" w:sz="4"/>
              <w:bottom w:val="single" w:color="2E5E8E" w:sz="4"/>
              <w:right w:val="single" w:color="2E5E8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$40,000–$100,000+</w:t>
            </w:r>
          </w:p>
        </w:tc>
        <w:tc>
          <w:tcPr>
            <w:tcW w:type="dxa" w:w="1226"/>
            <w:tcBorders>
              <w:top w:val="single" w:color="2E5E8E" w:sz="4"/>
              <w:left w:val="single" w:color="2E5E8E" w:sz="4"/>
              <w:bottom w:val="single" w:color="2E5E8E" w:sz="4"/>
              <w:right w:val="single" w:color="2E5E8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Variable</w:t>
            </w:r>
          </w:p>
        </w:tc>
        <w:tc>
          <w:tcPr>
            <w:tcW w:type="dxa" w:w="1226"/>
            <w:tcBorders>
              <w:top w:val="single" w:color="2E5E8E" w:sz="4"/>
              <w:left w:val="single" w:color="2E5E8E" w:sz="4"/>
              <w:bottom w:val="single" w:color="2E5E8E" w:sz="4"/>
              <w:right w:val="single" w:color="2E5E8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 (fully managed)</w:t>
            </w:r>
          </w:p>
        </w:tc>
        <w:tc>
          <w:tcPr>
            <w:tcW w:type="dxa" w:w="1226"/>
            <w:tcBorders>
              <w:top w:val="single" w:color="2E5E8E" w:sz="4"/>
              <w:left w:val="single" w:color="2E5E8E" w:sz="4"/>
              <w:bottom w:val="single" w:color="2E5E8E" w:sz="4"/>
              <w:right w:val="single" w:color="2E5E8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 No</w:t>
            </w:r>
          </w:p>
        </w:tc>
        <w:tc>
          <w:tcPr>
            <w:tcW w:type="dxa" w:w="1226"/>
            <w:tcBorders>
              <w:top w:val="single" w:color="2E5E8E" w:sz="4"/>
              <w:left w:val="single" w:color="2E5E8E" w:sz="4"/>
              <w:bottom w:val="single" w:color="2E5E8E" w:sz="4"/>
              <w:right w:val="single" w:color="2E5E8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Yes</w:t>
            </w:r>
          </w:p>
        </w:tc>
        <w:tc>
          <w:tcPr>
            <w:tcW w:type="dxa" w:w="1226"/>
            <w:tcBorders>
              <w:top w:val="single" w:color="2E5E8E" w:sz="4"/>
              <w:left w:val="single" w:color="2E5E8E" w:sz="4"/>
              <w:bottom w:val="single" w:color="2E5E8E" w:sz="4"/>
              <w:right w:val="single" w:color="2E5E8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 No</w:t>
            </w:r>
          </w:p>
        </w:tc>
      </w:tr>
      <w:tr>
        <w:tc>
          <w:tcPr>
            <w:tcW w:type="dxa" w:w="2004"/>
            <w:tcBorders>
              <w:top w:val="single" w:color="2E5E8E" w:sz="4"/>
              <w:left w:val="single" w:color="2E5E8E" w:sz="4"/>
              <w:bottom w:val="single" w:color="2E5E8E" w:sz="4"/>
              <w:right w:val="single" w:color="2E5E8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DIY / CISA Free
Resources</w:t>
            </w:r>
          </w:p>
        </w:tc>
        <w:tc>
          <w:tcPr>
            <w:tcW w:type="dxa" w:w="1226"/>
            <w:tcBorders>
              <w:top w:val="single" w:color="2E5E8E" w:sz="4"/>
              <w:left w:val="single" w:color="2E5E8E" w:sz="4"/>
              <w:bottom w:val="single" w:color="2E5E8E" w:sz="4"/>
              <w:right w:val="single" w:color="2E5E8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Near zero</w:t>
            </w:r>
          </w:p>
        </w:tc>
        <w:tc>
          <w:tcPr>
            <w:tcW w:type="dxa" w:w="1226"/>
            <w:tcBorders>
              <w:top w:val="single" w:color="2E5E8E" w:sz="4"/>
              <w:left w:val="single" w:color="2E5E8E" w:sz="4"/>
              <w:bottom w:val="single" w:color="2E5E8E" w:sz="4"/>
              <w:right w:val="single" w:color="2E5E8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Near zero</w:t>
            </w:r>
          </w:p>
        </w:tc>
        <w:tc>
          <w:tcPr>
            <w:tcW w:type="dxa" w:w="1226"/>
            <w:tcBorders>
              <w:top w:val="single" w:color="2E5E8E" w:sz="4"/>
              <w:left w:val="single" w:color="2E5E8E" w:sz="4"/>
              <w:bottom w:val="single" w:color="2E5E8E" w:sz="4"/>
              <w:right w:val="single" w:color="2E5E8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Very Hard</w:t>
            </w:r>
          </w:p>
        </w:tc>
        <w:tc>
          <w:tcPr>
            <w:tcW w:type="dxa" w:w="1226"/>
            <w:tcBorders>
              <w:top w:val="single" w:color="2E5E8E" w:sz="4"/>
              <w:left w:val="single" w:color="2E5E8E" w:sz="4"/>
              <w:bottom w:val="single" w:color="2E5E8E" w:sz="4"/>
              <w:right w:val="single" w:color="2E5E8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DIY</w:t>
            </w:r>
          </w:p>
        </w:tc>
        <w:tc>
          <w:tcPr>
            <w:tcW w:type="dxa" w:w="1226"/>
            <w:tcBorders>
              <w:top w:val="single" w:color="2E5E8E" w:sz="4"/>
              <w:left w:val="single" w:color="2E5E8E" w:sz="4"/>
              <w:bottom w:val="single" w:color="2E5E8E" w:sz="4"/>
              <w:right w:val="single" w:color="2E5E8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 No</w:t>
            </w:r>
          </w:p>
        </w:tc>
        <w:tc>
          <w:tcPr>
            <w:tcW w:type="dxa" w:w="1226"/>
            <w:tcBorders>
              <w:top w:val="single" w:color="2E5E8E" w:sz="4"/>
              <w:left w:val="single" w:color="2E5E8E" w:sz="4"/>
              <w:bottom w:val="single" w:color="2E5E8E" w:sz="4"/>
              <w:right w:val="single" w:color="2E5E8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Yes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Note: ✅ = Full capability  ⚠️ = Partial capability  ❌ = Not addressed. Annual costs shown are representative ranges for a 10-person VSB. Cyber in a Box MSP support costs are optional and negotiated locally through APEX-identified providers at rates below commercial market due to the standardized, automated nature of the platform.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2026-03-02T22:51:45.750Z</dcterms:created>
  <dcterms:modified xsi:type="dcterms:W3CDTF">2026-03-02T22:51:45.751Z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