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4E5F"/>
          <w:sz w:val="40"/>
          <w:szCs w:val="40"/>
        </w:rPr>
        <w:t xml:space="preserve">Contrato de Integração CSV — Sistema de Clientes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Transcrição fiel de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docs/Modelo - Contrato de Integração CSV.docx</w:t>
      </w:r>
      <w:r>
        <w:rPr>
          <w:rFonts w:ascii="Calibri" w:cs="Calibri" w:eastAsia="Calibri" w:hAnsi="Calibri"/>
          <w:sz w:val="22"/>
          <w:szCs w:val="22"/>
        </w:rPr>
        <w:t xml:space="preserve">, acordado entre as duas equipes. É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fonte da verdade</w:t>
      </w:r>
      <w:r>
        <w:rPr>
          <w:rFonts w:ascii="Calibri" w:cs="Calibri" w:eastAsia="Calibri" w:hAnsi="Calibri"/>
          <w:sz w:val="22"/>
          <w:szCs w:val="22"/>
        </w:rPr>
        <w:t xml:space="preserve"> implementada em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server/consumidor/contrato-clientes.js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1. Identificação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478"/>
        <w:gridCol w:w="5548"/>
      </w:tblGrid>
      <w:tr>
        <w:trPr>
          <w:tblHeader/>
        </w:trPr>
        <w:tc>
          <w:tcPr>
            <w:tcW w:type="dxa" w:w="3478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548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34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 do arquivo</w:t>
            </w:r>
          </w:p>
        </w:tc>
        <w:tc>
          <w:tcPr>
            <w:tcW w:type="dxa" w:w="55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sistema_clientes.csv</w:t>
            </w:r>
          </w:p>
        </w:tc>
      </w:tr>
      <w:tr>
        <w:trPr>
          <w:tblHeader w:val="false"/>
        </w:trPr>
        <w:tc>
          <w:tcPr>
            <w:tcW w:type="dxa" w:w="34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Extensão</w:t>
            </w:r>
          </w:p>
        </w:tc>
        <w:tc>
          <w:tcPr>
            <w:tcW w:type="dxa" w:w="55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.csv</w:t>
            </w:r>
          </w:p>
        </w:tc>
      </w:tr>
      <w:tr>
        <w:trPr>
          <w:tblHeader w:val="false"/>
        </w:trPr>
        <w:tc>
          <w:tcPr>
            <w:tcW w:type="dxa" w:w="34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Finalidade</w:t>
            </w:r>
          </w:p>
        </w:tc>
        <w:tc>
          <w:tcPr>
            <w:tcW w:type="dxa" w:w="55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Integração de dados entre sistemas</w:t>
            </w:r>
          </w:p>
        </w:tc>
      </w:tr>
      <w:tr>
        <w:trPr>
          <w:tblHeader w:val="false"/>
        </w:trPr>
        <w:tc>
          <w:tcPr>
            <w:tcW w:type="dxa" w:w="34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produtor</w:t>
            </w:r>
          </w:p>
        </w:tc>
        <w:tc>
          <w:tcPr>
            <w:tcW w:type="dxa" w:w="55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de Clientes (Grupo 1)</w:t>
            </w:r>
          </w:p>
        </w:tc>
      </w:tr>
      <w:tr>
        <w:trPr>
          <w:tblHeader w:val="false"/>
        </w:trPr>
        <w:tc>
          <w:tcPr>
            <w:tcW w:type="dxa" w:w="34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consumidor</w:t>
            </w:r>
          </w:p>
        </w:tc>
        <w:tc>
          <w:tcPr>
            <w:tcW w:type="dxa" w:w="55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de Vendas (Grupo 2)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2. Estrutura do arquivo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452"/>
        <w:gridCol w:w="5574"/>
      </w:tblGrid>
      <w:tr>
        <w:trPr>
          <w:tblHeader/>
        </w:trPr>
        <w:tc>
          <w:tcPr>
            <w:tcW w:type="dxa" w:w="3452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5574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Especificação</w:t>
            </w:r>
          </w:p>
        </w:tc>
      </w:tr>
      <w:tr>
        <w:trPr>
          <w:tblHeader w:val="false"/>
        </w:trPr>
        <w:tc>
          <w:tcPr>
            <w:tcW w:type="dxa" w:w="34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Cabeçalho</w:t>
            </w:r>
          </w:p>
        </w:tc>
        <w:tc>
          <w:tcPr>
            <w:tcW w:type="dxa" w:w="55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Presente na primeira linha</w:t>
            </w:r>
          </w:p>
        </w:tc>
      </w:tr>
      <w:tr>
        <w:trPr>
          <w:tblHeader w:val="false"/>
        </w:trPr>
        <w:tc>
          <w:tcPr>
            <w:tcW w:type="dxa" w:w="34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Delimitador de campos</w:t>
            </w:r>
          </w:p>
        </w:tc>
        <w:tc>
          <w:tcPr>
            <w:tcW w:type="dxa" w:w="55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Ponto e vírgula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;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4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Caractere de aspas</w:t>
            </w:r>
          </w:p>
        </w:tc>
        <w:tc>
          <w:tcPr>
            <w:tcW w:type="dxa" w:w="55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Aspas duplas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"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 para envolver campos de texto</w:t>
            </w:r>
          </w:p>
        </w:tc>
      </w:tr>
      <w:tr>
        <w:trPr>
          <w:tblHeader w:val="false"/>
        </w:trPr>
        <w:tc>
          <w:tcPr>
            <w:tcW w:type="dxa" w:w="34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Codificação</w:t>
            </w:r>
          </w:p>
        </w:tc>
        <w:tc>
          <w:tcPr>
            <w:tcW w:type="dxa" w:w="55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UTF-8</w:t>
            </w:r>
          </w:p>
        </w:tc>
      </w:tr>
      <w:tr>
        <w:trPr>
          <w:tblHeader w:val="false"/>
        </w:trPr>
        <w:tc>
          <w:tcPr>
            <w:tcW w:type="dxa" w:w="34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Quebra de linha</w:t>
            </w:r>
          </w:p>
        </w:tc>
        <w:tc>
          <w:tcPr>
            <w:tcW w:type="dxa" w:w="55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LF — Line Feed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\n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4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Ordem das colunas</w:t>
            </w:r>
          </w:p>
        </w:tc>
        <w:tc>
          <w:tcPr>
            <w:tcW w:type="dxa" w:w="55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Fixa, conforme a seção 3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3. Especificação dos campos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447"/>
        <w:gridCol w:w="1333"/>
        <w:gridCol w:w="925"/>
        <w:gridCol w:w="922"/>
        <w:gridCol w:w="1305"/>
        <w:gridCol w:w="1180"/>
        <w:gridCol w:w="1539"/>
        <w:gridCol w:w="1375"/>
      </w:tblGrid>
      <w:tr>
        <w:trPr>
          <w:tblHeader/>
        </w:trPr>
        <w:tc>
          <w:tcPr>
            <w:tcW w:type="dxa" w:w="447"/>
            <w:shd w:fill="F2F2F2" w:val="clear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#</w:t>
            </w:r>
          </w:p>
        </w:tc>
        <w:tc>
          <w:tcPr>
            <w:tcW w:type="dxa" w:w="1333"/>
            <w:shd w:fill="F2F2F2" w:val="clear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Campo</w:t>
            </w:r>
          </w:p>
        </w:tc>
        <w:tc>
          <w:tcPr>
            <w:tcW w:type="dxa" w:w="925"/>
            <w:shd w:fill="F2F2F2" w:val="clear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922"/>
            <w:shd w:fill="F2F2F2" w:val="clear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Tamanho</w:t>
            </w:r>
          </w:p>
        </w:tc>
        <w:tc>
          <w:tcPr>
            <w:tcW w:type="dxa" w:w="1305"/>
            <w:shd w:fill="F2F2F2" w:val="clear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Obrigatório</w:t>
            </w:r>
          </w:p>
        </w:tc>
        <w:tc>
          <w:tcPr>
            <w:tcW w:type="dxa" w:w="1180"/>
            <w:shd w:fill="F2F2F2" w:val="clear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Formato</w:t>
            </w:r>
          </w:p>
        </w:tc>
        <w:tc>
          <w:tcPr>
            <w:tcW w:type="dxa" w:w="1539"/>
            <w:shd w:fill="F2F2F2" w:val="clear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Regra de validação</w:t>
            </w:r>
          </w:p>
        </w:tc>
        <w:tc>
          <w:tcPr>
            <w:tcW w:type="dxa" w:w="1375"/>
            <w:shd w:fill="F2F2F2" w:val="clear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Exemplo</w:t>
            </w:r>
          </w:p>
        </w:tc>
      </w:tr>
      <w:tr>
        <w:trPr>
          <w:tblHeader w:val="false"/>
        </w:trPr>
        <w:tc>
          <w:tcPr>
            <w:tcW w:type="dxa" w:w="447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333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id_cliente</w:t>
            </w:r>
          </w:p>
        </w:tc>
        <w:tc>
          <w:tcPr>
            <w:tcW w:type="dxa" w:w="92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Inteiro</w:t>
            </w:r>
          </w:p>
        </w:tc>
        <w:tc>
          <w:tcPr>
            <w:tcW w:type="dxa" w:w="922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30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Sim</w:t>
            </w:r>
          </w:p>
        </w:tc>
        <w:tc>
          <w:tcPr>
            <w:tcW w:type="dxa" w:w="1180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Numérico sequencial</w:t>
            </w:r>
          </w:p>
        </w:tc>
        <w:tc>
          <w:tcPr>
            <w:tcW w:type="dxa" w:w="1539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Chave primária única, maior que zero</w:t>
            </w:r>
          </w:p>
        </w:tc>
        <w:tc>
          <w:tcPr>
            <w:tcW w:type="dxa" w:w="137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447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333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nome</w:t>
            </w:r>
          </w:p>
        </w:tc>
        <w:tc>
          <w:tcPr>
            <w:tcW w:type="dxa" w:w="92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Texto</w:t>
            </w:r>
          </w:p>
        </w:tc>
        <w:tc>
          <w:tcPr>
            <w:tcW w:type="dxa" w:w="922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máx 100</w:t>
            </w:r>
          </w:p>
        </w:tc>
        <w:tc>
          <w:tcPr>
            <w:tcW w:type="dxa" w:w="130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Sim</w:t>
            </w:r>
          </w:p>
        </w:tc>
        <w:tc>
          <w:tcPr>
            <w:tcW w:type="dxa" w:w="1180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String</w:t>
            </w:r>
          </w:p>
        </w:tc>
        <w:tc>
          <w:tcPr>
            <w:tcW w:type="dxa" w:w="1539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Não vazio, sem caracteres especiais proibidos</w:t>
            </w:r>
          </w:p>
        </w:tc>
        <w:tc>
          <w:tcPr>
            <w:tcW w:type="dxa" w:w="137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Maria Souza</w:t>
            </w:r>
          </w:p>
        </w:tc>
      </w:tr>
      <w:tr>
        <w:trPr>
          <w:tblHeader w:val="false"/>
        </w:trPr>
        <w:tc>
          <w:tcPr>
            <w:tcW w:type="dxa" w:w="447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333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email</w:t>
            </w:r>
          </w:p>
        </w:tc>
        <w:tc>
          <w:tcPr>
            <w:tcW w:type="dxa" w:w="92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Texto</w:t>
            </w:r>
          </w:p>
        </w:tc>
        <w:tc>
          <w:tcPr>
            <w:tcW w:type="dxa" w:w="922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máx 100</w:t>
            </w:r>
          </w:p>
        </w:tc>
        <w:tc>
          <w:tcPr>
            <w:tcW w:type="dxa" w:w="130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Sim</w:t>
            </w:r>
          </w:p>
        </w:tc>
        <w:tc>
          <w:tcPr>
            <w:tcW w:type="dxa" w:w="1180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E-mail padrão</w:t>
            </w:r>
          </w:p>
        </w:tc>
        <w:tc>
          <w:tcPr>
            <w:tcW w:type="dxa" w:w="1539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Padrão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usuario@dominio.com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, único no arquivo</w:t>
            </w:r>
          </w:p>
        </w:tc>
        <w:tc>
          <w:tcPr>
            <w:tcW w:type="dxa" w:w="137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maria.souza@gmail.com</w:t>
            </w:r>
          </w:p>
        </w:tc>
      </w:tr>
      <w:tr>
        <w:trPr>
          <w:tblHeader w:val="false"/>
        </w:trPr>
        <w:tc>
          <w:tcPr>
            <w:tcW w:type="dxa" w:w="447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333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data_nascimento</w:t>
            </w:r>
          </w:p>
        </w:tc>
        <w:tc>
          <w:tcPr>
            <w:tcW w:type="dxa" w:w="92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Data</w:t>
            </w:r>
          </w:p>
        </w:tc>
        <w:tc>
          <w:tcPr>
            <w:tcW w:type="dxa" w:w="922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130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Sim</w:t>
            </w:r>
          </w:p>
        </w:tc>
        <w:tc>
          <w:tcPr>
            <w:tcW w:type="dxa" w:w="1180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DD/MM/YYYY</w:t>
            </w:r>
          </w:p>
        </w:tc>
        <w:tc>
          <w:tcPr>
            <w:tcW w:type="dxa" w:w="1539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Data válida no calendário gregoriano</w:t>
            </w:r>
          </w:p>
        </w:tc>
        <w:tc>
          <w:tcPr>
            <w:tcW w:type="dxa" w:w="137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15/03/2000</w:t>
            </w:r>
          </w:p>
        </w:tc>
      </w:tr>
      <w:tr>
        <w:trPr>
          <w:tblHeader w:val="false"/>
        </w:trPr>
        <w:tc>
          <w:tcPr>
            <w:tcW w:type="dxa" w:w="447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333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cidade</w:t>
            </w:r>
          </w:p>
        </w:tc>
        <w:tc>
          <w:tcPr>
            <w:tcW w:type="dxa" w:w="92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Texto</w:t>
            </w:r>
          </w:p>
        </w:tc>
        <w:tc>
          <w:tcPr>
            <w:tcW w:type="dxa" w:w="922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máx 100</w:t>
            </w:r>
          </w:p>
        </w:tc>
        <w:tc>
          <w:tcPr>
            <w:tcW w:type="dxa" w:w="130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Sim</w:t>
            </w:r>
          </w:p>
        </w:tc>
        <w:tc>
          <w:tcPr>
            <w:tcW w:type="dxa" w:w="1180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String</w:t>
            </w:r>
          </w:p>
        </w:tc>
        <w:tc>
          <w:tcPr>
            <w:tcW w:type="dxa" w:w="1539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Não vazio, sem caracteres especiais proibidos</w:t>
            </w:r>
          </w:p>
        </w:tc>
        <w:tc>
          <w:tcPr>
            <w:tcW w:type="dxa" w:w="137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Curitiba</w:t>
            </w:r>
          </w:p>
        </w:tc>
      </w:tr>
      <w:tr>
        <w:trPr>
          <w:tblHeader w:val="false"/>
        </w:trPr>
        <w:tc>
          <w:tcPr>
            <w:tcW w:type="dxa" w:w="447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333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ativo</w:t>
            </w:r>
          </w:p>
        </w:tc>
        <w:tc>
          <w:tcPr>
            <w:tcW w:type="dxa" w:w="92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Booleano</w:t>
            </w:r>
          </w:p>
        </w:tc>
        <w:tc>
          <w:tcPr>
            <w:tcW w:type="dxa" w:w="922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30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Sim</w:t>
            </w:r>
          </w:p>
        </w:tc>
        <w:tc>
          <w:tcPr>
            <w:tcW w:type="dxa" w:w="1180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N</w:t>
            </w:r>
          </w:p>
        </w:tc>
        <w:tc>
          <w:tcPr>
            <w:tcW w:type="dxa" w:w="1539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Apenas os valores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 ou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N</w:t>
            </w:r>
          </w:p>
        </w:tc>
        <w:tc>
          <w:tcPr>
            <w:tcW w:type="dxa" w:w="1375"/>
            <w:tcMar>
              <w:top w:type="dxa" w:w="60"/>
              <w:left w:type="dxa" w:w="55"/>
              <w:bottom w:type="dxa" w:w="60"/>
              <w:right w:type="dxa" w:w="55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3"/>
                <w:szCs w:val="13"/>
              </w:rPr>
              <w:t xml:space="preserve">S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Caracteres especiais proibidos</w:t>
      </w:r>
      <w:r>
        <w:rPr>
          <w:rFonts w:ascii="Calibri" w:cs="Calibri" w:eastAsia="Calibri" w:hAnsi="Calibri"/>
          <w:sz w:val="22"/>
          <w:szCs w:val="22"/>
        </w:rPr>
        <w:t xml:space="preserve"> em campos de texto: o delimitador (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;</w:t>
      </w:r>
      <w:r>
        <w:rPr>
          <w:rFonts w:ascii="Calibri" w:cs="Calibri" w:eastAsia="Calibri" w:hAnsi="Calibri"/>
          <w:sz w:val="22"/>
          <w:szCs w:val="22"/>
        </w:rPr>
        <w:t xml:space="preserve">), o caractere de aspas (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"</w:t>
      </w:r>
      <w:r>
        <w:rPr>
          <w:rFonts w:ascii="Calibri" w:cs="Calibri" w:eastAsia="Calibri" w:hAnsi="Calibri"/>
          <w:sz w:val="22"/>
          <w:szCs w:val="22"/>
        </w:rPr>
        <w:t xml:space="preserve">), quebras de linha (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\n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\r</w:t>
      </w:r>
      <w:r>
        <w:rPr>
          <w:rFonts w:ascii="Calibri" w:cs="Calibri" w:eastAsia="Calibri" w:hAnsi="Calibri"/>
          <w:sz w:val="22"/>
          <w:szCs w:val="22"/>
        </w:rPr>
        <w:t xml:space="preserve">) e caracteres de controle. Um campo que precise conter 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;</w:t>
      </w:r>
      <w:r>
        <w:rPr>
          <w:rFonts w:ascii="Calibri" w:cs="Calibri" w:eastAsia="Calibri" w:hAnsi="Calibri"/>
          <w:sz w:val="22"/>
          <w:szCs w:val="22"/>
        </w:rPr>
        <w:t xml:space="preserve"> deve vir envolvido em aspas duplas; aspas internas devem ser duplicadas (</w:t>
      </w:r>
      <w:r>
        <w:rPr>
          <w:rFonts w:ascii="Consolas" w:cs="Consolas" w:eastAsia="Consolas" w:hAnsi="Consolas"/>
          <w:color w:val="7A3E00"/>
          <w:sz w:val="20"/>
          <w:szCs w:val="20"/>
        </w:rPr>
        <w:t xml:space="preserve">""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4. Decisões de tratamento adotadas pelo consumidor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Registradas aqui porque o contrato não as especifica (item 24, Regra 6 do PDF).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Princípio adotado:</w:t>
      </w:r>
      <w:r>
        <w:rPr>
          <w:rFonts w:ascii="Calibri" w:cs="Calibri" w:eastAsia="Calibri" w:hAnsi="Calibri"/>
          <w:sz w:val="22"/>
          <w:szCs w:val="22"/>
        </w:rPr>
        <w:t xml:space="preserve"> o sistema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corrige</w:t>
      </w:r>
      <w:r>
        <w:rPr>
          <w:rFonts w:ascii="Calibri" w:cs="Calibri" w:eastAsia="Calibri" w:hAnsi="Calibri"/>
          <w:sz w:val="22"/>
          <w:szCs w:val="22"/>
        </w:rPr>
        <w:t xml:space="preserve"> registros. Pelo item 11 do PDF, registro válido é processado e registro inválido é rejeitado — e o item 13 guarda os rejeitados justamente para que sejam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"posteriormente corrigidos e processados novamente"</w:t>
      </w:r>
      <w:r>
        <w:rPr>
          <w:rFonts w:ascii="Calibri" w:cs="Calibri" w:eastAsia="Calibri" w:hAnsi="Calibri"/>
          <w:sz w:val="22"/>
          <w:szCs w:val="22"/>
        </w:rPr>
        <w:t xml:space="preserve">, no ciclo do item 21. Corrigir dentro do consumidor esconderia o defeito do produtor, que nunca ficaria sabendo do problema.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572"/>
        <w:gridCol w:w="2999"/>
        <w:gridCol w:w="3455"/>
      </w:tblGrid>
      <w:tr>
        <w:trPr>
          <w:tblHeader/>
        </w:trPr>
        <w:tc>
          <w:tcPr>
            <w:tcW w:type="dxa" w:w="2572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Situação</w:t>
            </w:r>
          </w:p>
        </w:tc>
        <w:tc>
          <w:tcPr>
            <w:tcW w:type="dxa" w:w="2999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Decisão</w:t>
            </w:r>
          </w:p>
        </w:tc>
        <w:tc>
          <w:tcPr>
            <w:tcW w:type="dxa" w:w="3455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Justificativa</w:t>
            </w:r>
          </w:p>
        </w:tc>
      </w:tr>
      <w:tr>
        <w:trPr>
          <w:tblHeader w:val="false"/>
        </w:trPr>
        <w:tc>
          <w:tcPr>
            <w:tcW w:type="dxa" w:w="25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Espaço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 volta do delimitador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10 ; João ; ...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 — 10.16</w:t>
            </w:r>
          </w:p>
        </w:tc>
        <w:tc>
          <w:tcPr>
            <w:tcW w:type="dxa" w:w="29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Rejeita o registro</w:t>
            </w:r>
          </w:p>
        </w:tc>
        <w:tc>
          <w:tcPr>
            <w:tcW w:type="dxa" w:w="34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É defeito de formatação do produtor: todo valor da linha chega sujo. O PDF (item 11) trata registro inválido como rejeição</w:t>
            </w:r>
          </w:p>
        </w:tc>
      </w:tr>
      <w:tr>
        <w:trPr>
          <w:tblHeader w:val="false"/>
        </w:trPr>
        <w:tc>
          <w:tcPr>
            <w:tcW w:type="dxa" w:w="25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Espaço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dentro das aspas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"Iury Rodrigues "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29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Aceita como está</w:t>
            </w:r>
          </w:p>
        </w:tc>
        <w:tc>
          <w:tcPr>
            <w:tcW w:type="dxa" w:w="34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 aspas delimitam o valor, então o espaço faz parte do dado. O contrato permite: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nome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é texto livre de até 100 caracteres</w:t>
            </w:r>
          </w:p>
        </w:tc>
      </w:tr>
      <w:tr>
        <w:trPr>
          <w:tblHeader w:val="false"/>
        </w:trPr>
        <w:tc>
          <w:tcPr>
            <w:tcW w:type="dxa" w:w="25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Aspas que sobram no valor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"Joao"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), efeito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 ; "Joao" ; </w:t>
            </w:r>
          </w:p>
        </w:tc>
        <w:tc>
          <w:tcPr>
            <w:tcW w:type="dxa" w:w="29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Rejeita o registro</w:t>
            </w:r>
          </w:p>
        </w:tc>
        <w:tc>
          <w:tcPr>
            <w:tcW w:type="dxa" w:w="34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Mesma razão: é defeito de formatação do produtor e precisa aparecer no relatório</w:t>
            </w:r>
          </w:p>
        </w:tc>
      </w:tr>
      <w:tr>
        <w:trPr>
          <w:tblHeader w:val="false"/>
        </w:trPr>
        <w:tc>
          <w:tcPr>
            <w:tcW w:type="dxa" w:w="25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email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com diferença de caixa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A@X.com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a@x.com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29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Compara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sem diferenciar maiúsculas</w:t>
            </w:r>
          </w:p>
        </w:tc>
        <w:tc>
          <w:tcPr>
            <w:tcW w:type="dxa" w:w="34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Critério de unicidade, não alteração do dado: o valor é gravado como veio</w:t>
            </w:r>
          </w:p>
        </w:tc>
      </w:tr>
      <w:tr>
        <w:trPr>
          <w:tblHeader w:val="false"/>
        </w:trPr>
        <w:tc>
          <w:tcPr>
            <w:tcW w:type="dxa" w:w="25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Arquivo com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CRLF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em vez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LF</w:t>
            </w:r>
          </w:p>
        </w:tc>
        <w:tc>
          <w:tcPr>
            <w:tcW w:type="dxa" w:w="29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Aceita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com aviso no relatório</w:t>
            </w:r>
          </w:p>
        </w:tc>
        <w:tc>
          <w:tcPr>
            <w:tcW w:type="dxa" w:w="34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Diferença de sistema operacional (item 22.7), não corrompe o dado</w:t>
            </w:r>
          </w:p>
        </w:tc>
      </w:tr>
      <w:tr>
        <w:trPr>
          <w:tblHeader w:val="false"/>
        </w:trPr>
        <w:tc>
          <w:tcPr>
            <w:tcW w:type="dxa" w:w="25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 do arquivo diferente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sistema_clientes.csv</w:t>
            </w:r>
          </w:p>
        </w:tc>
        <w:tc>
          <w:tcPr>
            <w:tcW w:type="dxa" w:w="29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Aceita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com aviso no relatório</w:t>
            </w:r>
          </w:p>
        </w:tc>
        <w:tc>
          <w:tcPr>
            <w:tcW w:type="dxa" w:w="34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 afeta o conteúdo; o controle de remessa usa o número do nome</w:t>
            </w:r>
          </w:p>
        </w:tc>
      </w:tr>
      <w:tr>
        <w:trPr>
          <w:tblHeader w:val="false"/>
        </w:trPr>
        <w:tc>
          <w:tcPr>
            <w:tcW w:type="dxa" w:w="25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Cabeçalho ausente, com colunas desconhecidas ou fora de ordem</w:t>
            </w:r>
          </w:p>
        </w:tc>
        <w:tc>
          <w:tcPr>
            <w:tcW w:type="dxa" w:w="29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Rejeita o arquivo inteiro</w:t>
            </w:r>
          </w:p>
        </w:tc>
        <w:tc>
          <w:tcPr>
            <w:tcW w:type="dxa" w:w="34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Impede o mapeamento confiável campo↔coluna (item 14)</w:t>
            </w:r>
          </w:p>
        </w:tc>
      </w:tr>
      <w:tr>
        <w:trPr>
          <w:tblHeader w:val="false"/>
        </w:trPr>
        <w:tc>
          <w:tcPr>
            <w:tcW w:type="dxa" w:w="25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Cabeçalho incompleto, mas prefixo correto na ordem do contrato</w:t>
            </w:r>
          </w:p>
        </w:tc>
        <w:tc>
          <w:tcPr>
            <w:tcW w:type="dxa" w:w="29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Aceita posicionalmente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marca o arquivo como não conforme e segue com processamento parcial</w:t>
            </w:r>
          </w:p>
        </w:tc>
        <w:tc>
          <w:tcPr>
            <w:tcW w:type="dxa" w:w="34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ordem das colunas é fixa no contrato, então os dados continuam interpretáveis</w:t>
            </w:r>
          </w:p>
        </w:tc>
      </w:tr>
      <w:tr>
        <w:trPr>
          <w:tblHeader w:val="false"/>
        </w:trPr>
        <w:tc>
          <w:tcPr>
            <w:tcW w:type="dxa" w:w="25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Delimitador diferente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;</w:t>
            </w:r>
          </w:p>
        </w:tc>
        <w:tc>
          <w:tcPr>
            <w:tcW w:type="dxa" w:w="29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Rejeita o arquivo inteiro</w:t>
            </w:r>
          </w:p>
        </w:tc>
        <w:tc>
          <w:tcPr>
            <w:tcW w:type="dxa" w:w="34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 o delimitador do contrato nenhum campo é identificável (item 22.5)</w:t>
            </w:r>
          </w:p>
        </w:tc>
      </w:tr>
      <w:tr>
        <w:trPr>
          <w:tblHeader w:val="false"/>
        </w:trPr>
        <w:tc>
          <w:tcPr>
            <w:tcW w:type="dxa" w:w="25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Linha com quantidade de campos diferente de 6</w:t>
            </w:r>
          </w:p>
        </w:tc>
        <w:tc>
          <w:tcPr>
            <w:tcW w:type="dxa" w:w="29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Rejeita o registro</w:t>
            </w:r>
          </w:p>
        </w:tc>
        <w:tc>
          <w:tcPr>
            <w:tcW w:type="dxa" w:w="34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 há como saber qual campo foi deslocado</w:t>
            </w:r>
          </w:p>
        </w:tc>
      </w:tr>
      <w:tr>
        <w:trPr>
          <w:tblHeader w:val="false"/>
        </w:trPr>
        <w:tc>
          <w:tcPr>
            <w:tcW w:type="dxa" w:w="25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NULL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-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N/A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em campo obrigatório</w:t>
            </w:r>
          </w:p>
        </w:tc>
        <w:tc>
          <w:tcPr>
            <w:tcW w:type="dxa" w:w="29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Rejeita o registro</w:t>
            </w:r>
          </w:p>
        </w:tc>
        <w:tc>
          <w:tcPr>
            <w:tcW w:type="dxa" w:w="34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contrato não prevê representação de nulo</w:t>
            </w:r>
          </w:p>
        </w:tc>
      </w:tr>
      <w:tr>
        <w:trPr>
          <w:tblHeader w:val="false"/>
        </w:trPr>
        <w:tc>
          <w:tcPr>
            <w:tcW w:type="dxa" w:w="25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 com mojibake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JoÃ£o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29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Rejeita o registro</w:t>
            </w:r>
          </w:p>
        </w:tc>
        <w:tc>
          <w:tcPr>
            <w:tcW w:type="dxa" w:w="34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Indica leitura fora do UTF-8 acordado; corrigir seria adivinhar</w:t>
            </w:r>
          </w:p>
        </w:tc>
      </w:tr>
      <w:tr>
        <w:trPr>
          <w:tblHeader w:val="false"/>
        </w:trPr>
        <w:tc>
          <w:tcPr>
            <w:tcW w:type="dxa" w:w="25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id_cliente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ou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8"/>
                <w:szCs w:val="18"/>
              </w:rPr>
              <w:t xml:space="preserve">email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repetidos</w:t>
            </w:r>
          </w:p>
        </w:tc>
        <w:tc>
          <w:tcPr>
            <w:tcW w:type="dxa" w:w="29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Rejeita a 2ª ocorrência</w:t>
            </w:r>
          </w:p>
        </w:tc>
        <w:tc>
          <w:tcPr>
            <w:tcW w:type="dxa" w:w="34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Ambos são únicos por contrato; a 1ª é mantida</w:t>
            </w:r>
          </w:p>
        </w:tc>
      </w:tr>
    </w:tbl>
    <w:p>
      <w:pPr>
        <w:spacing w:after="120"/>
      </w:pPr>
    </w:p>
    <w:p>
      <w:pPr>
        <w:spacing w:before="480"/>
        <w:jc w:val="center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Grupo 2 — Sistema de Vendas · Paulo Eduardo · Joao Pedro Azevedo · Hyago Fernandes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Integracao CSV - Sistema de Clientes</dc:title>
  <dc:creator>Grupo 2 - Sistema de Vendas</dc:creator>
  <dc:description>Entrega do trabalho pratico de Integracao de Aplicacoes por Arquivos CSV</dc:description>
  <cp:lastModifiedBy>Un-named</cp:lastModifiedBy>
  <cp:revision>1</cp:revision>
  <dcterms:created xsi:type="dcterms:W3CDTF">2026-09-18T00:05:35.319Z</dcterms:created>
  <dcterms:modified xsi:type="dcterms:W3CDTF">2026-09-18T00:05:35.320Z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