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Contrato de Integração CSV — Sistema de Vendas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Contrato do arquivo que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Grupo 2 (Sistema de Vendas)</w:t>
      </w:r>
      <w:r>
        <w:rPr>
          <w:rFonts w:ascii="Calibri" w:cs="Calibri" w:eastAsia="Calibri" w:hAnsi="Calibri"/>
          <w:sz w:val="22"/>
          <w:szCs w:val="22"/>
        </w:rPr>
        <w:t xml:space="preserve"> produz e entrega ao grupo seguinte da cadeia. Segue a mesma estrutura do contrato de entrada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CONTRATO-CLIENTES.md</w:t>
      </w:r>
      <w:r>
        <w:rPr>
          <w:rFonts w:ascii="Calibri" w:cs="Calibri" w:eastAsia="Calibri" w:hAnsi="Calibri"/>
          <w:sz w:val="22"/>
          <w:szCs w:val="22"/>
        </w:rPr>
        <w:t xml:space="preserve">) e atende ao item 7 do trabalho.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Implementado em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server/contrato.js</w:t>
      </w:r>
      <w:r>
        <w:rPr>
          <w:rFonts w:ascii="Calibri" w:cs="Calibri" w:eastAsia="Calibri" w:hAnsi="Calibri"/>
          <w:sz w:val="22"/>
          <w:szCs w:val="22"/>
        </w:rPr>
        <w:t xml:space="preserve"> e nos geradores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server/produtor/csv-*.js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1. Identificação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886"/>
        <w:gridCol w:w="6140"/>
      </w:tblGrid>
      <w:tr>
        <w:trPr>
          <w:tblHeader/>
        </w:trPr>
        <w:tc>
          <w:tcPr>
            <w:tcW w:type="dxa" w:w="288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1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8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do arquivo</w:t>
            </w:r>
          </w:p>
        </w:tc>
        <w:tc>
          <w:tcPr>
            <w:tcW w:type="dxa" w:w="61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vendas-NNN.csv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onde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NNN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é a sequência da remessa</w:t>
            </w:r>
          </w:p>
        </w:tc>
      </w:tr>
      <w:tr>
        <w:trPr>
          <w:tblHeader w:val="false"/>
        </w:trPr>
        <w:tc>
          <w:tcPr>
            <w:tcW w:type="dxa" w:w="28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Extensão</w:t>
            </w:r>
          </w:p>
        </w:tc>
        <w:tc>
          <w:tcPr>
            <w:tcW w:type="dxa" w:w="61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.csv</w:t>
            </w:r>
          </w:p>
        </w:tc>
      </w:tr>
      <w:tr>
        <w:trPr>
          <w:tblHeader w:val="false"/>
        </w:trPr>
        <w:tc>
          <w:tcPr>
            <w:tcW w:type="dxa" w:w="28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Finalidade</w:t>
            </w:r>
          </w:p>
        </w:tc>
        <w:tc>
          <w:tcPr>
            <w:tcW w:type="dxa" w:w="61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Exportar as vendas realizadas para o sistema consumidor</w:t>
            </w:r>
          </w:p>
        </w:tc>
      </w:tr>
      <w:tr>
        <w:trPr>
          <w:tblHeader w:val="false"/>
        </w:trPr>
        <w:tc>
          <w:tcPr>
            <w:tcW w:type="dxa" w:w="28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produtor</w:t>
            </w:r>
          </w:p>
        </w:tc>
        <w:tc>
          <w:tcPr>
            <w:tcW w:type="dxa" w:w="61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de Vendas (Grupo 2)</w:t>
            </w:r>
          </w:p>
        </w:tc>
      </w:tr>
      <w:tr>
        <w:trPr>
          <w:tblHeader w:val="false"/>
        </w:trPr>
        <w:tc>
          <w:tcPr>
            <w:tcW w:type="dxa" w:w="28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consumidor</w:t>
            </w:r>
          </w:p>
        </w:tc>
        <w:tc>
          <w:tcPr>
            <w:tcW w:type="dxa" w:w="61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de Produtos (Grupo 3)</w:t>
            </w:r>
          </w:p>
        </w:tc>
      </w:tr>
      <w:tr>
        <w:trPr>
          <w:tblHeader w:val="false"/>
        </w:trPr>
        <w:tc>
          <w:tcPr>
            <w:tcW w:type="dxa" w:w="28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Arquivo de controle</w:t>
            </w:r>
          </w:p>
        </w:tc>
        <w:tc>
          <w:tcPr>
            <w:tcW w:type="dxa" w:w="61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vendas-NNN.ctl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enviado junto com cada CSV (seção 4)</w:t>
            </w:r>
          </w:p>
        </w:tc>
      </w:tr>
      <w:tr>
        <w:trPr>
          <w:tblHeader w:val="false"/>
        </w:trPr>
        <w:tc>
          <w:tcPr>
            <w:tcW w:type="dxa" w:w="28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Arquivo substituto</w:t>
            </w:r>
          </w:p>
        </w:tc>
        <w:tc>
          <w:tcPr>
            <w:tcW w:type="dxa" w:w="61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vendas-NNN-substituto.csv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vendas-NNN-substituto.ctl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(item 15.8)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2. Estrutura do arquivo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560"/>
        <w:gridCol w:w="6466"/>
      </w:tblGrid>
      <w:tr>
        <w:trPr>
          <w:tblHeader/>
        </w:trPr>
        <w:tc>
          <w:tcPr>
            <w:tcW w:type="dxa" w:w="256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646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Especificação</w:t>
            </w:r>
          </w:p>
        </w:tc>
      </w:tr>
      <w:tr>
        <w:trPr>
          <w:tblHeader w:val="false"/>
        </w:trPr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Cabeçalho</w:t>
            </w:r>
          </w:p>
        </w:tc>
        <w:tc>
          <w:tcPr>
            <w:tcW w:type="dxa" w:w="6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Presente na primeira linha, com os nomes da seção 3</w:t>
            </w:r>
          </w:p>
        </w:tc>
      </w:tr>
      <w:tr>
        <w:trPr>
          <w:tblHeader w:val="false"/>
        </w:trPr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Delimitador de campos</w:t>
            </w:r>
          </w:p>
        </w:tc>
        <w:tc>
          <w:tcPr>
            <w:tcW w:type="dxa" w:w="6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Ponto e vírgula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;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Caractere de aspas</w:t>
            </w:r>
          </w:p>
        </w:tc>
        <w:tc>
          <w:tcPr>
            <w:tcW w:type="dxa" w:w="6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Aspas duplas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"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apenas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quando o valor contém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;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"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ou quebra de linha; aspas internas são duplicadas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""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Codificação</w:t>
            </w:r>
          </w:p>
        </w:tc>
        <w:tc>
          <w:tcPr>
            <w:tcW w:type="dxa" w:w="6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UTF-8, sem BOM</w:t>
            </w:r>
          </w:p>
        </w:tc>
      </w:tr>
      <w:tr>
        <w:trPr>
          <w:tblHeader w:val="false"/>
        </w:trPr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Quebra de linha</w:t>
            </w:r>
          </w:p>
        </w:tc>
        <w:tc>
          <w:tcPr>
            <w:tcW w:type="dxa" w:w="6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LF — Line Feed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\n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Ordem das colunas</w:t>
            </w:r>
          </w:p>
        </w:tc>
        <w:tc>
          <w:tcPr>
            <w:tcW w:type="dxa" w:w="6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Fixa, conforme a seção 3</w:t>
            </w:r>
          </w:p>
        </w:tc>
      </w:tr>
      <w:tr>
        <w:trPr>
          <w:tblHeader w:val="false"/>
        </w:trPr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Linhas de dados</w:t>
            </w:r>
          </w:p>
        </w:tc>
        <w:tc>
          <w:tcPr>
            <w:tcW w:type="dxa" w:w="6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Mínimo 177 (a geração produz 220), conforme o item 8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3. Especificação dos campos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44"/>
        <w:gridCol w:w="1319"/>
        <w:gridCol w:w="822"/>
        <w:gridCol w:w="922"/>
        <w:gridCol w:w="1295"/>
        <w:gridCol w:w="1181"/>
        <w:gridCol w:w="1670"/>
        <w:gridCol w:w="1373"/>
      </w:tblGrid>
      <w:tr>
        <w:trPr>
          <w:tblHeader/>
        </w:trPr>
        <w:tc>
          <w:tcPr>
            <w:tcW w:type="dxa" w:w="444"/>
            <w:shd w:fill="F2F2F2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#</w:t>
            </w:r>
          </w:p>
        </w:tc>
        <w:tc>
          <w:tcPr>
            <w:tcW w:type="dxa" w:w="1319"/>
            <w:shd w:fill="F2F2F2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Campo</w:t>
            </w:r>
          </w:p>
        </w:tc>
        <w:tc>
          <w:tcPr>
            <w:tcW w:type="dxa" w:w="822"/>
            <w:shd w:fill="F2F2F2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922"/>
            <w:shd w:fill="F2F2F2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Tamanho</w:t>
            </w:r>
          </w:p>
        </w:tc>
        <w:tc>
          <w:tcPr>
            <w:tcW w:type="dxa" w:w="1295"/>
            <w:shd w:fill="F2F2F2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Obrigatório</w:t>
            </w:r>
          </w:p>
        </w:tc>
        <w:tc>
          <w:tcPr>
            <w:tcW w:type="dxa" w:w="1181"/>
            <w:shd w:fill="F2F2F2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Formato</w:t>
            </w:r>
          </w:p>
        </w:tc>
        <w:tc>
          <w:tcPr>
            <w:tcW w:type="dxa" w:w="1670"/>
            <w:shd w:fill="F2F2F2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Regra de validação</w:t>
            </w:r>
          </w:p>
        </w:tc>
        <w:tc>
          <w:tcPr>
            <w:tcW w:type="dxa" w:w="1373"/>
            <w:shd w:fill="F2F2F2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W w:type="dxa" w:w="444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19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id_venda</w:t>
            </w:r>
          </w:p>
        </w:tc>
        <w:tc>
          <w:tcPr>
            <w:tcW w:type="dxa" w:w="8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Inteiro</w:t>
            </w:r>
          </w:p>
        </w:tc>
        <w:tc>
          <w:tcPr>
            <w:tcW w:type="dxa" w:w="9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9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</w:t>
            </w:r>
          </w:p>
        </w:tc>
        <w:tc>
          <w:tcPr>
            <w:tcW w:type="dxa" w:w="1181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Numérico sequencial</w:t>
            </w:r>
          </w:p>
        </w:tc>
        <w:tc>
          <w:tcPr>
            <w:tcW w:type="dxa" w:w="1670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Chave primária única no arquivo, maior que zero</w:t>
            </w:r>
          </w:p>
        </w:tc>
        <w:tc>
          <w:tcPr>
            <w:tcW w:type="dxa" w:w="1373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1042</w:t>
            </w:r>
          </w:p>
        </w:tc>
      </w:tr>
      <w:tr>
        <w:trPr>
          <w:tblHeader w:val="false"/>
        </w:trPr>
        <w:tc>
          <w:tcPr>
            <w:tcW w:type="dxa" w:w="444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319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id_cliente</w:t>
            </w:r>
          </w:p>
        </w:tc>
        <w:tc>
          <w:tcPr>
            <w:tcW w:type="dxa" w:w="8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Inteiro</w:t>
            </w:r>
          </w:p>
        </w:tc>
        <w:tc>
          <w:tcPr>
            <w:tcW w:type="dxa" w:w="9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9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</w:t>
            </w:r>
          </w:p>
        </w:tc>
        <w:tc>
          <w:tcPr>
            <w:tcW w:type="dxa" w:w="1181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Numérico</w:t>
            </w:r>
          </w:p>
        </w:tc>
        <w:tc>
          <w:tcPr>
            <w:tcW w:type="dxa" w:w="1670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Maior que zero</w:t>
            </w:r>
          </w:p>
        </w:tc>
        <w:tc>
          <w:tcPr>
            <w:tcW w:type="dxa" w:w="1373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102</w:t>
            </w:r>
          </w:p>
        </w:tc>
      </w:tr>
      <w:tr>
        <w:trPr>
          <w:tblHeader w:val="false"/>
        </w:trPr>
        <w:tc>
          <w:tcPr>
            <w:tcW w:type="dxa" w:w="444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19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id_produto</w:t>
            </w:r>
          </w:p>
        </w:tc>
        <w:tc>
          <w:tcPr>
            <w:tcW w:type="dxa" w:w="8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Inteiro</w:t>
            </w:r>
          </w:p>
        </w:tc>
        <w:tc>
          <w:tcPr>
            <w:tcW w:type="dxa" w:w="9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9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</w:t>
            </w:r>
          </w:p>
        </w:tc>
        <w:tc>
          <w:tcPr>
            <w:tcW w:type="dxa" w:w="1181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Numérico</w:t>
            </w:r>
          </w:p>
        </w:tc>
        <w:tc>
          <w:tcPr>
            <w:tcW w:type="dxa" w:w="1670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Maior que zero</w:t>
            </w:r>
          </w:p>
        </w:tc>
        <w:tc>
          <w:tcPr>
            <w:tcW w:type="dxa" w:w="1373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305</w:t>
            </w:r>
          </w:p>
        </w:tc>
      </w:tr>
      <w:tr>
        <w:trPr>
          <w:tblHeader w:val="false"/>
        </w:trPr>
        <w:tc>
          <w:tcPr>
            <w:tcW w:type="dxa" w:w="444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319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quantidade</w:t>
            </w:r>
          </w:p>
        </w:tc>
        <w:tc>
          <w:tcPr>
            <w:tcW w:type="dxa" w:w="8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Inteiro</w:t>
            </w:r>
          </w:p>
        </w:tc>
        <w:tc>
          <w:tcPr>
            <w:tcW w:type="dxa" w:w="9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9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</w:t>
            </w:r>
          </w:p>
        </w:tc>
        <w:tc>
          <w:tcPr>
            <w:tcW w:type="dxa" w:w="1181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Numérico</w:t>
            </w:r>
          </w:p>
        </w:tc>
        <w:tc>
          <w:tcPr>
            <w:tcW w:type="dxa" w:w="1670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Entre 1 e 999</w:t>
            </w:r>
          </w:p>
        </w:tc>
        <w:tc>
          <w:tcPr>
            <w:tcW w:type="dxa" w:w="1373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44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319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valor_unitario</w:t>
            </w:r>
          </w:p>
        </w:tc>
        <w:tc>
          <w:tcPr>
            <w:tcW w:type="dxa" w:w="8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Decimal</w:t>
            </w:r>
          </w:p>
        </w:tc>
        <w:tc>
          <w:tcPr>
            <w:tcW w:type="dxa" w:w="9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9999.99</w:t>
            </w:r>
          </w:p>
        </w:tc>
        <w:tc>
          <w:tcPr>
            <w:tcW w:type="dxa" w:w="129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</w:t>
            </w:r>
          </w:p>
        </w:tc>
        <w:tc>
          <w:tcPr>
            <w:tcW w:type="dxa" w:w="1181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Ponto decimal, 2 casas</w:t>
            </w:r>
          </w:p>
        </w:tc>
        <w:tc>
          <w:tcPr>
            <w:tcW w:type="dxa" w:w="1670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Maior que zero e ≤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9999.99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; </w:t>
            </w: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sem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símbolo de moeda e sem separador de milhar</w:t>
            </w:r>
          </w:p>
        </w:tc>
        <w:tc>
          <w:tcPr>
            <w:tcW w:type="dxa" w:w="1373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149.90</w:t>
            </w:r>
          </w:p>
        </w:tc>
      </w:tr>
      <w:tr>
        <w:trPr>
          <w:tblHeader w:val="false"/>
        </w:trPr>
        <w:tc>
          <w:tcPr>
            <w:tcW w:type="dxa" w:w="444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319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valor_total</w:t>
            </w:r>
          </w:p>
        </w:tc>
        <w:tc>
          <w:tcPr>
            <w:tcW w:type="dxa" w:w="8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Decimal</w:t>
            </w:r>
          </w:p>
        </w:tc>
        <w:tc>
          <w:tcPr>
            <w:tcW w:type="dxa" w:w="9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99999.99</w:t>
            </w:r>
          </w:p>
        </w:tc>
        <w:tc>
          <w:tcPr>
            <w:tcW w:type="dxa" w:w="129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</w:t>
            </w:r>
          </w:p>
        </w:tc>
        <w:tc>
          <w:tcPr>
            <w:tcW w:type="dxa" w:w="1181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Ponto decimal, 2 casas</w:t>
            </w:r>
          </w:p>
        </w:tc>
        <w:tc>
          <w:tcPr>
            <w:tcW w:type="dxa" w:w="1670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Igual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quantidade × valor_unitario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, com 2 casas; ≤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99999.99</w:t>
            </w:r>
          </w:p>
        </w:tc>
        <w:tc>
          <w:tcPr>
            <w:tcW w:type="dxa" w:w="1373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449.70</w:t>
            </w:r>
          </w:p>
        </w:tc>
      </w:tr>
      <w:tr>
        <w:trPr>
          <w:tblHeader w:val="false"/>
        </w:trPr>
        <w:tc>
          <w:tcPr>
            <w:tcW w:type="dxa" w:w="444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319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data_venda</w:t>
            </w:r>
          </w:p>
        </w:tc>
        <w:tc>
          <w:tcPr>
            <w:tcW w:type="dxa" w:w="8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Data</w:t>
            </w:r>
          </w:p>
        </w:tc>
        <w:tc>
          <w:tcPr>
            <w:tcW w:type="dxa" w:w="9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29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</w:t>
            </w:r>
          </w:p>
        </w:tc>
        <w:tc>
          <w:tcPr>
            <w:tcW w:type="dxa" w:w="1181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DD/MM/YYYY</w:t>
            </w:r>
          </w:p>
        </w:tc>
        <w:tc>
          <w:tcPr>
            <w:tcW w:type="dxa" w:w="1670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Data válida no calendário gregoriano</w:t>
            </w:r>
          </w:p>
        </w:tc>
        <w:tc>
          <w:tcPr>
            <w:tcW w:type="dxa" w:w="1373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12/03/2026</w:t>
            </w:r>
          </w:p>
        </w:tc>
      </w:tr>
      <w:tr>
        <w:trPr>
          <w:tblHeader w:val="false"/>
        </w:trPr>
        <w:tc>
          <w:tcPr>
            <w:tcW w:type="dxa" w:w="444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319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forma_pagamento</w:t>
            </w:r>
          </w:p>
        </w:tc>
        <w:tc>
          <w:tcPr>
            <w:tcW w:type="dxa" w:w="8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Texto</w:t>
            </w:r>
          </w:p>
        </w:tc>
        <w:tc>
          <w:tcPr>
            <w:tcW w:type="dxa" w:w="9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29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</w:t>
            </w:r>
          </w:p>
        </w:tc>
        <w:tc>
          <w:tcPr>
            <w:tcW w:type="dxa" w:w="1181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Lista fechada</w:t>
            </w:r>
          </w:p>
        </w:tc>
        <w:tc>
          <w:tcPr>
            <w:tcW w:type="dxa" w:w="1670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Apenas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PIX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CARTAO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BOLETO</w:t>
            </w:r>
          </w:p>
        </w:tc>
        <w:tc>
          <w:tcPr>
            <w:tcW w:type="dxa" w:w="1373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PIX</w:t>
            </w:r>
          </w:p>
        </w:tc>
      </w:tr>
      <w:tr>
        <w:trPr>
          <w:tblHeader w:val="false"/>
        </w:trPr>
        <w:tc>
          <w:tcPr>
            <w:tcW w:type="dxa" w:w="444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319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status</w:t>
            </w:r>
          </w:p>
        </w:tc>
        <w:tc>
          <w:tcPr>
            <w:tcW w:type="dxa" w:w="8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Texto</w:t>
            </w:r>
          </w:p>
        </w:tc>
        <w:tc>
          <w:tcPr>
            <w:tcW w:type="dxa" w:w="9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29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</w:t>
            </w:r>
          </w:p>
        </w:tc>
        <w:tc>
          <w:tcPr>
            <w:tcW w:type="dxa" w:w="1181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Lista fechada</w:t>
            </w:r>
          </w:p>
        </w:tc>
        <w:tc>
          <w:tcPr>
            <w:tcW w:type="dxa" w:w="1670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Apenas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CONCLUIDA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CANCELADA</w:t>
            </w:r>
          </w:p>
        </w:tc>
        <w:tc>
          <w:tcPr>
            <w:tcW w:type="dxa" w:w="1373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CONCLUIDA</w:t>
            </w:r>
          </w:p>
        </w:tc>
      </w:tr>
      <w:tr>
        <w:trPr>
          <w:tblHeader w:val="false"/>
        </w:trPr>
        <w:tc>
          <w:tcPr>
            <w:tcW w:type="dxa" w:w="444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319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integrante</w:t>
            </w:r>
          </w:p>
        </w:tc>
        <w:tc>
          <w:tcPr>
            <w:tcW w:type="dxa" w:w="8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Texto</w:t>
            </w:r>
          </w:p>
        </w:tc>
        <w:tc>
          <w:tcPr>
            <w:tcW w:type="dxa" w:w="9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máx 100</w:t>
            </w:r>
          </w:p>
        </w:tc>
        <w:tc>
          <w:tcPr>
            <w:tcW w:type="dxa" w:w="129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</w:t>
            </w:r>
          </w:p>
        </w:tc>
        <w:tc>
          <w:tcPr>
            <w:tcW w:type="dxa" w:w="1181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String</w:t>
            </w:r>
          </w:p>
        </w:tc>
        <w:tc>
          <w:tcPr>
            <w:tcW w:type="dxa" w:w="1670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Nome de um integrante do Grupo 2; sem caracteres proibidos</w:t>
            </w:r>
          </w:p>
        </w:tc>
        <w:tc>
          <w:tcPr>
            <w:tcW w:type="dxa" w:w="1373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Paulo Eduardo</w:t>
            </w:r>
          </w:p>
        </w:tc>
      </w:tr>
      <w:tr>
        <w:trPr>
          <w:tblHeader w:val="false"/>
        </w:trPr>
        <w:tc>
          <w:tcPr>
            <w:tcW w:type="dxa" w:w="444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319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email</w:t>
            </w:r>
          </w:p>
        </w:tc>
        <w:tc>
          <w:tcPr>
            <w:tcW w:type="dxa" w:w="8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Texto</w:t>
            </w:r>
          </w:p>
        </w:tc>
        <w:tc>
          <w:tcPr>
            <w:tcW w:type="dxa" w:w="9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máx 100</w:t>
            </w:r>
          </w:p>
        </w:tc>
        <w:tc>
          <w:tcPr>
            <w:tcW w:type="dxa" w:w="129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</w:t>
            </w:r>
          </w:p>
        </w:tc>
        <w:tc>
          <w:tcPr>
            <w:tcW w:type="dxa" w:w="1181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E-mail padrão</w:t>
            </w:r>
          </w:p>
        </w:tc>
        <w:tc>
          <w:tcPr>
            <w:tcW w:type="dxa" w:w="1670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Padrão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usuario@dominio.com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, coerente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integrante</w:t>
            </w:r>
          </w:p>
        </w:tc>
        <w:tc>
          <w:tcPr>
            <w:tcW w:type="dxa" w:w="1373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paulo.eduardo@grupo2.com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Caracteres especiais proibidos</w:t>
      </w:r>
      <w:r>
        <w:rPr>
          <w:rFonts w:ascii="Calibri" w:cs="Calibri" w:eastAsia="Calibri" w:hAnsi="Calibri"/>
          <w:sz w:val="22"/>
          <w:szCs w:val="22"/>
        </w:rPr>
        <w:t xml:space="preserve"> em campos de texto que não venham entre aspas: o delimitador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;</w:t>
      </w:r>
      <w:r>
        <w:rPr>
          <w:rFonts w:ascii="Calibri" w:cs="Calibri" w:eastAsia="Calibri" w:hAnsi="Calibri"/>
          <w:sz w:val="22"/>
          <w:szCs w:val="22"/>
        </w:rPr>
        <w:t xml:space="preserve">), o caractere de aspas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"</w:t>
      </w:r>
      <w:r>
        <w:rPr>
          <w:rFonts w:ascii="Calibri" w:cs="Calibri" w:eastAsia="Calibri" w:hAnsi="Calibri"/>
          <w:sz w:val="22"/>
          <w:szCs w:val="22"/>
        </w:rPr>
        <w:t xml:space="preserve">), quebras de linha e caracteres de controle.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</w:t>
      </w:r>
      <w:r>
        <w:rPr>
          <w:rFonts w:ascii="Consolas" w:cs="Consolas" w:eastAsia="Consolas" w:hAnsi="Consolas"/>
          <w:b/>
          <w:bCs/>
          <w:color w:val="7A3E00"/>
          <w:sz w:val="20"/>
          <w:szCs w:val="20"/>
        </w:rPr>
        <w:t xml:space="preserve">valor_total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é maior que </w:t>
      </w:r>
      <w:r>
        <w:rPr>
          <w:rFonts w:ascii="Consolas" w:cs="Consolas" w:eastAsia="Consolas" w:hAnsi="Consolas"/>
          <w:b/>
          <w:bCs/>
          <w:color w:val="7A3E00"/>
          <w:sz w:val="20"/>
          <w:szCs w:val="20"/>
        </w:rPr>
        <w:t xml:space="preserve">valor_unitario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</w:t>
      </w:r>
      <w:r>
        <w:rPr>
          <w:rFonts w:ascii="Calibri" w:cs="Calibri" w:eastAsia="Calibri" w:hAnsi="Calibri"/>
          <w:sz w:val="22"/>
          <w:szCs w:val="22"/>
        </w:rPr>
        <w:t xml:space="preserve"> O total é o produto da quantidade (até 999 por contrato, até 10 na geração) pelo valor unitário (até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9999.99</w:t>
      </w:r>
      <w:r>
        <w:rPr>
          <w:rFonts w:ascii="Calibri" w:cs="Calibri" w:eastAsia="Calibri" w:hAnsi="Calibri"/>
          <w:sz w:val="22"/>
          <w:szCs w:val="22"/>
        </w:rPr>
        <w:t xml:space="preserve">), então declarar os dois com o mesmo tamanho deixaria o próprio arquivo válido fora do contrato — um item de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4499.90</w:t>
      </w:r>
      <w:r>
        <w:rPr>
          <w:rFonts w:ascii="Calibri" w:cs="Calibri" w:eastAsia="Calibri" w:hAnsi="Calibri"/>
          <w:sz w:val="22"/>
          <w:szCs w:val="22"/>
        </w:rPr>
        <w:t xml:space="preserve"> vendido 10 vezes já dá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44999.00</w:t>
      </w:r>
      <w:r>
        <w:rPr>
          <w:rFonts w:ascii="Calibri" w:cs="Calibri" w:eastAsia="Calibri" w:hAnsi="Calibri"/>
          <w:sz w:val="22"/>
          <w:szCs w:val="22"/>
        </w:rPr>
        <w:t xml:space="preserve">. O consumidor deve dimensionar o campo para 8 dígitos com 2 casas.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Exemplo de arquivo: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2F2F2" w:val="clear"/>
        <w:spacing w:after="160" w:before="12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id_venda;id_cliente;id_produto;quantidade;valor_unitario;valor_total;data_venda;forma_pagamento;status;integrante;email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1;116;314;10;899.90;8999.00;26/08/2026;PIX;CONCLUIDA;Joao Pedro Azevedo;joao.pedro@grupo2.com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2;103;302;2;89.90;179.80;14/01/2026;BOLETO;CANCELADA;Hyago Fernandes;hyago.fernandes@grupo2.com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4. Controle de remessa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Cada CSV é entregue acompanhado de um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arquivo de controle</w:t>
      </w:r>
      <w:r>
        <w:rPr>
          <w:rFonts w:ascii="Calibri" w:cs="Calibri" w:eastAsia="Calibri" w:hAnsi="Calibri"/>
          <w:sz w:val="22"/>
          <w:szCs w:val="22"/>
        </w:rPr>
        <w:t xml:space="preserve"> com o mesmo nome e extensão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.ctl</w:t>
      </w:r>
      <w:r>
        <w:rPr>
          <w:rFonts w:ascii="Calibri" w:cs="Calibri" w:eastAsia="Calibri" w:hAnsi="Calibri"/>
          <w:sz w:val="22"/>
          <w:szCs w:val="22"/>
        </w:rPr>
        <w:t xml:space="preserve"> (ex.: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vendas-001.csv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vendas-001.ctl</w:t>
      </w:r>
      <w:r>
        <w:rPr>
          <w:rFonts w:ascii="Calibri" w:cs="Calibri" w:eastAsia="Calibri" w:hAnsi="Calibri"/>
          <w:sz w:val="22"/>
          <w:szCs w:val="22"/>
        </w:rPr>
        <w:t xml:space="preserve">). 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.ctl</w:t>
      </w:r>
      <w:r>
        <w:rPr>
          <w:rFonts w:ascii="Calibri" w:cs="Calibri" w:eastAsia="Calibri" w:hAnsi="Calibri"/>
          <w:sz w:val="22"/>
          <w:szCs w:val="22"/>
        </w:rPr>
        <w:t xml:space="preserve"> segue a mesma estrutura do CSV (cabeçalho,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;</w:t>
      </w:r>
      <w:r>
        <w:rPr>
          <w:rFonts w:ascii="Calibri" w:cs="Calibri" w:eastAsia="Calibri" w:hAnsi="Calibri"/>
          <w:sz w:val="22"/>
          <w:szCs w:val="22"/>
        </w:rPr>
        <w:t xml:space="preserve">, UTF-8, LF) e tem uma única linha de dados: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16"/>
        <w:gridCol w:w="950"/>
        <w:gridCol w:w="950"/>
        <w:gridCol w:w="2058"/>
        <w:gridCol w:w="2375"/>
        <w:gridCol w:w="2377"/>
      </w:tblGrid>
      <w:tr>
        <w:trPr>
          <w:tblHeader/>
        </w:trPr>
        <w:tc>
          <w:tcPr>
            <w:tcW w:type="dxa" w:w="31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058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2375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 de validação</w:t>
            </w:r>
          </w:p>
        </w:tc>
        <w:tc>
          <w:tcPr>
            <w:tcW w:type="dxa" w:w="2377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W w:type="dxa" w:w="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arquivo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20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do CSV</w:t>
            </w:r>
          </w:p>
        </w:tc>
        <w:tc>
          <w:tcPr>
            <w:tcW w:type="dxa" w:w="23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Igual ao nome do CSV recebido</w:t>
            </w:r>
          </w:p>
        </w:tc>
        <w:tc>
          <w:tcPr>
            <w:tcW w:type="dxa" w:w="23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vendas-001.csv</w:t>
            </w:r>
          </w:p>
        </w:tc>
      </w:tr>
      <w:tr>
        <w:trPr>
          <w:tblHeader w:val="false"/>
        </w:trPr>
        <w:tc>
          <w:tcPr>
            <w:tcW w:type="dxa" w:w="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sequencia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Inteiro</w:t>
            </w:r>
          </w:p>
        </w:tc>
        <w:tc>
          <w:tcPr>
            <w:tcW w:type="dxa" w:w="20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  <w:tc>
          <w:tcPr>
            <w:tcW w:type="dxa" w:w="23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Igual ao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NNN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do nome; crescente, sem lacunas</w:t>
            </w:r>
          </w:p>
        </w:tc>
        <w:tc>
          <w:tcPr>
            <w:tcW w:type="dxa" w:w="23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tipo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20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 fechada</w:t>
            </w:r>
          </w:p>
        </w:tc>
        <w:tc>
          <w:tcPr>
            <w:tcW w:type="dxa" w:w="23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NORMAL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SUBSTITUICAO</w:t>
            </w:r>
          </w:p>
        </w:tc>
        <w:tc>
          <w:tcPr>
            <w:tcW w:type="dxa" w:w="23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NORMAL</w:t>
            </w:r>
          </w:p>
        </w:tc>
      </w:tr>
      <w:tr>
        <w:trPr>
          <w:tblHeader w:val="false"/>
        </w:trPr>
        <w:tc>
          <w:tcPr>
            <w:tcW w:type="dxa" w:w="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remessa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20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3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único do envio</w:t>
            </w:r>
          </w:p>
        </w:tc>
        <w:tc>
          <w:tcPr>
            <w:tcW w:type="dxa" w:w="23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745e9abd-3eb5-4c97-a450-5736f69f554f</w:t>
            </w:r>
          </w:p>
        </w:tc>
      </w:tr>
      <w:tr>
        <w:trPr>
          <w:tblHeader w:val="false"/>
        </w:trPr>
        <w:tc>
          <w:tcPr>
            <w:tcW w:type="dxa" w:w="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data_hora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Data/hora</w:t>
            </w:r>
          </w:p>
        </w:tc>
        <w:tc>
          <w:tcPr>
            <w:tcW w:type="dxa" w:w="20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AAAA-MM-DD HH:MM:SS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(UTC)</w:t>
            </w:r>
          </w:p>
        </w:tc>
        <w:tc>
          <w:tcPr>
            <w:tcW w:type="dxa" w:w="23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e hora da geração</w:t>
            </w:r>
          </w:p>
        </w:tc>
        <w:tc>
          <w:tcPr>
            <w:tcW w:type="dxa" w:w="23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2026-09-17 22:26:35</w:t>
            </w:r>
          </w:p>
        </w:tc>
      </w:tr>
      <w:tr>
        <w:trPr>
          <w:tblHeader w:val="false"/>
        </w:trPr>
        <w:tc>
          <w:tcPr>
            <w:tcW w:type="dxa" w:w="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registros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Inteiro</w:t>
            </w:r>
          </w:p>
        </w:tc>
        <w:tc>
          <w:tcPr>
            <w:tcW w:type="dxa" w:w="20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  <w:tc>
          <w:tcPr>
            <w:tcW w:type="dxa" w:w="23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Quantidade de linhas de dados do CSV (sem cabeçalho e sem linhas em branco)</w:t>
            </w:r>
          </w:p>
        </w:tc>
        <w:tc>
          <w:tcPr>
            <w:tcW w:type="dxa" w:w="23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220</w:t>
            </w:r>
          </w:p>
        </w:tc>
      </w:tr>
      <w:tr>
        <w:trPr>
          <w:tblHeader w:val="false"/>
        </w:trPr>
        <w:tc>
          <w:tcPr>
            <w:tcW w:type="dxa" w:w="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sha256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20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 caracteres hexadecimais</w:t>
            </w:r>
          </w:p>
        </w:tc>
        <w:tc>
          <w:tcPr>
            <w:tcW w:type="dxa" w:w="23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SHA-256 dos bytes do CSV</w:t>
            </w:r>
          </w:p>
        </w:tc>
        <w:tc>
          <w:tcPr>
            <w:tcW w:type="dxa" w:w="23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9e05d367…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Exemplo: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2F2F2" w:val="clear"/>
        <w:spacing w:after="160" w:before="12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arquivo;sequencia;tipo;remessa;data_hora;registros;sha256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vendas-001.csv;1;NORMAL;745e9abd-3eb5-4c97-a450-5736f69f554f;2026-09-17 22:26:35;220;9e05d367941d80f3100f6a7d7a4c925e3e9003dda4696fd5e5e44a11fc98bb18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Conferência pelo consumidor (controle de recebimento):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onsolas" w:cs="Consolas" w:eastAsia="Consolas" w:hAnsi="Consolas"/>
          <w:color w:val="7A3E00"/>
          <w:sz w:val="20"/>
          <w:szCs w:val="20"/>
        </w:rPr>
        <w:t xml:space="preserve">sequencia</w:t>
      </w:r>
      <w:r>
        <w:rPr>
          <w:rFonts w:ascii="Calibri" w:cs="Calibri" w:eastAsia="Calibri" w:hAnsi="Calibri"/>
          <w:sz w:val="22"/>
          <w:szCs w:val="22"/>
        </w:rPr>
        <w:t xml:space="preserve"> fora de ordem ou com lacuna → registrar no controle de recebimento e informar o produtor;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onsolas" w:cs="Consolas" w:eastAsia="Consolas" w:hAnsi="Consolas"/>
          <w:color w:val="7A3E00"/>
          <w:sz w:val="20"/>
          <w:szCs w:val="20"/>
        </w:rPr>
        <w:t xml:space="preserve">sha256</w:t>
      </w:r>
      <w:r>
        <w:rPr>
          <w:rFonts w:ascii="Calibri" w:cs="Calibri" w:eastAsia="Calibri" w:hAnsi="Calibri"/>
          <w:sz w:val="22"/>
          <w:szCs w:val="22"/>
        </w:rPr>
        <w:t xml:space="preserve"> diferente do calculado sobre o CSV recebido → o arquivo foi alterado ou truncado no caminho: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rejeitar o arquivo inteiro</w:t>
      </w:r>
      <w:r>
        <w:rPr>
          <w:rFonts w:ascii="Calibri" w:cs="Calibri" w:eastAsia="Calibri" w:hAnsi="Calibri"/>
          <w:sz w:val="22"/>
          <w:szCs w:val="22"/>
        </w:rPr>
        <w:t xml:space="preserve"> e pedir reenvio;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CSV sem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.ctl</w:t>
      </w:r>
      <w:r>
        <w:rPr>
          <w:rFonts w:ascii="Calibri" w:cs="Calibri" w:eastAsia="Calibri" w:hAnsi="Calibri"/>
          <w:sz w:val="22"/>
          <w:szCs w:val="22"/>
        </w:rPr>
        <w:t xml:space="preserve"> correspondente → registrar a ausência do controle.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 produtor também mantém o histórico dos envios em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logs/produtor/remessa.log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2F2F2" w:val="clear"/>
        <w:spacing w:after="160" w:before="12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[AAAA-MM-DD HH:MM:SS] arquivo=vendas-001.csv registros=220 remessa=&lt;UUID&gt; sequencia=1 sha256=&lt;hash&gt;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5. Rejeição do arquivo inteiro e arquivo substituto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 consumidor deve rejeitar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arquivo inteiro</w:t>
      </w:r>
      <w:r>
        <w:rPr>
          <w:rFonts w:ascii="Calibri" w:cs="Calibri" w:eastAsia="Calibri" w:hAnsi="Calibri"/>
          <w:sz w:val="22"/>
          <w:szCs w:val="22"/>
        </w:rPr>
        <w:t xml:space="preserve">, em vez de linhas isoladas, quando o defeito impede interpretar qualquer registro com segurança: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delimitador diferente de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;</w:t>
      </w:r>
      <w:r>
        <w:rPr>
          <w:rFonts w:ascii="Calibri" w:cs="Calibri" w:eastAsia="Calibri" w:hAnsi="Calibri"/>
          <w:sz w:val="22"/>
          <w:szCs w:val="22"/>
        </w:rPr>
        <w:t xml:space="preserve"> — nenhum campo pode ser separado;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cabeçalho ausente, com colunas desconhecidas ou fora da ordem — não há como saber qual valor pertence a qual campo;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arquivo vazio ou sem registros;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codificação ilegível ou falha de leitura do arquivo como um todo;</w:t>
      </w:r>
    </w:p>
    <w:p>
      <w:pPr>
        <w:pStyle w:val="ListParagraph"/>
        <w:numPr>
          <w:ilvl w:val="0"/>
          <w:numId w:val="1"/>
        </w:numPr>
        <w:spacing w:after="80" w:line="276"/>
        <w:ind w:left="360" w:hanging="240"/>
      </w:pPr>
      <w:r>
        <w:rPr>
          <w:rFonts w:ascii="Consolas" w:cs="Consolas" w:eastAsia="Consolas" w:hAnsi="Consolas"/>
          <w:color w:val="7A3E00"/>
          <w:sz w:val="20"/>
          <w:szCs w:val="20"/>
        </w:rPr>
        <w:t xml:space="preserve">sha256</w:t>
      </w:r>
      <w:r>
        <w:rPr>
          <w:rFonts w:ascii="Calibri" w:cs="Calibri" w:eastAsia="Calibri" w:hAnsi="Calibri"/>
          <w:sz w:val="22"/>
          <w:szCs w:val="22"/>
        </w:rPr>
        <w:t xml:space="preserve"> do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.ctl</w:t>
      </w:r>
      <w:r>
        <w:rPr>
          <w:rFonts w:ascii="Calibri" w:cs="Calibri" w:eastAsia="Calibri" w:hAnsi="Calibri"/>
          <w:sz w:val="22"/>
          <w:szCs w:val="22"/>
        </w:rPr>
        <w:t xml:space="preserve"> não confere com o CSV recebido.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Os demais problemas (campo inválido, valor fora do formato, duplicidade, linha em branco etc.) afetam só o registro: a linha vai para o arquivo de rejeitados e o restante do lote é processado.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Quando uma remessa é rejeitada por inteiro, o produtor envia um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arquivo de substituição</w:t>
      </w:r>
      <w:r>
        <w:rPr>
          <w:rFonts w:ascii="Calibri" w:cs="Calibri" w:eastAsia="Calibri" w:hAnsi="Calibri"/>
          <w:sz w:val="22"/>
          <w:szCs w:val="22"/>
        </w:rPr>
        <w:t xml:space="preserve"> com a mesma sequência: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vendas-NNN-substituto.csv</w:t>
      </w:r>
      <w:r>
        <w:rPr>
          <w:rFonts w:ascii="Calibri" w:cs="Calibri" w:eastAsia="Calibri" w:hAnsi="Calibri"/>
          <w:sz w:val="22"/>
          <w:szCs w:val="22"/>
        </w:rPr>
        <w:t xml:space="preserve">, corrigido e acompanhado de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vendas-NNN-substituto.ctl</w:t>
      </w:r>
      <w:r>
        <w:rPr>
          <w:rFonts w:ascii="Calibri" w:cs="Calibri" w:eastAsia="Calibri" w:hAnsi="Calibri"/>
          <w:sz w:val="22"/>
          <w:szCs w:val="22"/>
        </w:rPr>
        <w:t xml:space="preserve"> com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tipo=SUBSTITUICAO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before="480"/>
        <w:jc w:val="center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Grupo 2 — Sistema de Vendas · Paulo Eduardo · Joao Pedro Azevedo · Hyago Fernandes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Integracao CSV - Sistema de Vendas</dc:title>
  <dc:creator>Grupo 2 - Sistema de Vendas</dc:creator>
  <dc:description>Entrega do trabalho pratico de Integracao de Aplicacoes por Arquivos CSV</dc:description>
  <cp:lastModifiedBy>Un-named</cp:lastModifiedBy>
  <cp:revision>1</cp:revision>
  <dcterms:created xsi:type="dcterms:W3CDTF">2026-09-18T00:05:35.362Z</dcterms:created>
  <dcterms:modified xsi:type="dcterms:W3CDTF">2026-09-18T00:05:35.362Z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