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F4E5F"/>
          <w:sz w:val="40"/>
          <w:szCs w:val="40"/>
        </w:rPr>
        <w:t xml:space="preserve">Inconsistências Inseridas — Sistema de Vendas (Grupo 2)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Documento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destinado ao professor</w:t>
      </w:r>
      <w:r>
        <w:rPr>
          <w:rFonts w:ascii="Calibri" w:cs="Calibri" w:eastAsia="Calibri" w:hAnsi="Calibri"/>
          <w:sz w:val="22"/>
          <w:szCs w:val="22"/>
        </w:rPr>
        <w:t xml:space="preserve">. Não deve ser disponibilizado ao grupo consumidor antes da execução da integração (item 15.7).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As remessas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vendas-001.csv</w:t>
      </w:r>
      <w:r>
        <w:rPr>
          <w:rFonts w:ascii="Calibri" w:cs="Calibri" w:eastAsia="Calibri" w:hAnsi="Calibri"/>
          <w:sz w:val="22"/>
          <w:szCs w:val="22"/>
        </w:rPr>
        <w:t xml:space="preserve"> e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vendas-002.csv</w:t>
      </w:r>
      <w:r>
        <w:rPr>
          <w:rFonts w:ascii="Calibri" w:cs="Calibri" w:eastAsia="Calibri" w:hAnsi="Calibri"/>
          <w:sz w:val="22"/>
          <w:szCs w:val="22"/>
        </w:rPr>
        <w:t xml:space="preserve"> são válidas, 100% conformes ao contrato. As inconsistências foram inseridas entre registros válidos nas remessas 3, 4 e 5. A numeração de linha é a do arquivo (o cabeçalho é a linha 1).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Remessa 3 — vendas-003.csv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61"/>
        <w:gridCol w:w="3982"/>
        <w:gridCol w:w="3983"/>
      </w:tblGrid>
      <w:tr>
        <w:trPr>
          <w:tblHeader/>
        </w:trPr>
        <w:tc>
          <w:tcPr>
            <w:tcW w:type="dxa" w:w="106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Linha</w:t>
            </w:r>
          </w:p>
        </w:tc>
        <w:tc>
          <w:tcPr>
            <w:tcW w:type="dxa" w:w="3982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Problema</w:t>
            </w:r>
          </w:p>
        </w:tc>
        <w:tc>
          <w:tcPr>
            <w:tcW w:type="dxa" w:w="3983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 que foi inserido</w:t>
            </w:r>
          </w:p>
        </w:tc>
      </w:tr>
      <w:tr>
        <w:trPr>
          <w:tblHeader w:val="false"/>
        </w:trPr>
        <w:tc>
          <w:tcPr>
            <w:tcW w:type="dxa" w:w="10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9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10.11 Valor numérico em formato diferente</w:t>
            </w:r>
          </w:p>
        </w:tc>
        <w:tc>
          <w:tcPr>
            <w:tcW w:type="dxa" w:w="39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valor_unitario=1250,50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(vírgula em vez de ponto)</w:t>
            </w:r>
          </w:p>
        </w:tc>
      </w:tr>
      <w:tr>
        <w:trPr>
          <w:tblHeader w:val="false"/>
        </w:trPr>
        <w:tc>
          <w:tcPr>
            <w:tcW w:type="dxa" w:w="10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41</w:t>
            </w:r>
          </w:p>
        </w:tc>
        <w:tc>
          <w:tcPr>
            <w:tcW w:type="dxa" w:w="39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10.16 Espaços indevidos</w:t>
            </w:r>
          </w:p>
        </w:tc>
        <w:tc>
          <w:tcPr>
            <w:tcW w:type="dxa" w:w="39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Espaços em volta do delimitador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" ; "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10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65</w:t>
            </w:r>
          </w:p>
        </w:tc>
        <w:tc>
          <w:tcPr>
            <w:tcW w:type="dxa" w:w="39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10.13 Registro duplicado</w:t>
            </w:r>
          </w:p>
        </w:tc>
        <w:tc>
          <w:tcPr>
            <w:tcW w:type="dxa" w:w="39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id_venda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repetido (mesma chave da linha 2)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Remessa 4 — vendas-004.csv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61"/>
        <w:gridCol w:w="3982"/>
        <w:gridCol w:w="3983"/>
      </w:tblGrid>
      <w:tr>
        <w:trPr>
          <w:tblHeader/>
        </w:trPr>
        <w:tc>
          <w:tcPr>
            <w:tcW w:type="dxa" w:w="106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Linha</w:t>
            </w:r>
          </w:p>
        </w:tc>
        <w:tc>
          <w:tcPr>
            <w:tcW w:type="dxa" w:w="3982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Problema</w:t>
            </w:r>
          </w:p>
        </w:tc>
        <w:tc>
          <w:tcPr>
            <w:tcW w:type="dxa" w:w="3983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 que foi inserido</w:t>
            </w:r>
          </w:p>
        </w:tc>
      </w:tr>
      <w:tr>
        <w:trPr>
          <w:tblHeader w:val="false"/>
        </w:trPr>
        <w:tc>
          <w:tcPr>
            <w:tcW w:type="dxa" w:w="10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39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10.14 Tipo de dado inválido</w:t>
            </w:r>
          </w:p>
        </w:tc>
        <w:tc>
          <w:tcPr>
            <w:tcW w:type="dxa" w:w="39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data_venda=ABC</w:t>
            </w:r>
          </w:p>
        </w:tc>
      </w:tr>
      <w:tr>
        <w:trPr>
          <w:tblHeader w:val="false"/>
        </w:trPr>
        <w:tc>
          <w:tcPr>
            <w:tcW w:type="dxa" w:w="10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78</w:t>
            </w:r>
          </w:p>
        </w:tc>
        <w:tc>
          <w:tcPr>
            <w:tcW w:type="dxa" w:w="39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10.17 Linha em branco</w:t>
            </w:r>
          </w:p>
        </w:tc>
        <w:tc>
          <w:tcPr>
            <w:tcW w:type="dxa" w:w="39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Linha em branco entre registros</w:t>
            </w:r>
          </w:p>
        </w:tc>
      </w:tr>
      <w:tr>
        <w:trPr>
          <w:tblHeader w:val="false"/>
        </w:trPr>
        <w:tc>
          <w:tcPr>
            <w:tcW w:type="dxa" w:w="10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92</w:t>
            </w:r>
          </w:p>
        </w:tc>
        <w:tc>
          <w:tcPr>
            <w:tcW w:type="dxa" w:w="39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10.20 Valor nulo / representação inesperada</w:t>
            </w:r>
          </w:p>
        </w:tc>
        <w:tc>
          <w:tcPr>
            <w:tcW w:type="dxa" w:w="39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forma_pagamento=NULL</w:t>
            </w:r>
          </w:p>
        </w:tc>
      </w:tr>
      <w:tr>
        <w:trPr>
          <w:tblHeader w:val="false"/>
        </w:trPr>
        <w:tc>
          <w:tcPr>
            <w:tcW w:type="dxa" w:w="10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103</w:t>
            </w:r>
          </w:p>
        </w:tc>
        <w:tc>
          <w:tcPr>
            <w:tcW w:type="dxa" w:w="39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10.18 Codificação de caracteres</w:t>
            </w:r>
          </w:p>
        </w:tc>
        <w:tc>
          <w:tcPr>
            <w:tcW w:type="dxa" w:w="39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integrante=JoÃ£o Pedro Azevedo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(mojibake)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Remessa 5 — vendas-005.csv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61"/>
        <w:gridCol w:w="3982"/>
        <w:gridCol w:w="3983"/>
      </w:tblGrid>
      <w:tr>
        <w:trPr>
          <w:tblHeader/>
        </w:trPr>
        <w:tc>
          <w:tcPr>
            <w:tcW w:type="dxa" w:w="106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Linha</w:t>
            </w:r>
          </w:p>
        </w:tc>
        <w:tc>
          <w:tcPr>
            <w:tcW w:type="dxa" w:w="3982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Problema</w:t>
            </w:r>
          </w:p>
        </w:tc>
        <w:tc>
          <w:tcPr>
            <w:tcW w:type="dxa" w:w="3983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 que foi inserido</w:t>
            </w:r>
          </w:p>
        </w:tc>
      </w:tr>
      <w:tr>
        <w:trPr>
          <w:tblHeader w:val="false"/>
        </w:trPr>
        <w:tc>
          <w:tcPr>
            <w:tcW w:type="dxa" w:w="10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39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10.12 Valor monetário formatado</w:t>
            </w:r>
          </w:p>
        </w:tc>
        <w:tc>
          <w:tcPr>
            <w:tcW w:type="dxa" w:w="39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valor_total=R$ 1.250,50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(contrato espera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1250.50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10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47</w:t>
            </w:r>
          </w:p>
        </w:tc>
        <w:tc>
          <w:tcPr>
            <w:tcW w:type="dxa" w:w="39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10.15 E-mail inválido</w:t>
            </w:r>
          </w:p>
        </w:tc>
        <w:tc>
          <w:tcPr>
            <w:tcW w:type="dxa" w:w="39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email=joao@</w:t>
            </w:r>
          </w:p>
        </w:tc>
      </w:tr>
      <w:tr>
        <w:trPr>
          <w:tblHeader w:val="false"/>
        </w:trPr>
        <w:tc>
          <w:tcPr>
            <w:tcW w:type="dxa" w:w="10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121</w:t>
            </w:r>
          </w:p>
        </w:tc>
        <w:tc>
          <w:tcPr>
            <w:tcW w:type="dxa" w:w="39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10.19 Valor booleano diferente do contrato</w:t>
            </w:r>
          </w:p>
        </w:tc>
        <w:tc>
          <w:tcPr>
            <w:tcW w:type="dxa" w:w="39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status=SIM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(contrato espera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CONCLUIDA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CANCELADA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)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Remessa fora de sequência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10.21</w:t>
      </w:r>
      <w:r>
        <w:rPr>
          <w:rFonts w:ascii="Calibri" w:cs="Calibri" w:eastAsia="Calibri" w:hAnsi="Calibri"/>
          <w:sz w:val="22"/>
          <w:szCs w:val="22"/>
        </w:rPr>
        <w:t xml:space="preserve"> — reproduzida enviando a remessa 5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antes</w:t>
      </w:r>
      <w:r>
        <w:rPr>
          <w:rFonts w:ascii="Calibri" w:cs="Calibri" w:eastAsia="Calibri" w:hAnsi="Calibri"/>
          <w:sz w:val="22"/>
          <w:szCs w:val="22"/>
        </w:rPr>
        <w:t xml:space="preserve"> da 4. O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.ctl</w:t>
      </w:r>
      <w:r>
        <w:rPr>
          <w:rFonts w:ascii="Calibri" w:cs="Calibri" w:eastAsia="Calibri" w:hAnsi="Calibri"/>
          <w:sz w:val="22"/>
          <w:szCs w:val="22"/>
        </w:rPr>
        <w:t xml:space="preserve"> de cada arquivo traz a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sequencia</w:t>
      </w:r>
      <w:r>
        <w:rPr>
          <w:rFonts w:ascii="Calibri" w:cs="Calibri" w:eastAsia="Calibri" w:hAnsi="Calibri"/>
          <w:sz w:val="22"/>
          <w:szCs w:val="22"/>
        </w:rPr>
        <w:t xml:space="preserve">, então o consumidor consegue detectar a inversão.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Arquivo de substituição</w:t>
      </w:r>
    </w:p>
    <w:p>
      <w:pPr>
        <w:spacing w:after="140" w:line="276"/>
      </w:pPr>
      <w:r>
        <w:rPr>
          <w:rFonts w:ascii="Consolas" w:cs="Consolas" w:eastAsia="Consolas" w:hAnsi="Consolas"/>
          <w:color w:val="7A3E00"/>
          <w:sz w:val="20"/>
          <w:szCs w:val="20"/>
        </w:rPr>
        <w:t xml:space="preserve">vendas-005-substituto.csv</w:t>
      </w:r>
      <w:r>
        <w:rPr>
          <w:rFonts w:ascii="Calibri" w:cs="Calibri" w:eastAsia="Calibri" w:hAnsi="Calibri"/>
          <w:sz w:val="22"/>
          <w:szCs w:val="22"/>
        </w:rPr>
        <w:t xml:space="preserve"> (com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vendas-005-substituto.ctl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tipo=SUBSTITUICAO</w:t>
      </w:r>
      <w:r>
        <w:rPr>
          <w:rFonts w:ascii="Calibri" w:cs="Calibri" w:eastAsia="Calibri" w:hAnsi="Calibri"/>
          <w:sz w:val="22"/>
          <w:szCs w:val="22"/>
        </w:rPr>
        <w:t xml:space="preserve">) é a versão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corrigida</w:t>
      </w:r>
      <w:r>
        <w:rPr>
          <w:rFonts w:ascii="Calibri" w:cs="Calibri" w:eastAsia="Calibri" w:hAnsi="Calibri"/>
          <w:sz w:val="22"/>
          <w:szCs w:val="22"/>
        </w:rPr>
        <w:t xml:space="preserve"> da remessa 5, sem nenhuma inconsistência. Ele é enviado se o consumidor rejeitar a remessa original por inteiro.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O registro gerado automaticamente a cada execução, com data/hora e UUID da remessa, fica em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logs/produtor/inconsistencias.log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before="480"/>
        <w:jc w:val="center"/>
      </w:pPr>
      <w:r>
        <w:rPr>
          <w:rFonts w:ascii="Calibri" w:cs="Calibri" w:eastAsia="Calibri" w:hAnsi="Calibri"/>
          <w:color w:val="808080"/>
          <w:sz w:val="16"/>
          <w:szCs w:val="16"/>
        </w:rPr>
        <w:t xml:space="preserve">Grupo 2 — Sistema de Vendas · Paulo Eduardo · Joao Pedro Azevedo · Hyago Fernandes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
</file>

<file path=docProps/custom.xml><?xml version="1.0" encoding="utf-8"?>
<Properties xmlns="http://schemas.openxmlformats.org/officeDocument/2006/custom-properties" xmlns:vt="http://schemas.openxmlformats.org/officeDocument/2006/docPropsVTypes"/>
</file>