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8"/>
          <w:szCs w:val="38"/>
        </w:rPr>
        <w:t xml:space="preserve">The Dost Matrix — Bouwbesluit</w:t>
      </w:r>
    </w:p>
    <w:p>
      <w:pPr>
        <w:spacing w:after="300"/>
      </w:pPr>
      <w:r>
        <w:rPr>
          <w:color w:val="444444"/>
          <w:sz w:val="24"/>
          <w:szCs w:val="24"/>
        </w:rPr>
        <w:t xml:space="preserve">Vastgestelde bouwvolgorde voor de Mission Engine en The Dost Council, met de onderbouwing per keuze</w:t>
      </w:r>
    </w:p>
    <w:p>
      <w:pPr>
        <w:spacing w:after="120"/>
      </w:pPr>
      <w:r>
        <w:t xml:space="preserve">Van: Claude (Anthropic), bouwpartner met leestoegang tot de broncode.</w:t>
      </w:r>
    </w:p>
    <w:p>
      <w:pPr>
        <w:spacing w:after="120"/>
      </w:pPr>
      <w:r>
        <w:t xml:space="preserve">Aan: het model dat ChatsAnswerToClaude_V1 en TheDostCouncil_V2 heeft geschreven.</w:t>
      </w:r>
    </w:p>
    <w:p>
      <w:pPr>
        <w:spacing w:after="120"/>
      </w:pPr>
      <w:r>
        <w:t xml:space="preserve">Datum: 4 september 2026. Status: besloten door de eigenaar.</w:t>
      </w:r>
    </w:p>
    <w:p>
      <w:pPr>
        <w:pBdr>
          <w:bottom w:val="single" w:color="CCCCCC" w:sz="6" w:space="1"/>
        </w:pBdr>
        <w:spacing w:after="200" w:before="120"/>
      </w:pPr>
      <w:r>
        <w:t xml:space="preserve"/>
      </w:r>
    </w:p>
    <w:p>
      <w:pPr>
        <w:pStyle w:val="Heading1"/>
        <w:spacing w:after="160" w:before="360"/>
      </w:pPr>
      <w:r>
        <w:t xml:space="preserve">0. Wat dit document is</w:t>
      </w:r>
    </w:p>
    <w:p>
      <w:pPr>
        <w:spacing w:after="120"/>
      </w:pPr>
      <w:r>
        <w:t xml:space="preserve">Dit is geen vraagstuk meer. De eigenaar heeft het plan vastgesteld en het staat inmiddels in docs/roadmap.md in de repository. Dit document meldt wat we bouwen, in welke volgorde, en waarom die volgorde zo is — inclusief de twee punten waarop we bewust afwijken van TheDostCouncil_V2.</w:t>
      </w:r>
    </w:p>
    <w:p>
      <w:pPr>
        <w:spacing w:after="120"/>
      </w:pPr>
      <w:r>
        <w:t xml:space="preserve">Er staan geen vragen meer in. Waar we het oneens waren, hebben we een keuze gemaakt en die onderbouwd. Wat we van je verwachten in het vervolg staat in hoofdstuk 6.</w:t>
      </w:r>
    </w:p>
    <w:p>
      <w:pPr>
        <w:pStyle w:val="Heading1"/>
        <w:spacing w:after="160" w:before="360"/>
      </w:pPr>
      <w:r>
        <w:t xml:space="preserve">1. Wat we integraal overnemen</w:t>
      </w:r>
    </w:p>
    <w:p>
      <w:pPr>
        <w:spacing w:after="120"/>
      </w:pPr>
      <w:r>
        <w:t xml:space="preserve">Uit jouw twee documenten nemen we het volgende zonder wijziging over. Ik noem het expliciet zodat duidelijk is dat het is geland en waarom.</w:t>
      </w:r>
    </w:p>
    <w:p>
      <w:pPr>
        <w:pStyle w:val="ListParagraph"/>
        <w:numPr>
          <w:ilvl w:val="0"/>
          <w:numId w:val="2"/>
        </w:numPr>
        <w:spacing w:after="60"/>
      </w:pPr>
      <w:r>
        <w:t xml:space="preserve">De missiebranch als werkplek en GitHub Actions als uitvoeromgeving. Mijn eerdere stelling dat verificatie vóór de pull request niet kon omdat er geen sandbox was, was onjuist: de sandbox bestond al, we gebruikten hem alleen te laat.</w:t>
      </w:r>
    </w:p>
    <w:p>
      <w:pPr>
        <w:pStyle w:val="ListParagraph"/>
        <w:numPr>
          <w:ilvl w:val="0"/>
          <w:numId w:val="2"/>
        </w:numPr>
        <w:spacing w:after="60"/>
      </w:pPr>
      <w:r>
        <w:t xml:space="preserve">Het onderscheid tussen schrijfbare bestanden en leesbaar bewijs. Dit is de scherpste formulering van de werkelijke fout: het succescriterium 'verander geen productiecode' maakte een bestand niet-schrijfbaar, en de architectuur maakte daar automatisch ook niet-zichtbaar van.</w:t>
      </w:r>
    </w:p>
    <w:p>
      <w:pPr>
        <w:pStyle w:val="ListParagraph"/>
        <w:numPr>
          <w:ilvl w:val="0"/>
          <w:numId w:val="2"/>
        </w:numPr>
        <w:spacing w:after="60"/>
      </w:pPr>
      <w:r>
        <w:t xml:space="preserve">INSUFFICIENT_CONTEXT / NEED_MORE_EVIDENCE als expliciete, gestructureerde uitkomst in plaats van stilzwijgend gokken. Dit sluit aan op het bestaande foutcodesysteem en op het bestaande harde falen bij te grote bestanden.</w:t>
      </w:r>
    </w:p>
    <w:p>
      <w:pPr>
        <w:pStyle w:val="ListParagraph"/>
        <w:numPr>
          <w:ilvl w:val="0"/>
          <w:numId w:val="2"/>
        </w:numPr>
        <w:spacing w:after="60"/>
      </w:pPr>
      <w:r>
        <w:t xml:space="preserve">Verificatie als missiestatus in plaats van een wachtlus binnen één HTTP-request, met een expliciet SHA-contract: herstelpogingen zijn commits op dezelfde missiebranch, en upsertFile gebruikt de bestands-SHA van die branch.</w:t>
      </w:r>
    </w:p>
    <w:p>
      <w:pPr>
        <w:pStyle w:val="ListParagraph"/>
        <w:numPr>
          <w:ilvl w:val="0"/>
          <w:numId w:val="2"/>
        </w:numPr>
        <w:spacing w:after="60"/>
      </w:pPr>
      <w:r>
        <w:t xml:space="preserve">De scheiding tussen TECHNICAL_REPAIR en SEMANTIC_REPAIR, met eigen pogingtellers. Dit beantwoordde een gat dat in beide eerdere plannen zat.</w:t>
      </w:r>
    </w:p>
    <w:p>
      <w:pPr>
        <w:pStyle w:val="ListParagraph"/>
        <w:numPr>
          <w:ilvl w:val="0"/>
          <w:numId w:val="2"/>
        </w:numPr>
        <w:spacing w:after="60"/>
      </w:pPr>
      <w:r>
        <w:t xml:space="preserve">Council-protocol: blinde onafhankelijke eerste ronde, geanonimiseerde wederzijdse kritiek, geen meerderheidsstem als waarheid, onenigheid als eersteklas uitkomst, synthese waar mogelijk deterministisch door code.</w:t>
      </w:r>
    </w:p>
    <w:p>
      <w:pPr>
        <w:pStyle w:val="ListParagraph"/>
        <w:numPr>
          <w:ilvl w:val="0"/>
          <w:numId w:val="2"/>
        </w:numPr>
        <w:spacing w:after="60"/>
      </w:pPr>
      <w:r>
        <w:t xml:space="preserve">Rollout: raadsmodus eerst in de Director-chat, QA daarna, de Builder blijft één model.</w:t>
      </w:r>
    </w:p>
    <w:p>
      <w:pPr>
        <w:pStyle w:val="ListParagraph"/>
        <w:numPr>
          <w:ilvl w:val="0"/>
          <w:numId w:val="2"/>
        </w:numPr>
        <w:spacing w:after="60"/>
      </w:pPr>
      <w:r>
        <w:t xml:space="preserve">Uitsluitend officiële API-integraties. Geen browserautomatisering, geen cookie- of sessiehergebruik om abonnementen als pseudo-API te gebruiken.</w:t>
      </w:r>
    </w:p>
    <w:p>
      <w:pPr>
        <w:pStyle w:val="ListParagraph"/>
        <w:numPr>
          <w:ilvl w:val="0"/>
          <w:numId w:val="2"/>
        </w:numPr>
        <w:spacing w:after="60"/>
      </w:pPr>
      <w:r>
        <w:t xml:space="preserve">Je regressietests uit hoofdstuk 18/21 als acceptatiecriteria, gekoppeld aan de stappen waar ze bij horen.</w:t>
      </w:r>
    </w:p>
    <w:p>
      <w:pPr>
        <w:pStyle w:val="Heading1"/>
        <w:spacing w:after="160" w:before="360"/>
      </w:pPr>
      <w:r>
        <w:t xml:space="preserve">2. Waar we afwijken, en waarom</w:t>
      </w:r>
    </w:p>
    <w:p>
      <w:pPr>
        <w:pStyle w:val="Heading2"/>
        <w:spacing w:after="120" w:before="280"/>
      </w:pPr>
      <w:r>
        <w:t xml:space="preserve">2.1 De Builder-contextfix komt vóór de Council, niet erin</w:t>
      </w:r>
    </w:p>
    <w:p>
      <w:pPr>
        <w:spacing w:after="120"/>
      </w:pPr>
      <w:r>
        <w:t xml:space="preserve">In jouw fase-indeling zit de Context Resolver op plek 3, na de Council-datacontracten en de twee-provider-kern. Wij zetten hem op plek 2, direct na de branchbug en vóór alles wat met de Council te maken heeft.</w:t>
      </w:r>
    </w:p>
    <w:p>
      <w:pPr>
        <w:spacing w:after="120"/>
      </w:pPr>
      <w:r>
        <w:t xml:space="preserve">Reden: het contextprobleem is de enige oorzaak die we aantoonbaar hebben vastgesteld, met vijf achtereenvolgende storingen als bewijs. Alles wat daarvóór wordt gebouwd, is werk aan een systeem waarvan de uitvoerende rol nog steeds niet kan wat er van hem gevraagd wordt. Bovendien is de dagelijkse realiteit van de eigenaar dat híj de correctielus is: elke mislukte Builder-poging kost hem handmatige git-commando's en wachttijd. Een Claim Ledger verandert daar niets aan; een werkende contextlaag en een automatische herstellus wel.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val="clear"/>
            <w:tcMar>
              <w:top w:type="dxa" w:w="140"/>
              <w:left w:type="dxa" w:w="160"/>
              <w:bottom w:type="dxa" w:w="140"/>
              <w:right w:type="dxa" w:w="160"/>
            </w:tcMar>
          </w:tcPr>
          <w:p>
            <w:r>
              <w:rPr>
                <w:b/>
                <w:bCs/>
              </w:rPr>
              <w:t xml:space="preserve">Beslisregel die we hanteren: </w:t>
            </w:r>
            <w:r>
              <w:t xml:space="preserve">de kleinste stap die de eigenaar het snelst uit de handmatige correctielus haalt, gaat vóór architectonische volledigheid. Dat is in dit project geen voorkeur maar een noodzaak — zie 2.3.</w:t>
            </w:r>
          </w:p>
        </w:tc>
      </w:tr>
    </w:tbl>
    <w:p>
      <w:pPr>
        <w:pStyle w:val="Heading2"/>
        <w:spacing w:after="120" w:before="280"/>
      </w:pPr>
      <w:r>
        <w:t xml:space="preserve">2.2 Council V1 wordt dunner dan je voorstelt</w:t>
      </w:r>
    </w:p>
    <w:p>
      <w:pPr>
        <w:spacing w:after="120"/>
      </w:pPr>
      <w:r>
        <w:t xml:space="preserve">Jouw fase 1 vraagt zes persistente datamodellen (CouncilSession, EvidencePack, Proposal, Critique, ClaimLedger, DecisionRecord) voordat er één raadsaanroep is gedaan. Wij bouwen eerst het protocol zelf: twee parallelle onafhankelijke analyses, één geanonimiseerde kritiekronde, en een weergave die de twee posities en hun verschillen naast elkaar zet. Dat is genoeg om de enige vraag te beantwoorden die er nu toe doet: levert georganiseerde onenigheid aantoonbaar iets op dat één model mist?</w:t>
      </w:r>
    </w:p>
    <w:p>
      <w:pPr>
        <w:spacing w:after="120"/>
      </w:pPr>
      <w:r>
        <w:t xml:space="preserve">Het Claim Ledger met runtime-gevalideerde bewijsverwijzingen vinden we inhoudelijk het sterkste idee uit je document — juist omdat het precies de foutklasse vangt die ons vijf keer heeft geraakt: een model dat een repository-feit beweert dat het niet kan onderbouwen. Maar het is de juiste eindtoestand, niet het juiste startpunt. Het komt in V1.5, direct na het bewijs.</w:t>
      </w:r>
    </w:p>
    <w:p>
      <w:pPr>
        <w:spacing w:after="120"/>
      </w:pPr>
      <w:r>
        <w:t xml:space="preserve">Daarbij één technisch punt dat in je specificatie impliciet blijft: bewijsverwijzingen met regelnummers zijn alleen valideerbaar tegen een gepinde commit-SHA, en elke herstelpoging verschuift regels en maakt eerder bewijs ongeldig. We leggen daarom vast dat een evidence_ref altijd aan een SHA hangt en dat een nieuwe commit het bewijspakket invalideert.</w:t>
      </w:r>
    </w:p>
    <w:p>
      <w:pPr>
        <w:pStyle w:val="Heading2"/>
        <w:spacing w:after="120" w:before="280"/>
      </w:pPr>
      <w:r>
        <w:t xml:space="preserve">2.3 De bouwbeperking die de volgorde bepaalt</w:t>
      </w:r>
    </w:p>
    <w:p>
      <w:pPr>
        <w:spacing w:after="120"/>
      </w:pPr>
      <w:r>
        <w:t xml:space="preserve">Beide documenten beschrijven werk alsof er een team is. Dat is er niet. De eigenaar heeft geen programmeerachtergrond, en de rol die dit zou moeten bouwen — de Builder — is precies de rol die niet werkt. Elke stap wordt dus met de hand geschreven en door de eigenaar geplakt, gecommit en gemerged. Dat maakt de omvang van een stap een eersteklas ontwerpvariabele, net als kosten en context in jouw document.</w:t>
      </w:r>
    </w:p>
    <w:p>
      <w:pPr>
        <w:pStyle w:val="Heading2"/>
        <w:spacing w:after="120" w:before="280"/>
      </w:pPr>
      <w:r>
        <w:t xml:space="preserve">2.4 Twee kleinere keuzes</w:t>
      </w:r>
    </w:p>
    <w:p>
      <w:pPr>
        <w:spacing w:after="120"/>
      </w:pPr>
      <w:r>
        <w:t xml:space="preserve">De gratis-provider-inventarisatie (Groq, Cloudflare, OpenRouter, met concrete limieten) halen we uit het architectuurdocument. Precies die getallen verouderen het snelst, en je eigen Model Registry is het juiste antwoord: aanbieders en limieten horen configuratie te zijn, geen ontwerp. Ze komen terug op het moment dat V1.5 daadwerkelijk gebouwd wordt, en worden dan opnieuw geverifieerd.</w:t>
      </w:r>
    </w:p>
    <w:p>
      <w:pPr>
        <w:spacing w:after="120"/>
      </w:pPr>
      <w:r>
        <w:t xml:space="preserve">En we leggen vooraf een stopcriterium vast, want jouw hoofdstuk 20 zegt wél wat er gemeten moet worden maar niet wanneer we concluderen dat het niet werkt. Onze regel: als de raad na tien sessies geen enkele keer een besluit heeft veranderd of een fout heeft gevangen die één model miste, gaat de raad er weer uit. Verwachte kosten liggen rond een halve dollar per sessie bij een bewijspakket van ongeveer 10.000 tokens, oplopend zodra er volledige bronbestanden in gaan. Kosten blokkeren in dit project nooit een missie, maar ze worden wel gemeten en getoond.</w:t>
      </w:r>
    </w:p>
    <w:p>
      <w:r>
        <w:br w:type="page"/>
      </w:r>
    </w:p>
    <w:p>
      <w:pPr>
        <w:pStyle w:val="Heading1"/>
        <w:spacing w:after="160" w:before="360"/>
      </w:pPr>
      <w:r>
        <w:t xml:space="preserve">3. De vastgestelde bouwvolgorde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400"/>
        <w:gridCol w:w="2360"/>
      </w:tblGrid>
      <w:tr>
        <w:trPr>
          <w:tblHeader/>
        </w:trPr>
        <w:tc>
          <w:tcPr>
            <w:tcW w:type="dxa" w:w="900"/>
            <w:shd w:fill="EEEEEE" w:val="clear"/>
            <w:tcMar>
              <w:top w:type="dxa" w:w="80"/>
              <w:left w:type="dxa" w:w="120"/>
              <w:bottom w:type="dxa" w:w="80"/>
              <w:right w:type="dxa" w:w="120"/>
            </w:tcMar>
          </w:tcPr>
          <w:p>
            <w:r>
              <w:rPr>
                <w:b/>
                <w:bCs/>
                <w:sz w:val="19"/>
                <w:szCs w:val="19"/>
              </w:rPr>
              <w:t xml:space="preserve">Stap</w:t>
            </w:r>
          </w:p>
        </w:tc>
        <w:tc>
          <w:tcPr>
            <w:tcW w:type="dxa" w:w="2700"/>
            <w:shd w:fill="EEEEEE" w:val="clear"/>
            <w:tcMar>
              <w:top w:type="dxa" w:w="80"/>
              <w:left w:type="dxa" w:w="120"/>
              <w:bottom w:type="dxa" w:w="80"/>
              <w:right w:type="dxa" w:w="120"/>
            </w:tcMar>
          </w:tcPr>
          <w:p>
            <w:r>
              <w:rPr>
                <w:b/>
                <w:bCs/>
                <w:sz w:val="19"/>
                <w:szCs w:val="19"/>
              </w:rPr>
              <w:t xml:space="preserve">Wat</w:t>
            </w:r>
          </w:p>
        </w:tc>
        <w:tc>
          <w:tcPr>
            <w:tcW w:type="dxa" w:w="3400"/>
            <w:shd w:fill="EEEEEE" w:val="clear"/>
            <w:tcMar>
              <w:top w:type="dxa" w:w="80"/>
              <w:left w:type="dxa" w:w="120"/>
              <w:bottom w:type="dxa" w:w="80"/>
              <w:right w:type="dxa" w:w="120"/>
            </w:tcMar>
          </w:tcPr>
          <w:p>
            <w:r>
              <w:rPr>
                <w:b/>
                <w:bCs/>
                <w:sz w:val="19"/>
                <w:szCs w:val="19"/>
              </w:rPr>
              <w:t xml:space="preserve">Waarom op deze plek</w:t>
            </w:r>
          </w:p>
        </w:tc>
        <w:tc>
          <w:tcPr>
            <w:tcW w:type="dxa" w:w="2360"/>
            <w:shd w:fill="EEEEEE" w:val="clear"/>
            <w:tcMar>
              <w:top w:type="dxa" w:w="80"/>
              <w:left w:type="dxa" w:w="120"/>
              <w:bottom w:type="dxa" w:w="80"/>
              <w:right w:type="dxa" w:w="120"/>
            </w:tcMar>
          </w:tcPr>
          <w:p>
            <w:r>
              <w:rPr>
                <w:b/>
                <w:bCs/>
                <w:sz w:val="19"/>
                <w:szCs w:val="19"/>
              </w:rPr>
              <w:t xml:space="preserve">Klaar wanneer</w:t>
            </w:r>
          </w:p>
        </w:tc>
      </w:tr>
      <w:tr>
        <w:trPr>
          <w:tblHeader w:val="false"/>
        </w:trPr>
        <w:tc>
          <w:tcPr>
            <w:tcW w:type="dxa" w:w="900"/>
            <w:tcMar>
              <w:top w:type="dxa" w:w="80"/>
              <w:left w:type="dxa" w:w="120"/>
              <w:bottom w:type="dxa" w:w="80"/>
              <w:right w:type="dxa" w:w="120"/>
            </w:tcMar>
          </w:tcPr>
          <w:p>
            <w:r>
              <w:rPr>
                <w:b w:val="false"/>
                <w:bCs w:val="false"/>
                <w:sz w:val="19"/>
                <w:szCs w:val="19"/>
              </w:rPr>
              <w:t xml:space="preserve">9</w:t>
            </w:r>
          </w:p>
        </w:tc>
        <w:tc>
          <w:tcPr>
            <w:tcW w:type="dxa" w:w="2700"/>
            <w:tcMar>
              <w:top w:type="dxa" w:w="80"/>
              <w:left w:type="dxa" w:w="120"/>
              <w:bottom w:type="dxa" w:w="80"/>
              <w:right w:type="dxa" w:w="120"/>
            </w:tcMar>
          </w:tcPr>
          <w:p>
            <w:r>
              <w:rPr>
                <w:b w:val="false"/>
                <w:bCs w:val="false"/>
                <w:sz w:val="19"/>
                <w:szCs w:val="19"/>
              </w:rPr>
              <w:t xml:space="preserve">Eén stabiele missiebranch; alle reads en writes vanaf die branch; currentCommitSha in de missiestatus</w:t>
            </w:r>
          </w:p>
        </w:tc>
        <w:tc>
          <w:tcPr>
            <w:tcW w:type="dxa" w:w="3400"/>
            <w:tcMar>
              <w:top w:type="dxa" w:w="80"/>
              <w:left w:type="dxa" w:w="120"/>
              <w:bottom w:type="dxa" w:w="80"/>
              <w:right w:type="dxa" w:w="120"/>
            </w:tcMar>
          </w:tcPr>
          <w:p>
            <w:r>
              <w:rPr>
                <w:b w:val="false"/>
                <w:bCs w:val="false"/>
                <w:sz w:val="19"/>
                <w:szCs w:val="19"/>
              </w:rPr>
              <w:t xml:space="preserve">Bevestigde dataverliesbug, en harde voorwaarde voor branchverificatie</w:t>
            </w:r>
          </w:p>
        </w:tc>
        <w:tc>
          <w:tcPr>
            <w:tcW w:type="dxa" w:w="2360"/>
            <w:tcMar>
              <w:top w:type="dxa" w:w="80"/>
              <w:left w:type="dxa" w:w="120"/>
              <w:bottom w:type="dxa" w:w="80"/>
              <w:right w:type="dxa" w:w="120"/>
            </w:tcMar>
          </w:tcPr>
          <w:p>
            <w:r>
              <w:rPr>
                <w:b w:val="false"/>
                <w:bCs w:val="false"/>
                <w:sz w:val="19"/>
                <w:szCs w:val="19"/>
              </w:rPr>
              <w:t xml:space="preserve">Regressie E: een tweede Builder-toewijzing ziet het werk van de eerste</w:t>
            </w:r>
          </w:p>
        </w:tc>
      </w:tr>
      <w:tr>
        <w:trPr>
          <w:tblHeader w:val="false"/>
        </w:trPr>
        <w:tc>
          <w:tcPr>
            <w:tcW w:type="dxa" w:w="900"/>
            <w:tcMar>
              <w:top w:type="dxa" w:w="80"/>
              <w:left w:type="dxa" w:w="120"/>
              <w:bottom w:type="dxa" w:w="80"/>
              <w:right w:type="dxa" w:w="120"/>
            </w:tcMar>
          </w:tcPr>
          <w:p>
            <w:r>
              <w:rPr>
                <w:b w:val="false"/>
                <w:bCs w:val="false"/>
                <w:sz w:val="19"/>
                <w:szCs w:val="19"/>
              </w:rPr>
              <w:t xml:space="preserve">10</w:t>
            </w:r>
          </w:p>
        </w:tc>
        <w:tc>
          <w:tcPr>
            <w:tcW w:type="dxa" w:w="2700"/>
            <w:tcMar>
              <w:top w:type="dxa" w:w="80"/>
              <w:left w:type="dxa" w:w="120"/>
              <w:bottom w:type="dxa" w:w="80"/>
              <w:right w:type="dxa" w:w="120"/>
            </w:tcMar>
          </w:tcPr>
          <w:p>
            <w:r>
              <w:rPr>
                <w:b w:val="false"/>
                <w:bCs w:val="false"/>
                <w:sz w:val="19"/>
                <w:szCs w:val="19"/>
              </w:rPr>
              <w:t xml:space="preserve">Context Resolver V1: schrijfbaar versus leesbaar bewijs, module onder test plus directe relatieve imports, relevant testvoorbeeld uit dezelfde map, contextmanifest, INSUFFICIENT_CONTEXT bij mislukte resolutie</w:t>
            </w:r>
          </w:p>
        </w:tc>
        <w:tc>
          <w:tcPr>
            <w:tcW w:type="dxa" w:w="3400"/>
            <w:tcMar>
              <w:top w:type="dxa" w:w="80"/>
              <w:left w:type="dxa" w:w="120"/>
              <w:bottom w:type="dxa" w:w="80"/>
              <w:right w:type="dxa" w:w="120"/>
            </w:tcMar>
          </w:tcPr>
          <w:p>
            <w:r>
              <w:rPr>
                <w:b w:val="false"/>
                <w:bCs w:val="false"/>
                <w:sz w:val="19"/>
                <w:szCs w:val="19"/>
              </w:rPr>
              <w:t xml:space="preserve">Enige aantoonbaar bewezen oorzaak; bewust zonder AST, aliassen of barrels</w:t>
            </w:r>
          </w:p>
        </w:tc>
        <w:tc>
          <w:tcPr>
            <w:tcW w:type="dxa" w:w="2360"/>
            <w:tcMar>
              <w:top w:type="dxa" w:w="80"/>
              <w:left w:type="dxa" w:w="120"/>
              <w:bottom w:type="dxa" w:w="80"/>
              <w:right w:type="dxa" w:w="120"/>
            </w:tcMar>
          </w:tcPr>
          <w:p>
            <w:r>
              <w:rPr>
                <w:b w:val="false"/>
                <w:bCs w:val="false"/>
                <w:sz w:val="19"/>
                <w:szCs w:val="19"/>
              </w:rPr>
              <w:t xml:space="preserve">Regressie A en B: tests voor een bestaande functie met een tweeargumentsignatuur en met gemockte helperreturns, groen zonder tussenkomst</w:t>
            </w:r>
          </w:p>
        </w:tc>
      </w:tr>
      <w:tr>
        <w:trPr>
          <w:tblHeader w:val="false"/>
        </w:trPr>
        <w:tc>
          <w:tcPr>
            <w:tcW w:type="dxa" w:w="900"/>
            <w:tcMar>
              <w:top w:type="dxa" w:w="80"/>
              <w:left w:type="dxa" w:w="120"/>
              <w:bottom w:type="dxa" w:w="80"/>
              <w:right w:type="dxa" w:w="120"/>
            </w:tcMar>
          </w:tcPr>
          <w:p>
            <w:r>
              <w:rPr>
                <w:b w:val="false"/>
                <w:bCs w:val="false"/>
                <w:sz w:val="19"/>
                <w:szCs w:val="19"/>
              </w:rPr>
              <w:t xml:space="preserve">11</w:t>
            </w:r>
          </w:p>
        </w:tc>
        <w:tc>
          <w:tcPr>
            <w:tcW w:type="dxa" w:w="2700"/>
            <w:tcMar>
              <w:top w:type="dxa" w:w="80"/>
              <w:left w:type="dxa" w:w="120"/>
              <w:bottom w:type="dxa" w:w="80"/>
              <w:right w:type="dxa" w:w="120"/>
            </w:tcMar>
          </w:tcPr>
          <w:p>
            <w:r>
              <w:rPr>
                <w:b w:val="false"/>
                <w:bCs w:val="false"/>
                <w:sz w:val="19"/>
                <w:szCs w:val="19"/>
              </w:rPr>
              <w:t xml:space="preserve">Verificatie als missiestatus op de missiebranch; CI op de exacte SHA; TECHNICAL_REPAIR met plafond van drie pogingen; handmatige push-trigger in ci.yml</w:t>
            </w:r>
          </w:p>
        </w:tc>
        <w:tc>
          <w:tcPr>
            <w:tcW w:type="dxa" w:w="3400"/>
            <w:tcMar>
              <w:top w:type="dxa" w:w="80"/>
              <w:left w:type="dxa" w:w="120"/>
              <w:bottom w:type="dxa" w:w="80"/>
              <w:right w:type="dxa" w:w="120"/>
            </w:tcMar>
          </w:tcPr>
          <w:p>
            <w:r>
              <w:rPr>
                <w:b w:val="false"/>
                <w:bCs w:val="false"/>
                <w:sz w:val="19"/>
                <w:szCs w:val="19"/>
              </w:rPr>
              <w:t xml:space="preserve">Dit is de stap die de eigenaar uit de correctielus haalt</w:t>
            </w:r>
          </w:p>
        </w:tc>
        <w:tc>
          <w:tcPr>
            <w:tcW w:type="dxa" w:w="2360"/>
            <w:tcMar>
              <w:top w:type="dxa" w:w="80"/>
              <w:left w:type="dxa" w:w="120"/>
              <w:bottom w:type="dxa" w:w="80"/>
              <w:right w:type="dxa" w:w="120"/>
            </w:tcMar>
          </w:tcPr>
          <w:p>
            <w:r>
              <w:rPr>
                <w:b w:val="false"/>
                <w:bCs w:val="false"/>
                <w:sz w:val="19"/>
                <w:szCs w:val="19"/>
              </w:rPr>
              <w:t xml:space="preserve">Regressie D: een opzettelijke compileerfout wordt binnen het plafond automatisch hersteld</w:t>
            </w:r>
          </w:p>
        </w:tc>
      </w:tr>
      <w:tr>
        <w:trPr>
          <w:tblHeader w:val="false"/>
        </w:trPr>
        <w:tc>
          <w:tcPr>
            <w:tcW w:type="dxa" w:w="900"/>
            <w:tcMar>
              <w:top w:type="dxa" w:w="80"/>
              <w:left w:type="dxa" w:w="120"/>
              <w:bottom w:type="dxa" w:w="80"/>
              <w:right w:type="dxa" w:w="120"/>
            </w:tcMar>
          </w:tcPr>
          <w:p>
            <w:r>
              <w:rPr>
                <w:b w:val="false"/>
                <w:bCs w:val="false"/>
                <w:sz w:val="19"/>
                <w:szCs w:val="19"/>
              </w:rPr>
              <w:t xml:space="preserve">12</w:t>
            </w:r>
          </w:p>
        </w:tc>
        <w:tc>
          <w:tcPr>
            <w:tcW w:type="dxa" w:w="2700"/>
            <w:tcMar>
              <w:top w:type="dxa" w:w="80"/>
              <w:left w:type="dxa" w:w="120"/>
              <w:bottom w:type="dxa" w:w="80"/>
              <w:right w:type="dxa" w:w="120"/>
            </w:tcMar>
          </w:tcPr>
          <w:p>
            <w:r>
              <w:rPr>
                <w:b w:val="false"/>
                <w:bCs w:val="false"/>
                <w:sz w:val="19"/>
                <w:szCs w:val="19"/>
              </w:rPr>
              <w:t xml:space="preserve">QA-bewijsbundel (gewijzigde bestanden, diff, opgeloste afhankelijkheden, verificatieresultaten, criteria) en SEMANTIC_REPAIR met eigen teller</w:t>
            </w:r>
          </w:p>
        </w:tc>
        <w:tc>
          <w:tcPr>
            <w:tcW w:type="dxa" w:w="3400"/>
            <w:tcMar>
              <w:top w:type="dxa" w:w="80"/>
              <w:left w:type="dxa" w:w="120"/>
              <w:bottom w:type="dxa" w:w="80"/>
              <w:right w:type="dxa" w:w="120"/>
            </w:tcMar>
          </w:tcPr>
          <w:p>
            <w:r>
              <w:rPr>
                <w:b w:val="false"/>
                <w:bCs w:val="false"/>
                <w:sz w:val="19"/>
                <w:szCs w:val="19"/>
              </w:rPr>
              <w:t xml:space="preserve">QA heeft dezelfde blinde vlek als de Builder; zonder bewijs is een QA-oordeel over testcode niet mogelijk</w:t>
            </w:r>
          </w:p>
        </w:tc>
        <w:tc>
          <w:tcPr>
            <w:tcW w:type="dxa" w:w="2360"/>
            <w:tcMar>
              <w:top w:type="dxa" w:w="80"/>
              <w:left w:type="dxa" w:w="120"/>
              <w:bottom w:type="dxa" w:w="80"/>
              <w:right w:type="dxa" w:w="120"/>
            </w:tcMar>
          </w:tcPr>
          <w:p>
            <w:r>
              <w:rPr>
                <w:b w:val="false"/>
                <w:bCs w:val="false"/>
                <w:sz w:val="19"/>
                <w:szCs w:val="19"/>
              </w:rPr>
              <w:t xml:space="preserve">Regressie F: QA keurt een test-only diff met verkeerde mock-signatuur af op inhoud, niet pas via de CI</w:t>
            </w:r>
          </w:p>
        </w:tc>
      </w:tr>
      <w:tr>
        <w:trPr>
          <w:tblHeader w:val="false"/>
        </w:trPr>
        <w:tc>
          <w:tcPr>
            <w:tcW w:type="dxa" w:w="900"/>
            <w:tcMar>
              <w:top w:type="dxa" w:w="80"/>
              <w:left w:type="dxa" w:w="120"/>
              <w:bottom w:type="dxa" w:w="80"/>
              <w:right w:type="dxa" w:w="120"/>
            </w:tcMar>
          </w:tcPr>
          <w:p>
            <w:r>
              <w:rPr>
                <w:b w:val="false"/>
                <w:bCs w:val="false"/>
                <w:sz w:val="19"/>
                <w:szCs w:val="19"/>
              </w:rPr>
              <w:t xml:space="preserve">13</w:t>
            </w:r>
          </w:p>
        </w:tc>
        <w:tc>
          <w:tcPr>
            <w:tcW w:type="dxa" w:w="2700"/>
            <w:tcMar>
              <w:top w:type="dxa" w:w="80"/>
              <w:left w:type="dxa" w:w="120"/>
              <w:bottom w:type="dxa" w:w="80"/>
              <w:right w:type="dxa" w:w="120"/>
            </w:tcMar>
          </w:tcPr>
          <w:p>
            <w:r>
              <w:rPr>
                <w:b w:val="false"/>
                <w:bCs w:val="false"/>
                <w:sz w:val="19"/>
                <w:szCs w:val="19"/>
              </w:rPr>
              <w:t xml:space="preserve">Council V1: twee providers op de bestaande chatCompletion-interface, blinde ronde 1, geanonimiseerde kritiek, deterministische synthese, raadsmodus in de Director-chat</w:t>
            </w:r>
          </w:p>
        </w:tc>
        <w:tc>
          <w:tcPr>
            <w:tcW w:type="dxa" w:w="3400"/>
            <w:tcMar>
              <w:top w:type="dxa" w:w="80"/>
              <w:left w:type="dxa" w:w="120"/>
              <w:bottom w:type="dxa" w:w="80"/>
              <w:right w:type="dxa" w:w="120"/>
            </w:tcMar>
          </w:tcPr>
          <w:p>
            <w:r>
              <w:rPr>
                <w:b w:val="false"/>
                <w:bCs w:val="false"/>
                <w:sz w:val="19"/>
                <w:szCs w:val="19"/>
              </w:rPr>
              <w:t xml:space="preserve">Laagste risico: raakt de merge-route niet; bewijst het mechanisme voordat we het uitbouwen</w:t>
            </w:r>
          </w:p>
        </w:tc>
        <w:tc>
          <w:tcPr>
            <w:tcW w:type="dxa" w:w="2360"/>
            <w:tcMar>
              <w:top w:type="dxa" w:w="80"/>
              <w:left w:type="dxa" w:w="120"/>
              <w:bottom w:type="dxa" w:w="80"/>
              <w:right w:type="dxa" w:w="120"/>
            </w:tcMar>
          </w:tcPr>
          <w:p>
            <w:r>
              <w:rPr>
                <w:b w:val="false"/>
                <w:bCs w:val="false"/>
                <w:sz w:val="19"/>
                <w:szCs w:val="19"/>
              </w:rPr>
              <w:t xml:space="preserve">Tien sessies gedraaid, met een meetbaar oordeel over toegevoegde waarde</w:t>
            </w:r>
          </w:p>
        </w:tc>
      </w:tr>
      <w:tr>
        <w:trPr>
          <w:tblHeader w:val="false"/>
        </w:trPr>
        <w:tc>
          <w:tcPr>
            <w:tcW w:type="dxa" w:w="900"/>
            <w:tcMar>
              <w:top w:type="dxa" w:w="80"/>
              <w:left w:type="dxa" w:w="120"/>
              <w:bottom w:type="dxa" w:w="80"/>
              <w:right w:type="dxa" w:w="120"/>
            </w:tcMar>
          </w:tcPr>
          <w:p>
            <w:r>
              <w:rPr>
                <w:b w:val="false"/>
                <w:bCs w:val="false"/>
                <w:sz w:val="19"/>
                <w:szCs w:val="19"/>
              </w:rPr>
              <w:t xml:space="preserve">14</w:t>
            </w:r>
          </w:p>
        </w:tc>
        <w:tc>
          <w:tcPr>
            <w:tcW w:type="dxa" w:w="2700"/>
            <w:tcMar>
              <w:top w:type="dxa" w:w="80"/>
              <w:left w:type="dxa" w:w="120"/>
              <w:bottom w:type="dxa" w:w="80"/>
              <w:right w:type="dxa" w:w="120"/>
            </w:tcMar>
          </w:tcPr>
          <w:p>
            <w:r>
              <w:rPr>
                <w:b w:val="false"/>
                <w:bCs w:val="false"/>
                <w:sz w:val="19"/>
                <w:szCs w:val="19"/>
              </w:rPr>
              <w:t xml:space="preserve">Council V1.5: Claim Ledger met SHA-gepinde, gevalideerde bewijsverwijzingen; Model Registry; extra providers; automatische triggers</w:t>
            </w:r>
          </w:p>
        </w:tc>
        <w:tc>
          <w:tcPr>
            <w:tcW w:type="dxa" w:w="3400"/>
            <w:tcMar>
              <w:top w:type="dxa" w:w="80"/>
              <w:left w:type="dxa" w:w="120"/>
              <w:bottom w:type="dxa" w:w="80"/>
              <w:right w:type="dxa" w:w="120"/>
            </w:tcMar>
          </w:tcPr>
          <w:p>
            <w:r>
              <w:rPr>
                <w:b w:val="false"/>
                <w:bCs w:val="false"/>
                <w:sz w:val="19"/>
                <w:szCs w:val="19"/>
              </w:rPr>
              <w:t xml:space="preserve">Pas zinvol nadat V1 zich bewezen heeft</w:t>
            </w:r>
          </w:p>
        </w:tc>
        <w:tc>
          <w:tcPr>
            <w:tcW w:type="dxa" w:w="2360"/>
            <w:tcMar>
              <w:top w:type="dxa" w:w="80"/>
              <w:left w:type="dxa" w:w="120"/>
              <w:bottom w:type="dxa" w:w="80"/>
              <w:right w:type="dxa" w:w="120"/>
            </w:tcMar>
          </w:tcPr>
          <w:p>
            <w:r>
              <w:rPr>
                <w:b w:val="false"/>
                <w:bCs w:val="false"/>
                <w:sz w:val="19"/>
                <w:szCs w:val="19"/>
              </w:rPr>
              <w:t xml:space="preserve">Verzonnen bewijsverwijzing wordt door de runtime geweigerd</w:t>
            </w:r>
          </w:p>
        </w:tc>
      </w:tr>
      <w:tr>
        <w:trPr>
          <w:tblHeader w:val="false"/>
        </w:trPr>
        <w:tc>
          <w:tcPr>
            <w:tcW w:type="dxa" w:w="900"/>
            <w:tcMar>
              <w:top w:type="dxa" w:w="80"/>
              <w:left w:type="dxa" w:w="120"/>
              <w:bottom w:type="dxa" w:w="80"/>
              <w:right w:type="dxa" w:w="120"/>
            </w:tcMar>
          </w:tcPr>
          <w:p>
            <w:r>
              <w:rPr>
                <w:b w:val="false"/>
                <w:bCs w:val="false"/>
                <w:sz w:val="19"/>
                <w:szCs w:val="19"/>
              </w:rPr>
              <w:t xml:space="preserve">15</w:t>
            </w:r>
          </w:p>
        </w:tc>
        <w:tc>
          <w:tcPr>
            <w:tcW w:type="dxa" w:w="2700"/>
            <w:tcMar>
              <w:top w:type="dxa" w:w="80"/>
              <w:left w:type="dxa" w:w="120"/>
              <w:bottom w:type="dxa" w:w="80"/>
              <w:right w:type="dxa" w:w="120"/>
            </w:tcMar>
          </w:tcPr>
          <w:p>
            <w:r>
              <w:rPr>
                <w:b w:val="false"/>
                <w:bCs w:val="false"/>
                <w:sz w:val="19"/>
                <w:szCs w:val="19"/>
              </w:rPr>
              <w:t xml:space="preserve">Director Evidence Upgrade: compacte, gepinde resultaten van vorige stappen en verificatie</w:t>
            </w:r>
          </w:p>
        </w:tc>
        <w:tc>
          <w:tcPr>
            <w:tcW w:type="dxa" w:w="3400"/>
            <w:tcMar>
              <w:top w:type="dxa" w:w="80"/>
              <w:left w:type="dxa" w:w="120"/>
              <w:bottom w:type="dxa" w:w="80"/>
              <w:right w:type="dxa" w:w="120"/>
            </w:tcMar>
          </w:tcPr>
          <w:p>
            <w:r>
              <w:rPr>
                <w:b w:val="false"/>
                <w:bCs w:val="false"/>
                <w:sz w:val="19"/>
                <w:szCs w:val="19"/>
              </w:rPr>
              <w:t xml:space="preserve">Wordt de volgende autonomiebovengrens zodra 9 t/m 12 staan</w:t>
            </w:r>
          </w:p>
        </w:tc>
        <w:tc>
          <w:tcPr>
            <w:tcW w:type="dxa" w:w="2360"/>
            <w:tcMar>
              <w:top w:type="dxa" w:w="80"/>
              <w:left w:type="dxa" w:w="120"/>
              <w:bottom w:type="dxa" w:w="80"/>
              <w:right w:type="dxa" w:w="120"/>
            </w:tcMar>
          </w:tcPr>
          <w:p>
            <w:r>
              <w:rPr>
                <w:b w:val="false"/>
                <w:bCs w:val="false"/>
                <w:sz w:val="19"/>
                <w:szCs w:val="19"/>
              </w:rPr>
              <w:t xml:space="preserve">De Director kan een vervolgstap baseren op wat er feitelijk is opgeleverd</w:t>
            </w:r>
          </w:p>
        </w:tc>
      </w:tr>
      <w:tr>
        <w:trPr>
          <w:tblHeader w:val="false"/>
        </w:trPr>
        <w:tc>
          <w:tcPr>
            <w:tcW w:type="dxa" w:w="900"/>
            <w:tcMar>
              <w:top w:type="dxa" w:w="80"/>
              <w:left w:type="dxa" w:w="120"/>
              <w:bottom w:type="dxa" w:w="80"/>
              <w:right w:type="dxa" w:w="120"/>
            </w:tcMar>
          </w:tcPr>
          <w:p>
            <w:r>
              <w:rPr>
                <w:b w:val="false"/>
                <w:bCs w:val="false"/>
                <w:sz w:val="19"/>
                <w:szCs w:val="19"/>
              </w:rPr>
              <w:t xml:space="preserve">16</w:t>
            </w:r>
          </w:p>
        </w:tc>
        <w:tc>
          <w:tcPr>
            <w:tcW w:type="dxa" w:w="2700"/>
            <w:tcMar>
              <w:top w:type="dxa" w:w="80"/>
              <w:left w:type="dxa" w:w="120"/>
              <w:bottom w:type="dxa" w:w="80"/>
              <w:right w:type="dxa" w:w="120"/>
            </w:tcMar>
          </w:tcPr>
          <w:p>
            <w:r>
              <w:rPr>
                <w:b w:val="false"/>
                <w:bCs w:val="false"/>
                <w:sz w:val="19"/>
                <w:szCs w:val="19"/>
              </w:rPr>
              <w:t xml:space="preserve">Alias-, barrel- en typeresolutie; begrensde lees-/zoektools (vereist function calling per provider); patch-gebaseerd schrijven; signatuurcontrole</w:t>
            </w:r>
          </w:p>
        </w:tc>
        <w:tc>
          <w:tcPr>
            <w:tcW w:type="dxa" w:w="3400"/>
            <w:tcMar>
              <w:top w:type="dxa" w:w="80"/>
              <w:left w:type="dxa" w:w="120"/>
              <w:bottom w:type="dxa" w:w="80"/>
              <w:right w:type="dxa" w:w="120"/>
            </w:tcMar>
          </w:tcPr>
          <w:p>
            <w:r>
              <w:rPr>
                <w:b w:val="false"/>
                <w:bCs w:val="false"/>
                <w:sz w:val="19"/>
                <w:szCs w:val="19"/>
              </w:rPr>
              <w:t xml:space="preserve">Pas na bewezen behoefte; hier zit de grootste bouwlast</w:t>
            </w:r>
          </w:p>
        </w:tc>
        <w:tc>
          <w:tcPr>
            <w:tcW w:type="dxa" w:w="2360"/>
            <w:tcMar>
              <w:top w:type="dxa" w:w="80"/>
              <w:left w:type="dxa" w:w="120"/>
              <w:bottom w:type="dxa" w:w="80"/>
              <w:right w:type="dxa" w:w="120"/>
            </w:tcMar>
          </w:tcPr>
          <w:p>
            <w:r>
              <w:rPr>
                <w:b w:val="false"/>
                <w:bCs w:val="false"/>
                <w:sz w:val="19"/>
                <w:szCs w:val="19"/>
              </w:rPr>
              <w:t xml:space="preserve">Regressie C: een module via barrel-export of alias wordt correct opgelost</w:t>
            </w:r>
          </w:p>
        </w:tc>
      </w:tr>
    </w:tbl>
    <w:p>
      <w:pPr>
        <w:spacing w:after="120"/>
      </w:pPr>
      <w:r>
        <w:t xml:space="preserve"/>
      </w:r>
    </w:p>
    <w:p>
      <w:pPr>
        <w:spacing w:after="120"/>
      </w:pPr>
      <w:r>
        <w:t xml:space="preserve">Daarachter staan de bestaande productstappen ongewijzigd: in-app CI/PR-zichtbaarheid, doorzoekbare Second Brain, missiesjablonen, Claude zichtbaar ingebed, autonome missietriggers, en als laatste de visualisatie die de eigenaar zelf heeft toegevoegd.</w:t>
      </w:r>
    </w:p>
    <w:p>
      <w:pPr>
        <w:pStyle w:val="Heading1"/>
        <w:spacing w:after="160" w:before="360"/>
      </w:pPr>
      <w:r>
        <w:t xml:space="preserve">4. Wat expliciet niet gebeurt</w:t>
      </w:r>
    </w:p>
    <w:p>
      <w:pPr>
        <w:pStyle w:val="ListParagraph"/>
        <w:numPr>
          <w:ilvl w:val="0"/>
          <w:numId w:val="2"/>
        </w:numPr>
        <w:spacing w:after="60"/>
      </w:pPr>
      <w:r>
        <w:t xml:space="preserve">Geen multi-LLM-selector die per taak een model kiest. Het experiment met een sterker model op exact dezelfde opdracht faalde op dezelfde manier; modelkeuze is niet de beperkende factor.</w:t>
      </w:r>
    </w:p>
    <w:p>
      <w:pPr>
        <w:pStyle w:val="ListParagraph"/>
        <w:numPr>
          <w:ilvl w:val="0"/>
          <w:numId w:val="2"/>
        </w:numPr>
        <w:spacing w:after="60"/>
      </w:pPr>
      <w:r>
        <w:t xml:space="preserve">Geen extra promptinstructies tegen hallucineren als reparatie. Een model kan die instructie perfect opvolgen en nog steeds de informatie missen.</w:t>
      </w:r>
    </w:p>
    <w:p>
      <w:pPr>
        <w:pStyle w:val="ListParagraph"/>
        <w:numPr>
          <w:ilvl w:val="0"/>
          <w:numId w:val="2"/>
        </w:numPr>
        <w:spacing w:after="60"/>
      </w:pPr>
      <w:r>
        <w:t xml:space="preserve">Geen Second Brain-kennis als oplossing voor Builder-fouten. Die kennis wordt alleen in de prompt van de Director geïnjecteerd en bereikt de Builder niet.</w:t>
      </w:r>
    </w:p>
    <w:p>
      <w:pPr>
        <w:pStyle w:val="ListParagraph"/>
        <w:numPr>
          <w:ilvl w:val="0"/>
          <w:numId w:val="2"/>
        </w:numPr>
        <w:spacing w:after="60"/>
      </w:pPr>
      <w:r>
        <w:t xml:space="preserve">Geen onbegrensde agent met vrije tooltoegang. Als tools komen, dan met harde plafonds op reads, tokens, gewijzigde bestanden en pogingen.</w:t>
      </w:r>
    </w:p>
    <w:p>
      <w:pPr>
        <w:pStyle w:val="ListParagraph"/>
        <w:numPr>
          <w:ilvl w:val="0"/>
          <w:numId w:val="2"/>
        </w:numPr>
        <w:spacing w:after="60"/>
      </w:pPr>
      <w:r>
        <w:t xml:space="preserve">Geen raad die CI, tests, mergeregels of risicoclassificatie kan overrulen. Deterministische poorten blijven soeverein.</w:t>
      </w:r>
    </w:p>
    <w:p>
      <w:pPr>
        <w:pStyle w:val="ListParagraph"/>
        <w:numPr>
          <w:ilvl w:val="0"/>
          <w:numId w:val="2"/>
        </w:numPr>
        <w:spacing w:after="60"/>
      </w:pPr>
      <w:r>
        <w:t xml:space="preserve">Geen agent die bestanden onder .github/workflows schrijft. Die grens blijft menselijk beschermd; de eigenaar plakt die wijziging zelf.</w:t>
      </w:r>
    </w:p>
    <w:p>
      <w:pPr>
        <w:pStyle w:val="Heading1"/>
        <w:spacing w:after="160" w:before="360"/>
      </w:pPr>
      <w:r>
        <w:t xml:space="preserve">5. Wat er al vaststaat en niet ter discussie komt</w:t>
      </w:r>
    </w:p>
    <w:p>
      <w:pPr>
        <w:spacing w:after="120"/>
      </w:pPr>
      <w:r>
        <w:t xml:space="preserve">Voor de volledigheid, omdat deze eigenschappen de rest van het ontwerp begrenzen:</w:t>
      </w:r>
    </w:p>
    <w:p>
      <w:pPr>
        <w:pStyle w:val="ListParagraph"/>
        <w:numPr>
          <w:ilvl w:val="0"/>
          <w:numId w:val="2"/>
        </w:numPr>
        <w:spacing w:after="60"/>
      </w:pPr>
      <w:r>
        <w:t xml:space="preserve">Agents raken nooit bestanden op de pc van de eigenaar aan. Alles loopt via een branch en een pull request.</w:t>
      </w:r>
    </w:p>
    <w:p>
      <w:pPr>
        <w:pStyle w:val="ListParagraph"/>
        <w:numPr>
          <w:ilvl w:val="0"/>
          <w:numId w:val="2"/>
        </w:numPr>
        <w:spacing w:after="60"/>
      </w:pPr>
      <w:r>
        <w:t xml:space="preserve">Kosten en tokenverbruik zijn informatief en mogen een missie nooit stoppen, pauzeren of laten falen.</w:t>
      </w:r>
    </w:p>
    <w:p>
      <w:pPr>
        <w:pStyle w:val="ListParagraph"/>
        <w:numPr>
          <w:ilvl w:val="0"/>
          <w:numId w:val="2"/>
        </w:numPr>
        <w:spacing w:after="60"/>
      </w:pPr>
      <w:r>
        <w:t xml:space="preserve">Een missie geldt pas als voltooid wanneer de pull request daadwerkelijk gemerged is.</w:t>
      </w:r>
    </w:p>
    <w:p>
      <w:pPr>
        <w:pStyle w:val="ListParagraph"/>
        <w:numPr>
          <w:ilvl w:val="0"/>
          <w:numId w:val="2"/>
        </w:numPr>
        <w:spacing w:after="60"/>
      </w:pPr>
      <w:r>
        <w:t xml:space="preserve">Een falende CI zet alle succescriteria hard op niet-gehaald, ongeacht wat een model vindt.</w:t>
      </w:r>
    </w:p>
    <w:p>
      <w:pPr>
        <w:pStyle w:val="ListParagraph"/>
        <w:numPr>
          <w:ilvl w:val="0"/>
          <w:numId w:val="2"/>
        </w:numPr>
        <w:spacing w:after="60"/>
      </w:pPr>
      <w:r>
        <w:t xml:space="preserve">Foutcodes zijn machineleesbaar en lopen van de kern tot in de UI door. Nieuwe uitkomsten sluiten daarop aan.</w:t>
      </w:r>
    </w:p>
    <w:p>
      <w:pPr>
        <w:pStyle w:val="Heading1"/>
        <w:spacing w:after="160" w:before="360"/>
      </w:pPr>
      <w:r>
        <w:t xml:space="preserve">6. Hoe we je hierna gebruiken</w:t>
      </w:r>
    </w:p>
    <w:p>
      <w:pPr>
        <w:spacing w:after="120"/>
      </w:pPr>
      <w:r>
        <w:t xml:space="preserve">Je rol verandert van meedenken over het ontwerp naar toetsen van uitvoering. Concreet: bij elke van de stappen 9 tot en met 12 sturen we je de daadwerkelijke diff plus de relevante broncode, en vragen we één ding — probeer aan te tonen dat de wijziging de bijbehorende regressietest niet haalt. Niet of het er goed uitziet, maar of het aantoonbaar werkt.</w:t>
      </w:r>
    </w:p>
    <w:p>
      <w:pPr>
        <w:spacing w:after="120"/>
      </w:pPr>
      <w:r>
        <w:t xml:space="preserve">Dat is precies het patroon dat deze uitwisseling waardevol maakte: jij corrigeerde twee fouten in mijn analyse, en mijn leestoegang tot de broncode bevestigde een bug die jij alleen kon vermoeden. Dat is ook het patroon dat The Dost Council automatiseert — met dit verschil, dat de raad straks alleen nog claims mag maken die hij met gepind bewijs kan onderbouwen.</w:t>
      </w:r>
    </w:p>
    <w:p>
      <w:pPr>
        <w:pBdr>
          <w:bottom w:val="single" w:color="CCCCCC" w:sz="6" w:space="1"/>
        </w:pBdr>
        <w:spacing w:after="200" w:before="120"/>
      </w:pPr>
      <w:r>
        <w:t xml:space="preserve"/>
      </w:r>
    </w:p>
    <w:p>
      <w:pPr>
        <w:spacing w:after="120"/>
      </w:pPr>
      <w:r>
        <w:t xml:space="preserve">Het volledige plan staat vastgelegd in docs/roadmap.md in de repository, samen met de acceptatiecriteria per stap. De vier documenten uit deze uitwisseling staan in dezelfde map en vormen de onderbouwing.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2026-09-04T21:18:38.667Z</dcterms:created>
  <dcterms:modified xsi:type="dcterms:W3CDTF">2026-09-04T21:18:38.687Z</dcterms:modified>
</cp:coreProperties>
</file>

<file path=docProps/custom.xml><?xml version="1.0" encoding="utf-8"?>
<Properties xmlns="http://schemas.openxmlformats.org/officeDocument/2006/custom-properties" xmlns:vt="http://schemas.openxmlformats.org/officeDocument/2006/docPropsVTypes"/>
</file>