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Hermes Agent en The Dost Matrix</w:t>
      </w:r>
    </w:p>
    <w:p>
      <w:pPr>
        <w:spacing w:after="100"/>
      </w:pPr>
      <w:r>
        <w:rPr>
          <w:i/>
          <w:iCs/>
          <w:sz w:val="22"/>
          <w:szCs w:val="22"/>
        </w:rPr>
        <w:t xml:space="preserve">Technisch onderzoeksrapport — toetsing van het ChatGPT-briefingdocument aan de officiële Hermes Agent-documentatie, en vertaling naar de Mission Engine V2-codebase</w:t>
      </w:r>
    </w:p>
    <w:p>
      <w:pPr>
        <w:spacing w:after="400"/>
      </w:pPr>
      <w:r>
        <w:rPr>
          <w:color w:val="666666"/>
          <w:sz w:val="20"/>
          <w:szCs w:val="20"/>
        </w:rPr>
        <w:t xml:space="preserve">3 september 2026</w:t>
      </w:r>
    </w:p>
    <w:p>
      <w:pPr>
        <w:pStyle w:val="Heading1"/>
        <w:spacing w:after="200" w:before="400"/>
      </w:pPr>
      <w:r>
        <w:t xml:space="preserve">1. Kernconclusie</w:t>
      </w:r>
    </w:p>
    <w:p>
      <w:pPr>
        <w:spacing w:after="160"/>
      </w:pPr>
      <w:r>
        <w:t xml:space="preserve">Het document dat je met ChatGPT hebt gemaakt is op de feiten opvallend accuraat: vrijwel elke concrete technische claim (API-endpoints, hooksysteem, ACP, delegatie, geheugenlimieten) is één-op-één terug te vinden in de actuele, officiële Hermes-documentatie, en op een paar punten is de werkelijkheid zelfs rijker dan het document beschrijft. Dat is geen kleine bevinding: het betekent dat de technische basis van het advies klopt, niet dat het een AI-hallucinatie is die toevallig overtuigend klinkt.</w:t>
      </w:r>
    </w:p>
    <w:p>
      <w:pPr>
        <w:spacing w:after="160"/>
      </w:pPr>
      <w:r>
        <w:t xml:space="preserve">Tegelijk verdient de aanbeveling zelf nuance op drie punten die het document zelf niet scherp maakt:</w:t>
      </w:r>
    </w:p>
    <w:p>
      <w:pPr>
        <w:pStyle w:val="ListParagraph"/>
        <w:numPr>
          <w:ilvl w:val="0"/>
          <w:numId w:val="2"/>
        </w:numPr>
        <w:spacing w:after="80"/>
      </w:pPr>
      <w:r>
        <w:t xml:space="preserve">Hermes biedt geen rolgebaseerde tool- of MCP-scoping. De “Matrix allowlists bovenop Hermes” die het document voorstelt, moet Matrix dus volledig zelf bouwen — dit is geen kant-en-klare Hermes-functie waar het document het soms wel voor laat doorgaan.</w:t>
      </w:r>
    </w:p>
    <w:p>
      <w:pPr>
        <w:pStyle w:val="ListParagraph"/>
        <w:numPr>
          <w:ilvl w:val="0"/>
          <w:numId w:val="2"/>
        </w:numPr>
        <w:spacing w:after="80"/>
      </w:pPr>
      <w:r>
        <w:t xml:space="preserve">Nous Research (de bouwer van Hermes) zit midden in een onopgeloste plagiaatbeschuldiging (het zelf-lerende kernontwerp zou zijn overgenomen van een Chinees project, EvoMap/Evolver) en heeft daar publiekelijk weinig inhoudelijk op gereageerd. Dat is geen reden om Hermes uit te sluiten, maar wel een reputatie- en afhankelijkheidsrisico om bewust te wegen.</w:t>
      </w:r>
    </w:p>
    <w:p>
      <w:pPr>
        <w:pStyle w:val="ListParagraph"/>
        <w:numPr>
          <w:ilvl w:val="0"/>
          <w:numId w:val="2"/>
        </w:numPr>
        <w:spacing w:after="80"/>
      </w:pPr>
      <w:r>
        <w:t xml:space="preserve">Onafhankelijke reviews wijzen op reële, terugkerende operationele kosten bij zelf-hosten (orde grootte €500/maand aan infrastructuur + onderhoudstijd) en op het risico dat een autonome agent zonder eigen guardrails onverwacht dure of ongewenste acties onderneemt — precies het type risico waar jij bij Mission Engine V2 al bewust tegen hebt gekozen (“nooit blokkeren op budget, wel altijd zichtbaar maken”).</w:t>
      </w:r>
    </w:p>
    <w:p>
      <w:pPr>
        <w:spacing w:after="160"/>
      </w:pPr>
      <w:r>
        <w:t xml:space="preserve">Advies in één zin: gebruik Hermes niet als vervanging van Mission Engine V2, maar overweeg het op termijn als optionele, uitwisselbare uitvoeringslaag ACHTER een dunne adapter — zodat Matrix's eigen besturing (Director/Builder/QA, risicoclassificatie, PR-gate, Second Brain, kostentracking) intact blijft en niet afhankelijk wordt van één project dat zelf nog volop in ontwikkeling en controverse is. Sectie 6 en 7 werken dit uit.</w:t>
      </w:r>
    </w:p>
    <w:p>
      <w:pPr>
        <w:pBdr>
          <w:bottom w:val="single" w:color="999999" w:sz="6" w:space="1"/>
        </w:pBdr>
        <w:spacing w:after="200" w:before="100"/>
      </w:pPr>
    </w:p>
    <w:p>
      <w:pPr>
        <w:pStyle w:val="Heading1"/>
        <w:spacing w:after="200" w:before="400"/>
      </w:pPr>
      <w:r>
        <w:t xml:space="preserve">2. Wat Hermes Agent daadwerkelijk is (onafhankelijk geverifieerd)</w:t>
      </w:r>
    </w:p>
    <w:p>
      <w:pPr>
        <w:spacing w:after="160"/>
      </w:pPr>
      <w:r>
        <w:t xml:space="preserve">Los van wat het document beweert, heb ik de kernfeiten zelf opnieuw opgezocht:</w:t>
      </w:r>
    </w:p>
    <w:p>
      <w:pPr>
        <w:pStyle w:val="ListParagraph"/>
        <w:numPr>
          <w:ilvl w:val="0"/>
          <w:numId w:val="2"/>
        </w:numPr>
        <w:spacing w:after="80"/>
      </w:pPr>
      <w:r>
        <w:t xml:space="preserve">Actief en groot: het NousResearch/hermes-agent-repository staat op ongeveer 235.000 GitHub-sterren en tienduizenden forks, met doorlopende commits — dit is geen slapend side-project.</w:t>
      </w:r>
    </w:p>
    <w:p>
      <w:pPr>
        <w:pStyle w:val="ListParagraph"/>
        <w:numPr>
          <w:ilvl w:val="0"/>
          <w:numId w:val="2"/>
        </w:numPr>
        <w:spacing w:after="80"/>
      </w:pPr>
      <w:r>
        <w:t xml:space="preserve">Serieus gefinancierd: Nous Research zit (juli 2026) in gesprek over een nieuwe financieringsronde van circa $75 miljoen bij een waardering van $1,5 miljard, specifiek gedreven door de aandacht voor Hermes Agent (TechCrunch en meerdere andere bronnen bevestigen dit onafhankelijk van elkaar).</w:t>
      </w:r>
    </w:p>
    <w:p>
      <w:pPr>
        <w:pStyle w:val="ListParagraph"/>
        <w:numPr>
          <w:ilvl w:val="0"/>
          <w:numId w:val="2"/>
        </w:numPr>
        <w:spacing w:after="80"/>
      </w:pPr>
      <w:r>
        <w:t xml:space="preserve">MIT-licentie: vrij te gebruiken, aan te passen en commercieel in te zetten, zonder copyleft-verplichtingen — geen juridische belemmering om het als bouwsteen te gebruiken.</w:t>
      </w:r>
    </w:p>
    <w:p>
      <w:pPr>
        <w:spacing w:after="160"/>
      </w:pPr>
      <w:r>
        <w:rPr>
          <w:b/>
          <w:bCs/>
        </w:rPr>
        <w:t xml:space="preserve">Maar: </w:t>
      </w:r>
      <w:r>
        <w:t xml:space="preserve">er loopt een onopgeloste, publieke plagiaatbeschuldiging. Het Chinese team EvoMap publiceerde op 1 februari 2026 hun “Evolver” zelf-evolutie-engine; ongeveer 36 dagen later verscheen Hermes' eigen zelf-evolutiemodule met (volgens de aanklacht) een identieke 10-staps hoofdlus, hetzelfde drielaags geheugensysteem en systematisch vervangen terminologie. Nous Research reageerde met “Our repo was created in July 2025. We are pioneers. Delete your account” en blokkeerde de aanklager, zonder inhoudelijke weerlegging van de architecturale vergelijking. De zaak is niet opgelost en leeft nog op Hacker News en in Chinese techmedia.</w:t>
      </w:r>
    </w:p>
    <w:p>
      <w:pPr>
        <w:spacing w:after="160"/>
      </w:pPr>
      <w:r>
        <w:rPr>
          <w:b/>
          <w:bCs/>
        </w:rPr>
        <w:t xml:space="preserve">En: </w:t>
      </w:r>
      <w:r>
        <w:t xml:space="preserve">onafhankelijke reviews (o.a. eesel.ai, april/2026) zijn positief over de kern (“eerlijke” zelf-verbetering via herbruikbare skills, brede platformintegratie, doordachte cron-veiligheden) maar wijzen ook op een trage/instabiele CLI, een hard begrensd geheugen (zie §3) en reële maandelijkse kosten bij zelf-hosten (orde grootte ≈€500, waarvan het grootste deel onderhoudstijd, niet infrastructuur). De community-consensus is expliciet: geef een autonome agent nooit vrije toegang tot alles — draai hem gesandboxed.</w:t>
      </w:r>
    </w:p>
    <w:p>
      <w:pPr>
        <w:pBdr>
          <w:bottom w:val="single" w:color="999999" w:sz="6" w:space="1"/>
        </w:pBdr>
        <w:spacing w:after="200" w:before="100"/>
      </w:pPr>
    </w:p>
    <w:p>
      <w:pPr>
        <w:pStyle w:val="Heading1"/>
        <w:spacing w:after="200" w:before="400"/>
      </w:pPr>
      <w:r>
        <w:t xml:space="preserve">3. Het document getoetst aan de officiële documentatie</w:t>
      </w:r>
    </w:p>
    <w:p>
      <w:pPr>
        <w:spacing w:after="160"/>
      </w:pPr>
      <w:r>
        <w:t xml:space="preserve">Voor elk technisch onderdeel dat het document noemt, heb ik de bijbehorende officiële Hermes-documentatiepagina (of, waar het document een pagina noemde die niet bleek te bestaan onder die naam, de daadwerkelijke pagina) zelf opgehaald en gelezen. Samengevat per onderdeel:</w:t>
      </w:r>
    </w:p>
    <w:p>
      <w:pPr>
        <w:pStyle w:val="Heading2"/>
        <w:spacing w:after="150" w:before="300"/>
      </w:pPr>
      <w:r>
        <w:t xml:space="preserve">3.1 API &amp; “Matrix Runtime Contract”</w:t>
      </w:r>
    </w:p>
    <w:p>
      <w:pPr>
        <w:spacing w:after="160"/>
      </w:pPr>
      <w:r>
        <w:t xml:space="preserve">Het document stelt voor dat Matrix een eigen, provider-onafhankelijke “Runtime Contract” definieert (start_run, stream_events, approve, steer, stop, get_result, invoke_specialist, load_skill/version_skill) die nauw aansluit op Hermes' eigen API. Dit klopt: Hermes publiceert een gedocumenteerde OpenAI-compatibele API plus een aparte set asynchrone “runs”-endpoints die vrijwel 1-op-1 op dit voorstel passen. Oordeel: geverifieerd, accuraat.</w:t>
      </w:r>
    </w:p>
    <w:p>
      <w:pPr>
        <w:pStyle w:val="Heading2"/>
        <w:spacing w:after="150" w:before="300"/>
      </w:pPr>
      <w:r>
        <w:t xml:space="preserve">3.2 Hooksysteem</w:t>
      </w:r>
    </w:p>
    <w:p>
      <w:pPr>
        <w:spacing w:after="160"/>
      </w:pPr>
      <w:r>
        <w:t xml:space="preserve">Het document behandelt “hooks/plugins” als één geheel. De werkelijkheid is fijnmaziger: Hermes kent vier onderscheiden hook-lagen (gateway-, plugin-, shell- en uitgaande webhook-hooks) met expliciete block/modify/transform/observe-semantiek en fail-closed timeouts. Oordeel: het document versimpelt hier, maar niet onjuist — de werkelijkheid is preciezer en krachtiger dan beschreven, wat gunstig is voor Matrix (meer aanknopingspunten om een eigen policy-laag op te hangen, zie §5).</w:t>
      </w:r>
    </w:p>
    <w:p>
      <w:pPr>
        <w:pStyle w:val="Heading2"/>
        <w:spacing w:after="150" w:before="300"/>
      </w:pPr>
      <w:r>
        <w:t xml:space="preserve">3.3 ACP (editor-integratie)</w:t>
      </w:r>
    </w:p>
    <w:p>
      <w:pPr>
        <w:spacing w:after="160"/>
      </w:pPr>
      <w:r>
        <w:t xml:space="preserve">Hermes kan als Agent Client Protocol-server draaien voor integratie met VS Code, Zed, JetBrains en Buzz. Oordeel: geverifieerd, klopt letterlijk.</w:t>
      </w:r>
    </w:p>
    <w:p>
      <w:pPr>
        <w:pStyle w:val="Heading2"/>
        <w:spacing w:after="150" w:before="300"/>
      </w:pPr>
      <w:r>
        <w:t xml:space="preserve">3.4 Delegatie &amp; subagents</w:t>
      </w:r>
    </w:p>
    <w:p>
      <w:pPr>
        <w:spacing w:after="160"/>
      </w:pPr>
      <w:r>
        <w:t xml:space="preserve">Subagents zijn geïsoleerd, niet-duurzaam (geen eigen gespreksgeschiedenis) en standaard beperkt tot delegatiediepte 1. Oordeel: geverifieerd. Dit is relevant voor Matrix: het beperkt hoe diep een Hermes-gebaseerde Builder/QA-keten zelf weer zou kunnen delegeren zonder aanpassing.</w:t>
      </w:r>
    </w:p>
    <w:p>
      <w:pPr>
        <w:pStyle w:val="Heading2"/>
        <w:spacing w:after="150" w:before="300"/>
      </w:pPr>
      <w:r>
        <w:t xml:space="preserve">3.5 Bot Mode</w:t>
      </w:r>
    </w:p>
    <w:p>
      <w:pPr>
        <w:spacing w:after="160"/>
      </w:pPr>
      <w:r>
        <w:t xml:space="preserve">Persistente, benoemde profielen met eigen model/geheugen/skills/credentials, onderlinge communicatie via @mention en message_agent, groepschats begrensd op 3 rondes/10 berichten, routines/cron — maar expliciet géén admin-console, SSO, audit-log of beleidslaag. Oordeel: geverifieerd, en dit bevestigde gat (geen bestuurslaag) is direct relevant: precies dat is wat Matrix's eigen Control Plane (rollen/beleid/audit) zou moeten blijven leveren, niet Hermes.</w:t>
      </w:r>
    </w:p>
    <w:p>
      <w:pPr>
        <w:pStyle w:val="Heading2"/>
        <w:spacing w:after="150" w:before="300"/>
      </w:pPr>
      <w:r>
        <w:t xml:space="preserve">3.6 Geheugen: MEMORY.md, USER.md, session_search — en externe memory-providers</w:t>
      </w:r>
    </w:p>
    <w:p>
      <w:pPr>
        <w:spacing w:after="160"/>
      </w:pPr>
      <w:r>
        <w:t xml:space="preserve">Het document noemt de basis correct: MEMORY.md (max. 2.200 tekens) en USER.md (max. 1.375 tekens), beide als bevroren system-prompt-snapshot geïnjecteerd, plus een aparte onbegrensde volltekst-“session_search” over alle eerdere sessies. Wat het document niet noemt — en wat de werkelijkheid réél uitbreidt — is dat Hermes daarnaast acht externe geheugenprovider-plugins ondersteunt (Honcho, OpenViking, Mem0, Hindsight, Holographic, RetainDB, ByteRover, Supermemory), waarbij precies één tegelijk actief kan zijn, additief bovenop het ingebouwde MEMORY.md/USER.md-systeem, met automatische prompt-injectie, prefetch en profielisolatie. Oordeel: het document onderschat hier de rijkdom van het geheugensysteem — dit is een sterker aanknopingspunt voor Matrix's Second Brain-koppeling dan het document suggereert (zie §5).</w:t>
      </w:r>
    </w:p>
    <w:p>
      <w:pPr>
        <w:pStyle w:val="Heading2"/>
        <w:spacing w:after="150" w:before="300"/>
      </w:pPr>
      <w:r>
        <w:t xml:space="preserve">3.7 Tools &amp; MCP — de twee bevestigde gaten</w:t>
      </w:r>
    </w:p>
    <w:p>
      <w:pPr>
        <w:spacing w:after="160"/>
      </w:pPr>
      <w:r>
        <w:rPr>
          <w:b/>
          <w:bCs/>
        </w:rPr>
        <w:t xml:space="preserve">Dit is de belangrijkste correctie op het document. </w:t>
      </w:r>
      <w:r>
        <w:t xml:space="preserve">Het document stelt voor dat Matrix “allowlists en beleid bovenop Hermes/MCP” bouwt, op een manier die soms suggereert dat dit een kwestie van configuratie binnen Hermes zelf is. De officiële documentatie is op dit punt expliciet en ondubbelzinnig:</w:t>
      </w:r>
    </w:p>
    <w:p>
      <w:pPr>
        <w:pStyle w:val="ListParagraph"/>
        <w:numPr>
          <w:ilvl w:val="0"/>
          <w:numId w:val="2"/>
        </w:numPr>
        <w:spacing w:after="80"/>
      </w:pPr>
      <w:r>
        <w:t xml:space="preserve">Tools: geen rolgebaseerde of per-profiel toolautorisatie. Alleen scoping op sessie- of platformniveau bestaat.</w:t>
      </w:r>
    </w:p>
    <w:p>
      <w:pPr>
        <w:pStyle w:val="ListParagraph"/>
        <w:numPr>
          <w:ilvl w:val="0"/>
          <w:numId w:val="2"/>
        </w:numPr>
        <w:spacing w:after="80"/>
      </w:pPr>
      <w:r>
        <w:t xml:space="preserve">MCP: letterlijk “MCP access scoping by role or user profile is not supported in the current implementation.” Auto-discovery van tools per MCP-server werkt wel, met alleen per-server include/exclude-filters — niet per rol of gebruiker.</w:t>
      </w:r>
    </w:p>
    <w:p>
      <w:pPr>
        <w:spacing w:after="160"/>
      </w:pPr>
      <w:r>
        <w:t xml:space="preserve">Oordeel: dit moet Matrix dus volledig zelf bouwen — het is geen “gratis” Hermes-functie zoals het document impliceert. De haakingsmogelijkheid is er wel (met name de pre_tool_call-hook, zie §3.2), maar de beleidslaag zelf (wie mag welke tool/welke MCP-server aanroepen) bestaat nergens in Hermes en zou een eigen Matrix-component moeten worden, functioneel gelijk aan wat vandaag al impliciet in Mission Engine V2's rolstructuur (Director/Builder/QA) besloten ligt.</w:t>
      </w:r>
    </w:p>
    <w:p>
      <w:pPr>
        <w:pStyle w:val="Heading2"/>
        <w:spacing w:after="150" w:before="300"/>
      </w:pPr>
      <w:r>
        <w:t xml:space="preserve">3.8 Plugins</w:t>
      </w:r>
    </w:p>
    <w:p>
      <w:pPr>
        <w:spacing w:after="160"/>
      </w:pPr>
      <w:r>
        <w:t xml:space="preserve">Plugins zijn in-process Python-code (in tegenstelling tot MCP-servers, die externe processen zijn) die hooks, tools en commando's registreren. Standaard staat een plugin éérst uit; installatie triggert een statische veiligheidsscan (exfiltratie, reverse shells, obfuscatie, persistentiepatronen) en privileged capabilities (zoals tools.override of llm.model_override) vragen expliciete toestemming. De documentatie is zelf eerlijk over de grens hiervan: “Not a sandbox — plugins run as regular in-process Python: a malicious plugin can ignore every gate here.” Oordeel: dit onderdeel stond niet expliciet in het document, maar is relevant voor §6 (vertrouwen/toeleveringsketen-risico).</w:t>
      </w:r>
    </w:p>
    <w:p>
      <w:pPr>
        <w:pStyle w:val="Heading2"/>
        <w:spacing w:after="150" w:before="300"/>
      </w:pPr>
      <w:r>
        <w:t xml:space="preserve">3.9 Provider-routing &amp; fallback</w:t>
      </w:r>
    </w:p>
    <w:p>
      <w:pPr>
        <w:spacing w:after="160"/>
      </w:pPr>
      <w:r>
        <w:t xml:space="preserve">Twee gescheiden mechanismen, beide bevestigd: (1) provider-routing werkt alleen via aggregators zoals OpenRouter/Nous Portal (sorteren op prijs/doorvoer/latency, whitelist/blacklist, expliciete volgorde) en heeft geen effect bij directe providerverbindingen zoals rechtstreeks Anthropic; (2) fallback-providers schakelen bij fouten (rate limits, serverfouten, auth-fouten) automatisch naar een backup-model, per beurt opnieuw begonnen met het primaire model. Belangrijke bijvangst: providerwissel breekt promptcaching, waardoor de eerstvolgende aanroep tegen het volle, ongecachte tarief wordt afgerekend — een reëel, door Hermes zelf gedocumenteerd kostenrisico bij falen-over.</w:t>
      </w:r>
    </w:p>
    <w:p>
      <w:pPr>
        <w:pStyle w:val="Heading2"/>
        <w:spacing w:after="150" w:before="300"/>
      </w:pPr>
      <w:r>
        <w:t xml:space="preserve">3.10 Agent-loop interne werking</w:t>
      </w:r>
    </w:p>
    <w:p>
      <w:pPr>
        <w:spacing w:after="160"/>
      </w:pPr>
      <w:r>
        <w:t xml:space="preserve">Bevestigd: standaard iteratiebudget van 500 stappen per hoofdagent (configureerbaar), subagents beperkt tot 50; bij meerdere gelijktijdige tool-calls parallelle uitvoering via een threadpool (behalve interactieve tools, die sequentieel blijven); vier callback-hooks (tool_progress, reasoning, step, status) als uitbreidingspunten. Dit iteratiebudget is functioneel vergelijkbaar met wat Mission Engine V2 vandaag al doet via zijn eigen state machine en verification-laag, maar dan op agent-loopniveau in plaats van op missieniveau.</w:t>
      </w:r>
    </w:p>
    <w:p>
      <w:pPr>
        <w:pStyle w:val="Heading2"/>
        <w:spacing w:after="150" w:before="300"/>
      </w:pPr>
      <w:r>
        <w:t xml:space="preserve">3.11 Beveiligingsmodel</w:t>
      </w:r>
    </w:p>
    <w:p>
      <w:pPr>
        <w:spacing w:after="160"/>
      </w:pPr>
      <w:r>
        <w:t xml:space="preserve">Het document noemt acht verdedigingslagen (auth, drietraps dangerous-command-goedkeuring met een niet-overschrijfbare hardline-blocklist, preventieve bestandsschrijfblokkade op gevoelige paden, Docker-capability-dropping, MCP env-var-filtering, prompt-injectiescanning, sessie-isolatie, invoersanitatie). Elk van deze acht is teruggevonden in de officiële documentatie. Oordeel: geverifieerd, accuraat en — in combinatie met de plugin-veiligheidsscan uit §3.8 — zelfs iets uitgebreider dan het document beschrijft.</w:t>
      </w:r>
    </w:p>
    <w:p>
      <w:pPr>
        <w:pBdr>
          <w:bottom w:val="single" w:color="999999" w:sz="6" w:space="1"/>
        </w:pBdr>
        <w:spacing w:after="200" w:before="100"/>
      </w:pPr>
    </w:p>
    <w:p>
      <w:pPr>
        <w:pStyle w:val="Heading1"/>
        <w:spacing w:after="200" w:before="400"/>
      </w:pPr>
      <w:r>
        <w:t xml:space="preserve">4. Balans: waar het document gelijk had, en waar niet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900"/>
      </w:tblGrid>
      <w:tr>
        <w:tc>
          <w:tcPr>
            <w:tcW w:type="dxa" w:w="2600"/>
            <w:shd w:fill="DDE6F0" w:color="auto" w:val="clear"/>
          </w:tcPr>
          <w:p>
            <w:r>
              <w:rPr>
                <w:b/>
                <w:bCs/>
                <w:sz w:val="19"/>
                <w:szCs w:val="19"/>
              </w:rPr>
              <w:t xml:space="preserve">Onderdeel</w:t>
            </w:r>
          </w:p>
        </w:tc>
        <w:tc>
          <w:tcPr>
            <w:tcW w:type="dxa" w:w="3300"/>
            <w:shd w:fill="DDE6F0" w:color="auto" w:val="clear"/>
          </w:tcPr>
          <w:p>
            <w:r>
              <w:rPr>
                <w:b/>
                <w:bCs/>
                <w:sz w:val="19"/>
                <w:szCs w:val="19"/>
              </w:rPr>
              <w:t xml:space="preserve">Document</w:t>
            </w:r>
          </w:p>
        </w:tc>
        <w:tc>
          <w:tcPr>
            <w:tcW w:type="dxa" w:w="3900"/>
            <w:shd w:fill="DDE6F0" w:color="auto" w:val="clear"/>
          </w:tcPr>
          <w:p>
            <w:r>
              <w:rPr>
                <w:b/>
                <w:bCs/>
                <w:sz w:val="19"/>
                <w:szCs w:val="19"/>
              </w:rPr>
              <w:t xml:space="preserve">Werkelijkheid</w:t>
            </w:r>
          </w:p>
        </w:tc>
      </w:tr>
      <w:tr>
        <w:tc>
          <w:tcPr>
            <w:tcW w:type="dxa" w:w="2600"/>
          </w:tcPr>
          <w:p>
            <w:r>
              <w:rPr>
                <w:b w:val="false"/>
                <w:bCs w:val="false"/>
                <w:sz w:val="19"/>
                <w:szCs w:val="19"/>
              </w:rPr>
              <w:t xml:space="preserve">API/Runtime Contract</w:t>
            </w:r>
          </w:p>
        </w:tc>
        <w:tc>
          <w:tcPr>
            <w:tcW w:type="dxa" w:w="3300"/>
          </w:tcPr>
          <w:p>
            <w:r>
              <w:rPr>
                <w:b w:val="false"/>
                <w:bCs w:val="false"/>
                <w:sz w:val="19"/>
                <w:szCs w:val="19"/>
              </w:rPr>
              <w:t xml:space="preserve">Accuraat voorgesteld</w:t>
            </w:r>
          </w:p>
        </w:tc>
        <w:tc>
          <w:tcPr>
            <w:tcW w:type="dxa" w:w="3900"/>
          </w:tcPr>
          <w:p>
            <w:r>
              <w:rPr>
                <w:b w:val="false"/>
                <w:bCs w:val="false"/>
                <w:sz w:val="19"/>
                <w:szCs w:val="19"/>
              </w:rPr>
              <w:t xml:space="preserve">Bevestigd, endpoints kloppen letterlijk</w:t>
            </w:r>
          </w:p>
        </w:tc>
      </w:tr>
      <w:tr>
        <w:tc>
          <w:tcPr>
            <w:tcW w:type="dxa" w:w="2600"/>
          </w:tcPr>
          <w:p>
            <w:r>
              <w:rPr>
                <w:b w:val="false"/>
                <w:bCs w:val="false"/>
                <w:sz w:val="19"/>
                <w:szCs w:val="19"/>
              </w:rPr>
              <w:t xml:space="preserve">Hooksysteem</w:t>
            </w:r>
          </w:p>
        </w:tc>
        <w:tc>
          <w:tcPr>
            <w:tcW w:type="dxa" w:w="3300"/>
          </w:tcPr>
          <w:p>
            <w:r>
              <w:rPr>
                <w:b w:val="false"/>
                <w:bCs w:val="false"/>
                <w:sz w:val="19"/>
                <w:szCs w:val="19"/>
              </w:rPr>
              <w:t xml:space="preserve">Versimpeld tot één laag</w:t>
            </w:r>
          </w:p>
        </w:tc>
        <w:tc>
          <w:tcPr>
            <w:tcW w:type="dxa" w:w="3900"/>
          </w:tcPr>
          <w:p>
            <w:r>
              <w:rPr>
                <w:b w:val="false"/>
                <w:bCs w:val="false"/>
                <w:sz w:val="19"/>
                <w:szCs w:val="19"/>
              </w:rPr>
              <w:t xml:space="preserve">Vier gescheiden hooklagen — rijker dan beschreven</w:t>
            </w:r>
          </w:p>
        </w:tc>
      </w:tr>
      <w:tr>
        <w:tc>
          <w:tcPr>
            <w:tcW w:type="dxa" w:w="2600"/>
          </w:tcPr>
          <w:p>
            <w:r>
              <w:rPr>
                <w:b w:val="false"/>
                <w:bCs w:val="false"/>
                <w:sz w:val="19"/>
                <w:szCs w:val="19"/>
              </w:rPr>
              <w:t xml:space="preserve">Geheugen</w:t>
            </w:r>
          </w:p>
        </w:tc>
        <w:tc>
          <w:tcPr>
            <w:tcW w:type="dxa" w:w="3300"/>
          </w:tcPr>
          <w:p>
            <w:r>
              <w:rPr>
                <w:b w:val="false"/>
                <w:bCs w:val="false"/>
                <w:sz w:val="19"/>
                <w:szCs w:val="19"/>
              </w:rPr>
              <w:t xml:space="preserve">Basis correct beschreven</w:t>
            </w:r>
          </w:p>
        </w:tc>
        <w:tc>
          <w:tcPr>
            <w:tcW w:type="dxa" w:w="3900"/>
          </w:tcPr>
          <w:p>
            <w:r>
              <w:rPr>
                <w:b w:val="false"/>
                <w:bCs w:val="false"/>
                <w:sz w:val="19"/>
                <w:szCs w:val="19"/>
              </w:rPr>
              <w:t xml:space="preserve">8 externe memory-providers niet genoemd — rijker dan beschreven</w:t>
            </w:r>
          </w:p>
        </w:tc>
      </w:tr>
      <w:tr>
        <w:tc>
          <w:tcPr>
            <w:tcW w:type="dxa" w:w="2600"/>
          </w:tcPr>
          <w:p>
            <w:r>
              <w:rPr>
                <w:b w:val="false"/>
                <w:bCs w:val="false"/>
                <w:sz w:val="19"/>
                <w:szCs w:val="19"/>
              </w:rPr>
              <w:t xml:space="preserve">Tool-/MCP-scoping per rol</w:t>
            </w:r>
          </w:p>
        </w:tc>
        <w:tc>
          <w:tcPr>
            <w:tcW w:type="dxa" w:w="3300"/>
          </w:tcPr>
          <w:p>
            <w:r>
              <w:rPr>
                <w:b w:val="false"/>
                <w:bCs w:val="false"/>
                <w:sz w:val="19"/>
                <w:szCs w:val="19"/>
              </w:rPr>
              <w:t xml:space="preserve">Impliceert dat Matrix dit ‘bovenop’ kan configureren</w:t>
            </w:r>
          </w:p>
        </w:tc>
        <w:tc>
          <w:tcPr>
            <w:tcW w:type="dxa" w:w="3900"/>
          </w:tcPr>
          <w:p>
            <w:r>
              <w:rPr>
                <w:b w:val="false"/>
                <w:bCs w:val="false"/>
                <w:sz w:val="19"/>
                <w:szCs w:val="19"/>
              </w:rPr>
              <w:t xml:space="preserve">Bestaat nergens in Hermes — moet Matrix volledig zelf bouwen</w:t>
            </w:r>
          </w:p>
        </w:tc>
      </w:tr>
      <w:tr>
        <w:tc>
          <w:tcPr>
            <w:tcW w:type="dxa" w:w="2600"/>
          </w:tcPr>
          <w:p>
            <w:r>
              <w:rPr>
                <w:b w:val="false"/>
                <w:bCs w:val="false"/>
                <w:sz w:val="19"/>
                <w:szCs w:val="19"/>
              </w:rPr>
              <w:t xml:space="preserve">Plagiaatcontroverse</w:t>
            </w:r>
          </w:p>
        </w:tc>
        <w:tc>
          <w:tcPr>
            <w:tcW w:type="dxa" w:w="3300"/>
          </w:tcPr>
          <w:p>
            <w:r>
              <w:rPr>
                <w:b w:val="false"/>
                <w:bCs w:val="false"/>
                <w:sz w:val="19"/>
                <w:szCs w:val="19"/>
              </w:rPr>
              <w:t xml:space="preserve">Niet genoemd</w:t>
            </w:r>
          </w:p>
        </w:tc>
        <w:tc>
          <w:tcPr>
            <w:tcW w:type="dxa" w:w="3900"/>
          </w:tcPr>
          <w:p>
            <w:r>
              <w:rPr>
                <w:b w:val="false"/>
                <w:bCs w:val="false"/>
                <w:sz w:val="19"/>
                <w:szCs w:val="19"/>
              </w:rPr>
              <w:t xml:space="preserve">Reëel, onopgelost, publiek zichtbaar risico</w:t>
            </w:r>
          </w:p>
        </w:tc>
      </w:tr>
      <w:tr>
        <w:tc>
          <w:tcPr>
            <w:tcW w:type="dxa" w:w="2600"/>
          </w:tcPr>
          <w:p>
            <w:r>
              <w:rPr>
                <w:b w:val="false"/>
                <w:bCs w:val="false"/>
                <w:sz w:val="19"/>
                <w:szCs w:val="19"/>
              </w:rPr>
              <w:t xml:space="preserve">Operationele kosten zelf-hosten</w:t>
            </w:r>
          </w:p>
        </w:tc>
        <w:tc>
          <w:tcPr>
            <w:tcW w:type="dxa" w:w="3300"/>
          </w:tcPr>
          <w:p>
            <w:r>
              <w:rPr>
                <w:b w:val="false"/>
                <w:bCs w:val="false"/>
                <w:sz w:val="19"/>
                <w:szCs w:val="19"/>
              </w:rPr>
              <w:t xml:space="preserve">Niet genoemd</w:t>
            </w:r>
          </w:p>
        </w:tc>
        <w:tc>
          <w:tcPr>
            <w:tcW w:type="dxa" w:w="3900"/>
          </w:tcPr>
          <w:p>
            <w:r>
              <w:rPr>
                <w:b w:val="false"/>
                <w:bCs w:val="false"/>
                <w:sz w:val="19"/>
                <w:szCs w:val="19"/>
              </w:rPr>
              <w:t xml:space="preserve">Reviews melden ≈€500/maand, vooral onderhoudstijd</w:t>
            </w:r>
          </w:p>
        </w:tc>
      </w:tr>
    </w:tbl>
    <w:p>
      <w:pPr>
        <w:spacing w:after="200"/>
      </w:pPr>
    </w:p>
    <w:p>
      <w:pPr>
        <w:pBdr>
          <w:bottom w:val="single" w:color="999999" w:sz="6" w:space="1"/>
        </w:pBdr>
        <w:spacing w:after="200" w:before="100"/>
      </w:pPr>
    </w:p>
    <w:p>
      <w:pPr>
        <w:pStyle w:val="Heading1"/>
        <w:spacing w:after="200" w:before="400"/>
      </w:pPr>
      <w:r>
        <w:t xml:space="preserve">5. Vertaling naar de Dost Matrix-codebase zoals die nu is</w:t>
      </w:r>
    </w:p>
    <w:p>
      <w:pPr>
        <w:spacing w:after="160"/>
      </w:pPr>
      <w:r>
        <w:t xml:space="preserve">Dit is geen abstracte architectuuroefening — Mission Engine V2 bestaat al en heeft vandaag al een groot deel van wat het document als “nieuw te bouwen” voorstelt:</w:t>
      </w:r>
    </w:p>
    <w:p>
      <w:pPr>
        <w:pStyle w:val="Heading2"/>
        <w:spacing w:after="150" w:before="300"/>
      </w:pPr>
      <w:r>
        <w:t xml:space="preserve">5.1 Wat er al staat</w:t>
      </w:r>
    </w:p>
    <w:p>
      <w:pPr>
        <w:pStyle w:val="ListParagraph"/>
        <w:numPr>
          <w:ilvl w:val="0"/>
          <w:numId w:val="2"/>
        </w:numPr>
        <w:spacing w:after="80"/>
      </w:pPr>
      <w:r>
        <w:t xml:space="preserve">engine.ts / state-machine.ts — de kern state machine die een missie door zijn levenscyclus stuurt; functioneel dus al een eigen “Control Plane”-kern (het document's L4), losstaand van welk LLM-runtime er ook onder ligt.</w:t>
      </w:r>
    </w:p>
    <w:p>
      <w:pPr>
        <w:pStyle w:val="ListParagraph"/>
        <w:numPr>
          <w:ilvl w:val="0"/>
          <w:numId w:val="2"/>
        </w:numPr>
        <w:spacing w:after="80"/>
      </w:pPr>
      <w:r>
        <w:t xml:space="preserve">director-runtime.ts, builder-runtime.ts, qa-runtime.ts, role-runtime.ts — exact de Director/Builder/Verifier-rolverdeling die het document als “Matrix Workforce Layer” (L2) beschrijft — alleen dan al draaiend op jullie eigen LLM-provider-abstractie (src/core/llm), niet op Hermes.</w:t>
      </w:r>
    </w:p>
    <w:p>
      <w:pPr>
        <w:pStyle w:val="ListParagraph"/>
        <w:numPr>
          <w:ilvl w:val="0"/>
          <w:numId w:val="2"/>
        </w:numPr>
        <w:spacing w:after="80"/>
      </w:pPr>
      <w:r>
        <w:t xml:space="preserve">risk-classification.ts + github/github-client.ts — de risicoclassificatie- en PR-gate-pijplijn die eerder deze sessie is uitgebreid met een CI-statuscontrole; dit is een stuk beleidslogica dat in het document's model in L4 (Control Plane / approval policy) zou horen, en dat vandaag al werkt, specifiek toegesneden op jullie eigen GitHub-workflow.</w:t>
      </w:r>
    </w:p>
    <w:p>
      <w:pPr>
        <w:pStyle w:val="ListParagraph"/>
        <w:numPr>
          <w:ilvl w:val="0"/>
          <w:numId w:val="2"/>
        </w:numPr>
        <w:spacing w:after="80"/>
      </w:pPr>
      <w:r>
        <w:t xml:space="preserve">mission-knowledge.ts + knowledge-entry.ts — de Second Brain-leerlus die deze sessie is afgerond (stap 1 van de roadmap): missie-uitkomsten worden via een LLM omgezet in kennisvoorstellen die altijd eerst door een mens worden goedgekeurd. Dit is exact het soort L3 “Knowledge Layer” dat het document voorstelt, en het bestaat al, zonder Hermes.</w:t>
      </w:r>
    </w:p>
    <w:p>
      <w:pPr>
        <w:pStyle w:val="ListParagraph"/>
        <w:numPr>
          <w:ilvl w:val="0"/>
          <w:numId w:val="2"/>
        </w:numPr>
        <w:spacing w:after="80"/>
      </w:pPr>
      <w:r>
        <w:t xml:space="preserve">pricing.ts, usage-tracker.ts — de zojuist gebouwde, echte kostentracking (stap 2), bewust puur informatief en nooit blokkerend — jullie eigen antwoord op precies het kostenrisico dat de Hermes-reviews signaleren, maar dan safer by design.</w:t>
      </w:r>
    </w:p>
    <w:p>
      <w:pPr>
        <w:pStyle w:val="Heading2"/>
        <w:spacing w:after="150" w:before="300"/>
      </w:pPr>
      <w:r>
        <w:t xml:space="preserve">5.2 Waar Hermes daadwerkelijk zou kunnen passen</w:t>
      </w:r>
    </w:p>
    <w:p>
      <w:pPr>
        <w:spacing w:after="160"/>
      </w:pPr>
      <w:r>
        <w:t xml:space="preserve">Als L0/L1 in het document's model: de daadwerkelijke LLM-agent-“motor” onder één rol (bijvoorbeeld Builder), achter een dunne adapter die alleen Hermes' gedocumenteerde API/ACP-oppervlak aanroept. Concreet voordeel: Hermes' bredere toolset (browser, terminal, vision, code-exec) en zijn actief onderhouden multi-provider-laag (70+ providers, fallback, provider-routing) zou een deel van src/core/llm en de tool-executielaag in builder-runtime.ts kunnen vervangen óf aanvullen, zonder dat Director/QA/risk-classification/knowledge/kostentracking hoeven te veranderen — die blijven Matrix's eigen laag, bovenop de adapter.</w:t>
      </w:r>
    </w:p>
    <w:p>
      <w:pPr>
        <w:pStyle w:val="Heading2"/>
        <w:spacing w:after="150" w:before="300"/>
      </w:pPr>
      <w:r>
        <w:t xml:space="preserve">5.3 Wat Matrix nooit aan Hermes zou moeten uitbesteden</w:t>
      </w:r>
    </w:p>
    <w:p>
      <w:pPr>
        <w:pStyle w:val="ListParagraph"/>
        <w:numPr>
          <w:ilvl w:val="0"/>
          <w:numId w:val="2"/>
        </w:numPr>
        <w:spacing w:after="80"/>
      </w:pPr>
      <w:r>
        <w:t xml:space="preserve">De rol-/beleidslaag zelf (wie mag wat) — zie §3.7: bestaat niet in Hermes, moet eigen Matrix-code blijven (natuurlijke plek: een nieuwe module naast risk-classification.ts, die inhaakt op Hermes' pre_tool_call-hook áls voor Hermes wordt gekozen).</w:t>
      </w:r>
    </w:p>
    <w:p>
      <w:pPr>
        <w:pStyle w:val="ListParagraph"/>
        <w:numPr>
          <w:ilvl w:val="0"/>
          <w:numId w:val="2"/>
        </w:numPr>
        <w:spacing w:after="80"/>
      </w:pPr>
      <w:r>
        <w:t xml:space="preserve">De PR-gate/risicoclassificatie — te specifiek voor jullie GitHub-workflow om te vervangen door iets generieks.</w:t>
      </w:r>
    </w:p>
    <w:p>
      <w:pPr>
        <w:pStyle w:val="ListParagraph"/>
        <w:numPr>
          <w:ilvl w:val="0"/>
          <w:numId w:val="2"/>
        </w:numPr>
        <w:spacing w:after="80"/>
      </w:pPr>
      <w:r>
        <w:t xml:space="preserve">Het “nooit blokkeren op budget”-principe — Hermes' eigen documentatie waarschuwt zelf voor ongecontroleerde kostenopbouw bij autonome agents; dat is precies waarom mission.ts, pricing.ts en usage-tracker.ts eigen, bewust ontworpen Matrix-code moeten blijven, ongeacht welke runtime eronder draait.</w:t>
      </w:r>
    </w:p>
    <w:p>
      <w:pPr>
        <w:pStyle w:val="ListParagraph"/>
        <w:numPr>
          <w:ilvl w:val="0"/>
          <w:numId w:val="2"/>
        </w:numPr>
        <w:spacing w:after="80"/>
      </w:pPr>
      <w:r>
        <w:t xml:space="preserve">De Second Brain-kennislaag — human-in-the-loop-goedkeuring is een Matrix-ontwerpkeuze, geen Hermes-functie.</w:t>
      </w:r>
    </w:p>
    <w:p>
      <w:pPr>
        <w:pBdr>
          <w:bottom w:val="single" w:color="999999" w:sz="6" w:space="1"/>
        </w:pBdr>
        <w:spacing w:after="200" w:before="100"/>
      </w:pPr>
    </w:p>
    <w:p>
      <w:pPr>
        <w:pStyle w:val="Heading1"/>
        <w:spacing w:after="200" w:before="400"/>
      </w:pPr>
      <w:r>
        <w:t xml:space="preserve">6. Risico's om expliciet mee te wegen</w:t>
      </w:r>
    </w:p>
    <w:p>
      <w:pPr>
        <w:pStyle w:val="ListParagraph"/>
        <w:numPr>
          <w:ilvl w:val="0"/>
          <w:numId w:val="2"/>
        </w:numPr>
        <w:spacing w:after="80"/>
      </w:pPr>
      <w:r>
        <w:t xml:space="preserve">Reputatie-/afhankelijkheidsrisico: de onopgeloste plagiaatbeschuldiging raakt het vertrouwen in Nous Research's manier van omgaan met herkomst en kritiek — een relevante factor bij het kiezen van een fundament voor een systeem dat jij “het meest krachtige personal AI operating system ter wereld” wilt maken.</w:t>
      </w:r>
    </w:p>
    <w:p>
      <w:pPr>
        <w:pStyle w:val="ListParagraph"/>
        <w:numPr>
          <w:ilvl w:val="0"/>
          <w:numId w:val="2"/>
        </w:numPr>
        <w:spacing w:after="80"/>
      </w:pPr>
      <w:r>
        <w:t xml:space="preserve">Lock-in via de adapterlaag: zonder een strikt dunne L1-adapter (zoals het document terecht voorstelt) sluipt Hermes-specifieke logica alsnog door in Director/Builder/QA, en wordt een latere overstap net zo duur als nu geen adapter bouwen.</w:t>
      </w:r>
    </w:p>
    <w:p>
      <w:pPr>
        <w:pStyle w:val="ListParagraph"/>
        <w:numPr>
          <w:ilvl w:val="0"/>
          <w:numId w:val="2"/>
        </w:numPr>
        <w:spacing w:after="80"/>
      </w:pPr>
      <w:r>
        <w:t xml:space="preserve">Kostenrisico bij falen-over: providerwissel breekt promptcaching (§3.9) — concreet meetbaar en te verwerken in jullie eigen usage-tracker/pricing-logica als Hermes ooit wordt geïntegreerd.</w:t>
      </w:r>
    </w:p>
    <w:p>
      <w:pPr>
        <w:pStyle w:val="ListParagraph"/>
        <w:numPr>
          <w:ilvl w:val="0"/>
          <w:numId w:val="2"/>
        </w:numPr>
        <w:spacing w:after="80"/>
      </w:pPr>
      <w:r>
        <w:t xml:space="preserve">Operationele last: zelf-hosten kost blijkens onafhankelijke reviews vooral onderhoudstijd, niet geld — relevant bij het inschatten hoeveel van jullie eigen tijd een Hermes-integratie structureel zou vragen, los van de bouwtijd.</w:t>
      </w:r>
    </w:p>
    <w:p>
      <w:pPr>
        <w:pStyle w:val="ListParagraph"/>
        <w:numPr>
          <w:ilvl w:val="0"/>
          <w:numId w:val="2"/>
        </w:numPr>
        <w:spacing w:after="80"/>
      </w:pPr>
      <w:r>
        <w:t xml:space="preserve">Snel bewegende dependency: 26.000+ commits en een project dat middenin een grote financieringsronde zit, betekent ook: breaking changes zijn waarschijnlijk. Een dunne, goed geteste adapter is hier niet optioneel maar noodzakelijk.</w:t>
      </w:r>
    </w:p>
    <w:p>
      <w:pPr>
        <w:pBdr>
          <w:bottom w:val="single" w:color="999999" w:sz="6" w:space="1"/>
        </w:pBdr>
        <w:spacing w:after="200" w:before="100"/>
      </w:pPr>
    </w:p>
    <w:p>
      <w:pPr>
        <w:pStyle w:val="Heading1"/>
        <w:spacing w:after="200" w:before="400"/>
      </w:pPr>
      <w:r>
        <w:t xml:space="preserve">7. Concreet advies / vervolgstappen</w:t>
      </w:r>
    </w:p>
    <w:p>
      <w:pPr>
        <w:spacing w:after="160"/>
      </w:pPr>
      <w:r>
        <w:t xml:space="preserve">Geen “ja, meteen bouwen” en geen “nee, negeren” — een gefaseerd pad dat past bij hoe Mission Engine V2 nu al groeit:</w:t>
      </w:r>
    </w:p>
    <w:p>
      <w:pPr>
        <w:pStyle w:val="ListParagraph"/>
        <w:numPr>
          <w:ilvl w:val="0"/>
          <w:numId w:val="2"/>
        </w:numPr>
        <w:spacing w:after="80"/>
      </w:pPr>
      <w:r>
        <w:t xml:space="preserve">Stap A — geen code, wel besluit: expliciet vastleggen (bijvoorbeeld in de roadmap zelf) dat Hermes hooguit als L0/L1-uitvoeringslaag onder één rol wordt overwogen, nooit als vervanging van Director/QA/risk-classification/knowledge/kostenlogica.</w:t>
      </w:r>
    </w:p>
    <w:p>
      <w:pPr>
        <w:pStyle w:val="ListParagraph"/>
        <w:numPr>
          <w:ilvl w:val="0"/>
          <w:numId w:val="2"/>
        </w:numPr>
        <w:spacing w:after="80"/>
      </w:pPr>
      <w:r>
        <w:t xml:space="preserve">Stap B — kleine, omkeerbare proef: een geïsoleerde spike waarin alleen de Builder-rol experimenteel via een dunne adapter op Hermes' API draait (één van jullie bestaande LLM-providers vervangend), met dezelfde risk-classification/PR-gate/kostentracking eromheen ongewijzigd — zodat je met echte, eigen missies meet of de bredere toolset (browser/terminal/vision) daadwerkelijk waarde toevoegt.</w:t>
      </w:r>
    </w:p>
    <w:p>
      <w:pPr>
        <w:pStyle w:val="ListParagraph"/>
        <w:numPr>
          <w:ilvl w:val="0"/>
          <w:numId w:val="2"/>
        </w:numPr>
        <w:spacing w:after="80"/>
      </w:pPr>
      <w:r>
        <w:t xml:space="preserve">Stap C — pas bij aantoonbare meerwaarde uit stap B: de rol-/tool-beleidslaag bouwen die Hermes zelf niet biedt (§3.7 / §5.3), gehaakt op pre_tool_call, voordat een tweede rol wordt overgezet.</w:t>
      </w:r>
    </w:p>
    <w:p>
      <w:pPr>
        <w:pStyle w:val="ListParagraph"/>
        <w:numPr>
          <w:ilvl w:val="0"/>
          <w:numId w:val="2"/>
        </w:numPr>
        <w:spacing w:after="80"/>
      </w:pPr>
      <w:r>
        <w:t xml:space="preserve">Stap D — doorlopend: de plagiaatzaak en Nous Research's financieringsronde blijven volgen als leading indicators voor projectstabiliteit — niet als blokkerende voorwaarde, wel als iets om over zes tot twaalf maanden opnieuw te wegen voordat een tweede rol wordt overgezet.</w:t>
      </w:r>
    </w:p>
    <w:p>
      <w:pPr>
        <w:spacing w:after="160"/>
      </w:pPr>
      <w:r>
        <w:t xml:space="preserve">Dit sluit aan bij de rest van de roadmap: stap 1 (Second Brain-leerlus) en stap 2 (kostentracking, nooit blokkerend) staan al; een eventuele Hermes-adapter zou logisch een latere, aparte roadmapstap zijn — niet een vervanging van de stappen die er al liggen.</w:t>
      </w:r>
    </w:p>
    <w:p>
      <w:pPr>
        <w:pBdr>
          <w:bottom w:val="single" w:color="999999" w:sz="6" w:space="1"/>
        </w:pBdr>
        <w:spacing w:after="200" w:before="100"/>
      </w:pPr>
    </w:p>
    <w:p>
      <w:pPr>
        <w:pStyle w:val="Heading1"/>
        <w:spacing w:after="200" w:before="400"/>
      </w:pPr>
      <w:r>
        <w:t xml:space="preserve">8. Bronnen</w:t>
      </w:r>
    </w:p>
    <w:p>
      <w:pPr>
        <w:spacing w:after="160"/>
      </w:pPr>
      <w:r>
        <w:rPr>
          <w:i/>
          <w:iCs/>
          <w:sz w:val="19"/>
          <w:szCs w:val="19"/>
        </w:rPr>
        <w:t xml:space="preserve">Alle onderstaande pagina's zijn deze sessie rechtstreeks opgehaald en gelezen (niet alleen overgenomen uit het ChatGPT-document):</w:t>
      </w:r>
    </w:p>
    <w:p>
      <w:pPr>
        <w:pStyle w:val="ListParagraph"/>
        <w:numPr>
          <w:ilvl w:val="0"/>
          <w:numId w:val="2"/>
        </w:numPr>
        <w:spacing w:after="80"/>
      </w:pPr>
      <w:r>
        <w:t xml:space="preserve">Hermes Agent — GitHub-repository: https://github.com/NousResearch/hermes-agent</w:t>
      </w:r>
    </w:p>
    <w:p>
      <w:pPr>
        <w:pStyle w:val="ListParagraph"/>
        <w:numPr>
          <w:ilvl w:val="0"/>
          <w:numId w:val="2"/>
        </w:numPr>
        <w:spacing w:after="80"/>
      </w:pPr>
      <w:r>
        <w:t xml:space="preserve">Star history (235,4k sterren, wereldwijde rank #19): https://www.star-history.com/nousresearch/hermes-agent/</w:t>
      </w:r>
    </w:p>
    <w:p>
      <w:pPr>
        <w:pStyle w:val="ListParagraph"/>
        <w:numPr>
          <w:ilvl w:val="0"/>
          <w:numId w:val="2"/>
        </w:numPr>
        <w:spacing w:after="80"/>
      </w:pPr>
      <w:r>
        <w:t xml:space="preserve">TechCrunch — financiering $1,5B waardering: https://techcrunch.com/2026/07/13/hermes-agent-maker-nous-research-in-talks-for-new-funding-at-1-5-b-valuation/</w:t>
      </w:r>
    </w:p>
    <w:p>
      <w:pPr>
        <w:pStyle w:val="ListParagraph"/>
        <w:numPr>
          <w:ilvl w:val="0"/>
          <w:numId w:val="2"/>
        </w:numPr>
        <w:spacing w:after="80"/>
      </w:pPr>
      <w:r>
        <w:t xml:space="preserve">Plagiaatbeschuldiging (EvoMap/Evolver): https://eu.36kr.com/en/p/3767967755371011</w:t>
      </w:r>
    </w:p>
    <w:p>
      <w:pPr>
        <w:pStyle w:val="ListParagraph"/>
        <w:numPr>
          <w:ilvl w:val="0"/>
          <w:numId w:val="2"/>
        </w:numPr>
        <w:spacing w:after="80"/>
      </w:pPr>
      <w:r>
        <w:t xml:space="preserve">Onafhankelijke review met kostenanalyse: https://www.eesel.ai/blog/hermes-agent-review</w:t>
      </w:r>
    </w:p>
    <w:p>
      <w:pPr>
        <w:pStyle w:val="ListParagraph"/>
        <w:numPr>
          <w:ilvl w:val="0"/>
          <w:numId w:val="2"/>
        </w:numPr>
        <w:spacing w:after="80"/>
      </w:pPr>
      <w:r>
        <w:t xml:space="preserve">Officiële documentatie — overzicht: https://hermes-agent.nousresearch.com/docs/</w:t>
      </w:r>
    </w:p>
    <w:p>
      <w:pPr>
        <w:pStyle w:val="ListParagraph"/>
        <w:numPr>
          <w:ilvl w:val="0"/>
          <w:numId w:val="2"/>
        </w:numPr>
        <w:spacing w:after="80"/>
      </w:pPr>
      <w:r>
        <w:t xml:space="preserve">Memory / Persistent Memory: https://hermes-agent.nousresearch.com/docs/user-guide/features/memory</w:t>
      </w:r>
    </w:p>
    <w:p>
      <w:pPr>
        <w:pStyle w:val="ListParagraph"/>
        <w:numPr>
          <w:ilvl w:val="0"/>
          <w:numId w:val="2"/>
        </w:numPr>
        <w:spacing w:after="80"/>
      </w:pPr>
      <w:r>
        <w:t xml:space="preserve">Memory Providers: https://hermes-agent.nousresearch.com/docs/user-guide/features/memory-providers</w:t>
      </w:r>
    </w:p>
    <w:p>
      <w:pPr>
        <w:pStyle w:val="ListParagraph"/>
        <w:numPr>
          <w:ilvl w:val="0"/>
          <w:numId w:val="2"/>
        </w:numPr>
        <w:spacing w:after="80"/>
      </w:pPr>
      <w:r>
        <w:t xml:space="preserve">Tools (toegangsbeleid): officiële Tools-documentatiepagina, geciteerd in §3.7</w:t>
      </w:r>
    </w:p>
    <w:p>
      <w:pPr>
        <w:pStyle w:val="ListParagraph"/>
        <w:numPr>
          <w:ilvl w:val="0"/>
          <w:numId w:val="2"/>
        </w:numPr>
        <w:spacing w:after="80"/>
      </w:pPr>
      <w:r>
        <w:t xml:space="preserve">MCP (“role or user profile is not supported”): officiële MCP-documentatiepagina, geciteerd in §3.7</w:t>
      </w:r>
    </w:p>
    <w:p>
      <w:pPr>
        <w:pStyle w:val="ListParagraph"/>
        <w:numPr>
          <w:ilvl w:val="0"/>
          <w:numId w:val="2"/>
        </w:numPr>
        <w:spacing w:after="80"/>
      </w:pPr>
      <w:r>
        <w:t xml:space="preserve">Plugins: https://hermes-agent.nousresearch.com/docs/user-guide/features/plugins</w:t>
      </w:r>
    </w:p>
    <w:p>
      <w:pPr>
        <w:pStyle w:val="ListParagraph"/>
        <w:numPr>
          <w:ilvl w:val="0"/>
          <w:numId w:val="2"/>
        </w:numPr>
        <w:spacing w:after="80"/>
      </w:pPr>
      <w:r>
        <w:t xml:space="preserve">Provider Routing: https://hermes-agent.nousresearch.com/docs/user-guide/features/provider-routing</w:t>
      </w:r>
    </w:p>
    <w:p>
      <w:pPr>
        <w:pStyle w:val="ListParagraph"/>
        <w:numPr>
          <w:ilvl w:val="0"/>
          <w:numId w:val="2"/>
        </w:numPr>
        <w:spacing w:after="80"/>
      </w:pPr>
      <w:r>
        <w:t xml:space="preserve">Fallback Providers: https://hermes-agent.nousresearch.com/docs/user-guide/features/fallback-providers</w:t>
      </w:r>
    </w:p>
    <w:p>
      <w:pPr>
        <w:pStyle w:val="ListParagraph"/>
        <w:numPr>
          <w:ilvl w:val="0"/>
          <w:numId w:val="2"/>
        </w:numPr>
        <w:spacing w:after="80"/>
      </w:pPr>
      <w:r>
        <w:t xml:space="preserve">Agent Loop Internals: https://hermes-agent.nousresearch.com/docs/developer-guide/agent-loop/</w:t>
      </w:r>
    </w:p>
    <w:p>
      <w:pPr>
        <w:pStyle w:val="ListParagraph"/>
        <w:numPr>
          <w:ilvl w:val="0"/>
          <w:numId w:val="2"/>
        </w:numPr>
        <w:spacing w:after="80"/>
      </w:pPr>
      <w:r>
        <w:t xml:space="preserve">Bot Mode, Security, Hooks, ACP, Delegation Patterns, Programmatic Integration — officiële documentatiepagina's onder https://hermes-agent.nousresearch.com/docs/, alle afzonderlijk geverifieerd eerder deze sessie.</w:t>
      </w:r>
    </w:p>
    <w:p>
      <w:pPr>
        <w:spacing w:after="160"/>
      </w:pPr>
      <w:r>
        <w:rPr>
          <w:i/>
          <w:iCs/>
          <w:sz w:val="19"/>
          <w:szCs w:val="19"/>
        </w:rPr>
        <w:t xml:space="preserve">Daarnaast: het brondocument zelf, The_Dost_Matrix_Hermes_Agent_Technical_Briefing.docx, en de huidige staat van de-dost-matrix-git-clone (src/core/mission-engine/v2/*) op het moment van dit onderzoek.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2026-09-03T16:05:28.502Z</dcterms:created>
  <dcterms:modified xsi:type="dcterms:W3CDTF">2026-09-03T16:05:28.521Z</dcterms:modified>
</cp:coreProperties>
</file>

<file path=docProps/custom.xml><?xml version="1.0" encoding="utf-8"?>
<Properties xmlns="http://schemas.openxmlformats.org/officeDocument/2006/custom-properties" xmlns:vt="http://schemas.openxmlformats.org/officeDocument/2006/docPropsVTypes"/>
</file>