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DCAE6" w14:textId="77777777" w:rsidR="00FD332F" w:rsidRDefault="00000000" w:rsidP="00B51411">
      <w:r>
        <w:rPr>
          <w:b/>
          <w:bCs/>
          <w:sz w:val="56"/>
          <w:szCs w:val="56"/>
        </w:rPr>
        <w:t>The Farmer Edu</w:t>
      </w:r>
    </w:p>
    <w:p w14:paraId="215DA190" w14:textId="77777777" w:rsidR="00FD332F" w:rsidRDefault="00000000">
      <w:pPr>
        <w:spacing w:after="300"/>
      </w:pPr>
      <w:r>
        <w:rPr>
          <w:color w:val="555555"/>
          <w:sz w:val="28"/>
          <w:szCs w:val="28"/>
        </w:rPr>
        <w:t xml:space="preserve">Guia de Design — Tokens extraídos do </w:t>
      </w:r>
      <w:proofErr w:type="spellStart"/>
      <w:r>
        <w:rPr>
          <w:color w:val="555555"/>
          <w:sz w:val="28"/>
          <w:szCs w:val="28"/>
        </w:rPr>
        <w:t>Figma</w:t>
      </w:r>
      <w:proofErr w:type="spellEnd"/>
    </w:p>
    <w:p w14:paraId="200BDA25" w14:textId="77777777" w:rsidR="00FD332F" w:rsidRDefault="00000000">
      <w:pPr>
        <w:pStyle w:val="Ttulo1"/>
        <w:spacing w:before="320" w:after="150"/>
      </w:pPr>
      <w:r>
        <w:t>Identidade Visual — Logo</w:t>
      </w:r>
    </w:p>
    <w:p w14:paraId="01BC8633" w14:textId="77777777" w:rsidR="00FD332F" w:rsidRDefault="00000000">
      <w:pPr>
        <w:spacing w:after="120"/>
      </w:pPr>
      <w:r>
        <w:t xml:space="preserve">O símbolo combina um celeiro com um capelo de formatura, dentro de um selo circular — reaproveitando a mesma linguagem de ícone de linha (traço </w:t>
      </w:r>
      <w:proofErr w:type="spellStart"/>
      <w:r>
        <w:t>navy</w:t>
      </w:r>
      <w:proofErr w:type="spellEnd"/>
      <w:r>
        <w:t xml:space="preserve"> sobre branco) já usada nos ícones de Animais/Plantação/Maquinário do protótipo, em vez de introduzir um estilo novo.</w:t>
      </w:r>
    </w:p>
    <w:p w14:paraId="38751451" w14:textId="77777777" w:rsidR="00FD332F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0624FFDA" wp14:editId="5477FAB4">
            <wp:extent cx="4476750" cy="119062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92D55" w14:textId="77777777" w:rsidR="00FD332F" w:rsidRDefault="00000000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Versão horizontal — uso principal em cabeçalhos e documentos</w:t>
      </w:r>
    </w:p>
    <w:p w14:paraId="556D18C7" w14:textId="77777777" w:rsidR="00FD332F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19D9A130" wp14:editId="4D096117">
            <wp:extent cx="1428750" cy="1428750"/>
            <wp:effectExtent l="0" t="0" r="0" b="0"/>
            <wp:docPr id="15929173" name="Imagem 15929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C70B8" w14:textId="77777777" w:rsidR="00FD332F" w:rsidRDefault="00000000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Ícone isolado — favicon, avatar, ícone de app</w:t>
      </w:r>
    </w:p>
    <w:p w14:paraId="565D284C" w14:textId="77777777" w:rsidR="00FD332F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7BDE8119" wp14:editId="220BA2CE">
            <wp:extent cx="1428750" cy="1428750"/>
            <wp:effectExtent l="0" t="0" r="0" b="0"/>
            <wp:docPr id="651753561" name="Imagem 6517535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FC333" w14:textId="77777777" w:rsidR="00FD332F" w:rsidRDefault="00000000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Versão monocromática branca — para fundos coloridos ou escuros</w:t>
      </w:r>
    </w:p>
    <w:p w14:paraId="79506253" w14:textId="77777777" w:rsidR="00FD332F" w:rsidRDefault="00000000">
      <w:pPr>
        <w:pStyle w:val="Ttulo2"/>
        <w:spacing w:before="220" w:after="100"/>
      </w:pPr>
      <w:r>
        <w:t>Versões disponíveis</w:t>
      </w:r>
    </w:p>
    <w:p w14:paraId="1BD91273" w14:textId="77777777" w:rsidR="00FD332F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Horizontal: </w:t>
      </w:r>
      <w:r>
        <w:t>ícone + nome lado a lado — uso principal em cabeçalhos, documentos e apresentações.</w:t>
      </w:r>
    </w:p>
    <w:p w14:paraId="71A588D6" w14:textId="77777777" w:rsidR="00FD332F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Empilhada: </w:t>
      </w:r>
      <w:r>
        <w:t>ícone em cima, nome embaixo — para capas, formatos quadrados e redes sociais.</w:t>
      </w:r>
    </w:p>
    <w:p w14:paraId="767F6962" w14:textId="77777777" w:rsidR="00FD332F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Ícone isolado: </w:t>
      </w:r>
      <w:r>
        <w:t>para favicon, avatar e qualquer espaço pequeno onde o nome não caiba.</w:t>
      </w:r>
    </w:p>
    <w:p w14:paraId="10FAC752" w14:textId="77777777" w:rsidR="00FD332F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Monocromática branca: </w:t>
      </w:r>
      <w:r>
        <w:t xml:space="preserve">para uso sobre fundos verdes, azuis, </w:t>
      </w:r>
      <w:proofErr w:type="spellStart"/>
      <w:r>
        <w:t>navy</w:t>
      </w:r>
      <w:proofErr w:type="spellEnd"/>
      <w:r>
        <w:t xml:space="preserve"> ou fotográficos — nunca usar a versão colorida sobre fundo escuro.</w:t>
      </w:r>
    </w:p>
    <w:p w14:paraId="7FBD4BDC" w14:textId="77777777" w:rsidR="00FD332F" w:rsidRDefault="00000000">
      <w:pPr>
        <w:pStyle w:val="Ttulo2"/>
        <w:spacing w:before="220" w:after="100"/>
      </w:pPr>
      <w:r>
        <w:t>Regras de uso</w:t>
      </w:r>
    </w:p>
    <w:p w14:paraId="1C14242B" w14:textId="77777777" w:rsidR="00FD332F" w:rsidRDefault="00000000">
      <w:pPr>
        <w:pStyle w:val="PargrafodaLista"/>
        <w:numPr>
          <w:ilvl w:val="0"/>
          <w:numId w:val="2"/>
        </w:numPr>
        <w:spacing w:after="80"/>
      </w:pPr>
      <w:r>
        <w:t>Manter uma área de respiro ao redor do selo — não encostar o ícone em bordas, textos ou outros elementos.</w:t>
      </w:r>
    </w:p>
    <w:p w14:paraId="4BBC592A" w14:textId="77777777" w:rsidR="00FD332F" w:rsidRDefault="00000000">
      <w:pPr>
        <w:pStyle w:val="PargrafodaLista"/>
        <w:numPr>
          <w:ilvl w:val="0"/>
          <w:numId w:val="2"/>
        </w:numPr>
        <w:spacing w:after="80"/>
      </w:pPr>
      <w:r>
        <w:t>Não recolorir o ícone fora das duas versões oficiais (colorida sobre claro / branca sobre escuro).</w:t>
      </w:r>
    </w:p>
    <w:p w14:paraId="13B58E68" w14:textId="77777777" w:rsidR="00FD332F" w:rsidRDefault="00000000">
      <w:pPr>
        <w:pStyle w:val="PargrafodaLista"/>
        <w:numPr>
          <w:ilvl w:val="0"/>
          <w:numId w:val="2"/>
        </w:numPr>
        <w:spacing w:after="80"/>
      </w:pPr>
      <w:r>
        <w:t>Não esticar, distorcer ou girar a logo — sempre escalar mantendo a proporção original.</w:t>
      </w:r>
    </w:p>
    <w:p w14:paraId="3724DFB5" w14:textId="77777777" w:rsidR="00FD332F" w:rsidRDefault="00000000">
      <w:pPr>
        <w:pStyle w:val="PargrafodaLista"/>
        <w:numPr>
          <w:ilvl w:val="0"/>
          <w:numId w:val="2"/>
        </w:numPr>
        <w:spacing w:after="80"/>
      </w:pPr>
      <w:r>
        <w:lastRenderedPageBreak/>
        <w:t xml:space="preserve">No nome, manter sempre "Edu" em verde e o restante em </w:t>
      </w:r>
      <w:proofErr w:type="spellStart"/>
      <w:r>
        <w:t>navy</w:t>
      </w:r>
      <w:proofErr w:type="spellEnd"/>
      <w:r>
        <w:t xml:space="preserve"> — é o que reforça a marca em qualquer aplicação.</w:t>
      </w:r>
    </w:p>
    <w:p w14:paraId="1CA6F7E0" w14:textId="77777777" w:rsidR="00FD332F" w:rsidRDefault="00000000">
      <w:pPr>
        <w:pStyle w:val="PargrafodaLista"/>
        <w:numPr>
          <w:ilvl w:val="0"/>
          <w:numId w:val="2"/>
        </w:numPr>
        <w:spacing w:after="80"/>
      </w:pPr>
      <w:r>
        <w:t>Tamanho mínimo recomendado: 32px de altura para o ícone isolado, para preservar a legibilidade do capelo e da porta do celeiro.</w:t>
      </w:r>
    </w:p>
    <w:p w14:paraId="4C800D0A" w14:textId="77777777" w:rsidR="00FD332F" w:rsidRDefault="00000000">
      <w:pPr>
        <w:spacing w:after="120"/>
      </w:pPr>
      <w:r>
        <w:t>Arquivos em SVG (vetorial, escalável para qualquer tamanho) e PNG com fundo transparente disponíveis separadamente.</w:t>
      </w:r>
    </w:p>
    <w:p w14:paraId="6781091B" w14:textId="77777777" w:rsidR="00FD332F" w:rsidRDefault="00000000">
      <w:pPr>
        <w:pStyle w:val="Ttulo1"/>
        <w:spacing w:before="320" w:after="150"/>
      </w:pPr>
      <w:r>
        <w:t>Sobre as fontes deste guia</w:t>
      </w:r>
    </w:p>
    <w:p w14:paraId="5C472DCB" w14:textId="77777777" w:rsidR="00FD332F" w:rsidRDefault="00000000">
      <w:pPr>
        <w:spacing w:after="120"/>
      </w:pPr>
      <w:r>
        <w:t xml:space="preserve">A maior parte deste guia (paleta, tipografia, geometria, componentes) foi extraída diretamente do arquivo </w:t>
      </w:r>
      <w:proofErr w:type="spellStart"/>
      <w:r>
        <w:t>Figma</w:t>
      </w:r>
      <w:proofErr w:type="spellEnd"/>
      <w:r>
        <w:t xml:space="preserve"> "</w:t>
      </w:r>
      <w:proofErr w:type="spellStart"/>
      <w:r>
        <w:t>Farming</w:t>
      </w:r>
      <w:proofErr w:type="spellEnd"/>
      <w:r>
        <w:t xml:space="preserve"> Sector Website" (acesso completo). A seção "Fazenda e Árvore de Aprimoramentos", mais adiante, tem origem diferente: veio de prints enviados por Pedro de um protótipo feito por um aluno em outro arquivo, ao qual só há acesso de visualização — por isso ali documentamos apenas o conceito da mecânica, não tokens exatos de cor/fonte.</w:t>
      </w:r>
    </w:p>
    <w:p w14:paraId="31B4AE8C" w14:textId="77777777" w:rsidR="00FD332F" w:rsidRDefault="00000000">
      <w:pPr>
        <w:pStyle w:val="Ttulo1"/>
        <w:spacing w:before="320" w:after="150"/>
      </w:pPr>
      <w:r>
        <w:t>Paleta de Cores</w:t>
      </w:r>
    </w:p>
    <w:p w14:paraId="7B98F69D" w14:textId="77777777" w:rsidR="00FD332F" w:rsidRDefault="00000000">
      <w:pPr>
        <w:spacing w:after="120"/>
      </w:pPr>
      <w:r>
        <w:t>Achado interessante: o sistema já usa uma paleta de cores diferente por perfil — verde para o aluno, azul para o instrutor — mantendo a mesma estrutura visual. Vale adotar isso como regra deliberada de tema, não como inconsistência.</w:t>
      </w:r>
    </w:p>
    <w:p w14:paraId="3639E95C" w14:textId="77777777" w:rsidR="00FD332F" w:rsidRDefault="00000000">
      <w:pPr>
        <w:pStyle w:val="Ttulo2"/>
        <w:spacing w:before="220" w:after="100"/>
      </w:pPr>
      <w:r>
        <w:t>Perfil Aluno (verde)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400"/>
        <w:gridCol w:w="6700"/>
      </w:tblGrid>
      <w:tr w:rsidR="00FD332F" w14:paraId="221AE63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2C3E50"/>
          </w:tcPr>
          <w:p w14:paraId="66BA3FDE" w14:textId="77777777" w:rsidR="00FD332F" w:rsidRDefault="00000000">
            <w:r>
              <w:rPr>
                <w:b/>
                <w:bCs/>
                <w:color w:val="FFFFFF"/>
              </w:rPr>
              <w:t>Cor</w:t>
            </w:r>
          </w:p>
        </w:tc>
        <w:tc>
          <w:tcPr>
            <w:tcW w:w="1400" w:type="dxa"/>
            <w:shd w:val="clear" w:color="auto" w:fill="2C3E50"/>
          </w:tcPr>
          <w:p w14:paraId="12311280" w14:textId="77777777" w:rsidR="00FD332F" w:rsidRDefault="00000000">
            <w:proofErr w:type="spellStart"/>
            <w:r>
              <w:rPr>
                <w:b/>
                <w:bCs/>
                <w:color w:val="FFFFFF"/>
              </w:rPr>
              <w:t>Hex</w:t>
            </w:r>
            <w:proofErr w:type="spellEnd"/>
          </w:p>
        </w:tc>
        <w:tc>
          <w:tcPr>
            <w:tcW w:w="6700" w:type="dxa"/>
            <w:shd w:val="clear" w:color="auto" w:fill="2C3E50"/>
          </w:tcPr>
          <w:p w14:paraId="7F9F6CB9" w14:textId="77777777" w:rsidR="00FD332F" w:rsidRDefault="00000000">
            <w:r>
              <w:rPr>
                <w:b/>
                <w:bCs/>
                <w:color w:val="FFFFFF"/>
              </w:rPr>
              <w:t>Uso</w:t>
            </w:r>
          </w:p>
        </w:tc>
      </w:tr>
      <w:tr w:rsidR="00FD332F" w14:paraId="492EE04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34C759"/>
          </w:tcPr>
          <w:p w14:paraId="7CFE0911" w14:textId="77777777" w:rsidR="00FD332F" w:rsidRDefault="00FD332F"/>
        </w:tc>
        <w:tc>
          <w:tcPr>
            <w:tcW w:w="1400" w:type="dxa"/>
          </w:tcPr>
          <w:p w14:paraId="38AEC983" w14:textId="13E31ECE" w:rsidR="00FD332F" w:rsidRDefault="00000000">
            <w:r>
              <w:t>#</w:t>
            </w:r>
            <w:r w:rsidR="00B51411" w:rsidRPr="00B51411">
              <w:t>1B5E20</w:t>
            </w:r>
          </w:p>
        </w:tc>
        <w:tc>
          <w:tcPr>
            <w:tcW w:w="6700" w:type="dxa"/>
          </w:tcPr>
          <w:p w14:paraId="247575A4" w14:textId="77777777" w:rsidR="00FD332F" w:rsidRDefault="00000000">
            <w:r>
              <w:t>Verde primário — botões, destaques, título de cards, cor de marca do lado do aluno</w:t>
            </w:r>
          </w:p>
        </w:tc>
      </w:tr>
      <w:tr w:rsidR="00FD332F" w14:paraId="67B3005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089C2F"/>
          </w:tcPr>
          <w:p w14:paraId="265E08FD" w14:textId="77777777" w:rsidR="00FD332F" w:rsidRDefault="00FD332F"/>
        </w:tc>
        <w:tc>
          <w:tcPr>
            <w:tcW w:w="1400" w:type="dxa"/>
          </w:tcPr>
          <w:p w14:paraId="008B908E" w14:textId="77777777" w:rsidR="00FD332F" w:rsidRDefault="00000000">
            <w:r>
              <w:t>#089C2F</w:t>
            </w:r>
          </w:p>
        </w:tc>
        <w:tc>
          <w:tcPr>
            <w:tcW w:w="6700" w:type="dxa"/>
          </w:tcPr>
          <w:p w14:paraId="0535455F" w14:textId="77777777" w:rsidR="00FD332F" w:rsidRDefault="00000000">
            <w:r>
              <w:t>Verde escuro — estado ativo no menu lateral, iniciais de avatar</w:t>
            </w:r>
          </w:p>
        </w:tc>
      </w:tr>
      <w:tr w:rsidR="00FD332F" w14:paraId="5DD9A92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A0FDA3"/>
          </w:tcPr>
          <w:p w14:paraId="591FE83E" w14:textId="77777777" w:rsidR="00FD332F" w:rsidRDefault="00FD332F"/>
        </w:tc>
        <w:tc>
          <w:tcPr>
            <w:tcW w:w="1400" w:type="dxa"/>
          </w:tcPr>
          <w:p w14:paraId="381D71AF" w14:textId="77777777" w:rsidR="00FD332F" w:rsidRDefault="00000000">
            <w:r>
              <w:t>#A0FDA3</w:t>
            </w:r>
          </w:p>
        </w:tc>
        <w:tc>
          <w:tcPr>
            <w:tcW w:w="6700" w:type="dxa"/>
          </w:tcPr>
          <w:p w14:paraId="5C9F1446" w14:textId="77777777" w:rsidR="00FD332F" w:rsidRDefault="00000000">
            <w:r>
              <w:t>Verde claro — fundo da barra superior (header) do aluno</w:t>
            </w:r>
          </w:p>
        </w:tc>
      </w:tr>
    </w:tbl>
    <w:p w14:paraId="023A3FD1" w14:textId="77777777" w:rsidR="00FD332F" w:rsidRDefault="00FD332F">
      <w:pPr>
        <w:spacing w:after="150"/>
      </w:pPr>
    </w:p>
    <w:p w14:paraId="0FAEECD3" w14:textId="77777777" w:rsidR="00FD332F" w:rsidRDefault="00000000">
      <w:pPr>
        <w:pStyle w:val="Ttulo2"/>
        <w:spacing w:before="220" w:after="100"/>
      </w:pPr>
      <w:r>
        <w:t>Perfil Instrutor (azul)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400"/>
        <w:gridCol w:w="6700"/>
      </w:tblGrid>
      <w:tr w:rsidR="00FD332F" w14:paraId="7B841AF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2C3E50"/>
          </w:tcPr>
          <w:p w14:paraId="44C02176" w14:textId="77777777" w:rsidR="00FD332F" w:rsidRDefault="00000000">
            <w:r>
              <w:rPr>
                <w:b/>
                <w:bCs/>
                <w:color w:val="FFFFFF"/>
              </w:rPr>
              <w:t>Cor</w:t>
            </w:r>
          </w:p>
        </w:tc>
        <w:tc>
          <w:tcPr>
            <w:tcW w:w="1400" w:type="dxa"/>
            <w:shd w:val="clear" w:color="auto" w:fill="2C3E50"/>
          </w:tcPr>
          <w:p w14:paraId="19D08F4D" w14:textId="77777777" w:rsidR="00FD332F" w:rsidRDefault="00000000">
            <w:proofErr w:type="spellStart"/>
            <w:r>
              <w:rPr>
                <w:b/>
                <w:bCs/>
                <w:color w:val="FFFFFF"/>
              </w:rPr>
              <w:t>Hex</w:t>
            </w:r>
            <w:proofErr w:type="spellEnd"/>
          </w:p>
        </w:tc>
        <w:tc>
          <w:tcPr>
            <w:tcW w:w="6700" w:type="dxa"/>
            <w:shd w:val="clear" w:color="auto" w:fill="2C3E50"/>
          </w:tcPr>
          <w:p w14:paraId="711631DF" w14:textId="77777777" w:rsidR="00FD332F" w:rsidRDefault="00000000">
            <w:r>
              <w:rPr>
                <w:b/>
                <w:bCs/>
                <w:color w:val="FFFFFF"/>
              </w:rPr>
              <w:t>Uso</w:t>
            </w:r>
          </w:p>
        </w:tc>
      </w:tr>
      <w:tr w:rsidR="00FD332F" w14:paraId="4CCEF4C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0088FF"/>
          </w:tcPr>
          <w:p w14:paraId="160C5A2B" w14:textId="77777777" w:rsidR="00FD332F" w:rsidRDefault="00FD332F"/>
        </w:tc>
        <w:tc>
          <w:tcPr>
            <w:tcW w:w="1400" w:type="dxa"/>
          </w:tcPr>
          <w:p w14:paraId="72EBD9A4" w14:textId="77777777" w:rsidR="00FD332F" w:rsidRDefault="00000000">
            <w:r>
              <w:t>#0088FF</w:t>
            </w:r>
          </w:p>
        </w:tc>
        <w:tc>
          <w:tcPr>
            <w:tcW w:w="6700" w:type="dxa"/>
          </w:tcPr>
          <w:p w14:paraId="5D09675B" w14:textId="77777777" w:rsidR="00FD332F" w:rsidRDefault="00000000">
            <w:r>
              <w:t>Azul primário — equivalente ao verde, mas para as telas do instrutor</w:t>
            </w:r>
          </w:p>
        </w:tc>
      </w:tr>
      <w:tr w:rsidR="00FD332F" w14:paraId="085DDEF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2276E3"/>
          </w:tcPr>
          <w:p w14:paraId="3A919DFC" w14:textId="77777777" w:rsidR="00FD332F" w:rsidRDefault="00FD332F"/>
        </w:tc>
        <w:tc>
          <w:tcPr>
            <w:tcW w:w="1400" w:type="dxa"/>
          </w:tcPr>
          <w:p w14:paraId="7F6693A6" w14:textId="77777777" w:rsidR="00FD332F" w:rsidRDefault="00000000">
            <w:r>
              <w:t>#2276E3</w:t>
            </w:r>
          </w:p>
        </w:tc>
        <w:tc>
          <w:tcPr>
            <w:tcW w:w="6700" w:type="dxa"/>
          </w:tcPr>
          <w:p w14:paraId="1D3B55F8" w14:textId="77777777" w:rsidR="00FD332F" w:rsidRDefault="00000000">
            <w:r>
              <w:t>Azul escuro — estado ativo no menu lateral do instrutor</w:t>
            </w:r>
          </w:p>
        </w:tc>
      </w:tr>
      <w:tr w:rsidR="00FD332F" w14:paraId="2735114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90BDF0"/>
          </w:tcPr>
          <w:p w14:paraId="143E80D8" w14:textId="77777777" w:rsidR="00FD332F" w:rsidRDefault="00FD332F"/>
        </w:tc>
        <w:tc>
          <w:tcPr>
            <w:tcW w:w="1400" w:type="dxa"/>
          </w:tcPr>
          <w:p w14:paraId="3CE1A846" w14:textId="77777777" w:rsidR="00FD332F" w:rsidRDefault="00000000">
            <w:r>
              <w:t>#90BDF0</w:t>
            </w:r>
          </w:p>
        </w:tc>
        <w:tc>
          <w:tcPr>
            <w:tcW w:w="6700" w:type="dxa"/>
          </w:tcPr>
          <w:p w14:paraId="38015C0C" w14:textId="77777777" w:rsidR="00FD332F" w:rsidRDefault="00000000">
            <w:r>
              <w:t>Azul claro — fundo da barra superior do instrutor</w:t>
            </w:r>
          </w:p>
        </w:tc>
      </w:tr>
    </w:tbl>
    <w:p w14:paraId="39E581C0" w14:textId="77777777" w:rsidR="00FD332F" w:rsidRDefault="00FD332F">
      <w:pPr>
        <w:spacing w:after="150"/>
      </w:pPr>
    </w:p>
    <w:p w14:paraId="34AF873B" w14:textId="77777777" w:rsidR="00FD332F" w:rsidRDefault="00000000">
      <w:pPr>
        <w:pStyle w:val="Ttulo2"/>
        <w:spacing w:before="220" w:after="100"/>
      </w:pPr>
      <w:r>
        <w:t>Destaque secundário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400"/>
        <w:gridCol w:w="6700"/>
      </w:tblGrid>
      <w:tr w:rsidR="00FD332F" w14:paraId="72513D5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2C3E50"/>
          </w:tcPr>
          <w:p w14:paraId="4CE3AC2A" w14:textId="77777777" w:rsidR="00FD332F" w:rsidRDefault="00000000">
            <w:r>
              <w:rPr>
                <w:b/>
                <w:bCs/>
                <w:color w:val="FFFFFF"/>
              </w:rPr>
              <w:t>Cor</w:t>
            </w:r>
          </w:p>
        </w:tc>
        <w:tc>
          <w:tcPr>
            <w:tcW w:w="1400" w:type="dxa"/>
            <w:shd w:val="clear" w:color="auto" w:fill="2C3E50"/>
          </w:tcPr>
          <w:p w14:paraId="555096E8" w14:textId="77777777" w:rsidR="00FD332F" w:rsidRDefault="00000000">
            <w:proofErr w:type="spellStart"/>
            <w:r>
              <w:rPr>
                <w:b/>
                <w:bCs/>
                <w:color w:val="FFFFFF"/>
              </w:rPr>
              <w:t>Hex</w:t>
            </w:r>
            <w:proofErr w:type="spellEnd"/>
          </w:p>
        </w:tc>
        <w:tc>
          <w:tcPr>
            <w:tcW w:w="6700" w:type="dxa"/>
            <w:shd w:val="clear" w:color="auto" w:fill="2C3E50"/>
          </w:tcPr>
          <w:p w14:paraId="0FBA1F58" w14:textId="77777777" w:rsidR="00FD332F" w:rsidRDefault="00000000">
            <w:r>
              <w:rPr>
                <w:b/>
                <w:bCs/>
                <w:color w:val="FFFFFF"/>
              </w:rPr>
              <w:t>Uso</w:t>
            </w:r>
          </w:p>
        </w:tc>
      </w:tr>
      <w:tr w:rsidR="00FD332F" w14:paraId="3E8DFEA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8D28"/>
          </w:tcPr>
          <w:p w14:paraId="31AC4D83" w14:textId="77777777" w:rsidR="00FD332F" w:rsidRDefault="00FD332F"/>
        </w:tc>
        <w:tc>
          <w:tcPr>
            <w:tcW w:w="1400" w:type="dxa"/>
          </w:tcPr>
          <w:p w14:paraId="3A2678ED" w14:textId="77777777" w:rsidR="00FD332F" w:rsidRDefault="00000000">
            <w:r>
              <w:t>#FF8D28</w:t>
            </w:r>
          </w:p>
        </w:tc>
        <w:tc>
          <w:tcPr>
            <w:tcW w:w="6700" w:type="dxa"/>
          </w:tcPr>
          <w:p w14:paraId="70F9E9DF" w14:textId="77777777" w:rsidR="00FD332F" w:rsidRDefault="00000000">
            <w:r>
              <w:t xml:space="preserve">Laranja — botão "Escrever Código", barra de progresso, brilho sob os </w:t>
            </w:r>
            <w:proofErr w:type="spellStart"/>
            <w:r>
              <w:t>headers</w:t>
            </w:r>
            <w:proofErr w:type="spellEnd"/>
            <w:r>
              <w:t xml:space="preserve"> (ver Sombras)</w:t>
            </w:r>
          </w:p>
        </w:tc>
      </w:tr>
    </w:tbl>
    <w:p w14:paraId="68703DFD" w14:textId="77777777" w:rsidR="00FD332F" w:rsidRDefault="00FD332F">
      <w:pPr>
        <w:spacing w:after="150"/>
      </w:pPr>
    </w:p>
    <w:p w14:paraId="3506F884" w14:textId="77777777" w:rsidR="00FD332F" w:rsidRDefault="00000000">
      <w:pPr>
        <w:pStyle w:val="Ttulo2"/>
        <w:spacing w:before="220" w:after="100"/>
      </w:pPr>
      <w:r>
        <w:t>Neutros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400"/>
        <w:gridCol w:w="6700"/>
      </w:tblGrid>
      <w:tr w:rsidR="00FD332F" w14:paraId="3CE0EC6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2C3E50"/>
          </w:tcPr>
          <w:p w14:paraId="67789F1E" w14:textId="77777777" w:rsidR="00FD332F" w:rsidRDefault="00000000">
            <w:r>
              <w:rPr>
                <w:b/>
                <w:bCs/>
                <w:color w:val="FFFFFF"/>
              </w:rPr>
              <w:t>Cor</w:t>
            </w:r>
          </w:p>
        </w:tc>
        <w:tc>
          <w:tcPr>
            <w:tcW w:w="1400" w:type="dxa"/>
            <w:shd w:val="clear" w:color="auto" w:fill="2C3E50"/>
          </w:tcPr>
          <w:p w14:paraId="197D2076" w14:textId="77777777" w:rsidR="00FD332F" w:rsidRDefault="00000000">
            <w:proofErr w:type="spellStart"/>
            <w:r>
              <w:rPr>
                <w:b/>
                <w:bCs/>
                <w:color w:val="FFFFFF"/>
              </w:rPr>
              <w:t>Hex</w:t>
            </w:r>
            <w:proofErr w:type="spellEnd"/>
          </w:p>
        </w:tc>
        <w:tc>
          <w:tcPr>
            <w:tcW w:w="6700" w:type="dxa"/>
            <w:shd w:val="clear" w:color="auto" w:fill="2C3E50"/>
          </w:tcPr>
          <w:p w14:paraId="70530B2F" w14:textId="77777777" w:rsidR="00FD332F" w:rsidRDefault="00000000">
            <w:r>
              <w:rPr>
                <w:b/>
                <w:bCs/>
                <w:color w:val="FFFFFF"/>
              </w:rPr>
              <w:t>Uso</w:t>
            </w:r>
          </w:p>
        </w:tc>
      </w:tr>
      <w:tr w:rsidR="00FD332F" w14:paraId="1EE0978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002D38"/>
          </w:tcPr>
          <w:p w14:paraId="1BD92B12" w14:textId="77777777" w:rsidR="00FD332F" w:rsidRDefault="00FD332F"/>
        </w:tc>
        <w:tc>
          <w:tcPr>
            <w:tcW w:w="1400" w:type="dxa"/>
          </w:tcPr>
          <w:p w14:paraId="7555FF3E" w14:textId="77777777" w:rsidR="00FD332F" w:rsidRDefault="00000000">
            <w:r>
              <w:t>#002D38</w:t>
            </w:r>
          </w:p>
        </w:tc>
        <w:tc>
          <w:tcPr>
            <w:tcW w:w="6700" w:type="dxa"/>
          </w:tcPr>
          <w:p w14:paraId="7F2DE614" w14:textId="77777777" w:rsidR="00FD332F" w:rsidRDefault="00000000">
            <w:r>
              <w:t>Texto principal / títulos (tom quase preto, levemente azulado)</w:t>
            </w:r>
          </w:p>
        </w:tc>
      </w:tr>
      <w:tr w:rsidR="00FD332F" w14:paraId="5510216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000000"/>
          </w:tcPr>
          <w:p w14:paraId="29213503" w14:textId="77777777" w:rsidR="00FD332F" w:rsidRDefault="00FD332F"/>
        </w:tc>
        <w:tc>
          <w:tcPr>
            <w:tcW w:w="1400" w:type="dxa"/>
          </w:tcPr>
          <w:p w14:paraId="79FB854F" w14:textId="77777777" w:rsidR="00FD332F" w:rsidRDefault="00000000">
            <w:r>
              <w:t>#000000</w:t>
            </w:r>
          </w:p>
        </w:tc>
        <w:tc>
          <w:tcPr>
            <w:tcW w:w="6700" w:type="dxa"/>
          </w:tcPr>
          <w:p w14:paraId="41362401" w14:textId="77777777" w:rsidR="00FD332F" w:rsidRDefault="00000000">
            <w:r>
              <w:t>Texto preto puro — usado nos títulos dos cards de matéria</w:t>
            </w:r>
          </w:p>
        </w:tc>
      </w:tr>
      <w:tr w:rsidR="00FD332F" w14:paraId="19A9CA1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6E6E6"/>
          </w:tcPr>
          <w:p w14:paraId="66DDC9CD" w14:textId="77777777" w:rsidR="00FD332F" w:rsidRDefault="00FD332F"/>
        </w:tc>
        <w:tc>
          <w:tcPr>
            <w:tcW w:w="1400" w:type="dxa"/>
          </w:tcPr>
          <w:p w14:paraId="65939A75" w14:textId="77777777" w:rsidR="00FD332F" w:rsidRDefault="00000000">
            <w:r>
              <w:t>#E6E6E6</w:t>
            </w:r>
          </w:p>
        </w:tc>
        <w:tc>
          <w:tcPr>
            <w:tcW w:w="6700" w:type="dxa"/>
          </w:tcPr>
          <w:p w14:paraId="6A99644D" w14:textId="77777777" w:rsidR="00FD332F" w:rsidRDefault="00000000">
            <w:r>
              <w:t>Fundo do menu lateral (formato pílula)</w:t>
            </w:r>
          </w:p>
        </w:tc>
      </w:tr>
      <w:tr w:rsidR="00FD332F" w14:paraId="1025558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D9D9D9"/>
          </w:tcPr>
          <w:p w14:paraId="21BAD8AE" w14:textId="77777777" w:rsidR="00FD332F" w:rsidRDefault="00FD332F"/>
        </w:tc>
        <w:tc>
          <w:tcPr>
            <w:tcW w:w="1400" w:type="dxa"/>
          </w:tcPr>
          <w:p w14:paraId="18175C83" w14:textId="77777777" w:rsidR="00FD332F" w:rsidRDefault="00000000">
            <w:r>
              <w:t>#D9D9D9</w:t>
            </w:r>
          </w:p>
        </w:tc>
        <w:tc>
          <w:tcPr>
            <w:tcW w:w="6700" w:type="dxa"/>
          </w:tcPr>
          <w:p w14:paraId="5344C423" w14:textId="77777777" w:rsidR="00FD332F" w:rsidRDefault="00000000">
            <w:r>
              <w:t>Fundo dos itens de menu inativos</w:t>
            </w:r>
          </w:p>
        </w:tc>
      </w:tr>
      <w:tr w:rsidR="00FD332F" w14:paraId="14B9FBE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727272"/>
          </w:tcPr>
          <w:p w14:paraId="034FA5BE" w14:textId="77777777" w:rsidR="00FD332F" w:rsidRDefault="00FD332F"/>
        </w:tc>
        <w:tc>
          <w:tcPr>
            <w:tcW w:w="1400" w:type="dxa"/>
          </w:tcPr>
          <w:p w14:paraId="2196213F" w14:textId="77777777" w:rsidR="00FD332F" w:rsidRDefault="00000000">
            <w:r>
              <w:t>#727272</w:t>
            </w:r>
          </w:p>
        </w:tc>
        <w:tc>
          <w:tcPr>
            <w:tcW w:w="6700" w:type="dxa"/>
          </w:tcPr>
          <w:p w14:paraId="178642B6" w14:textId="77777777" w:rsidR="00FD332F" w:rsidRDefault="00000000">
            <w:r>
              <w:t xml:space="preserve">Texto secundário / </w:t>
            </w:r>
            <w:proofErr w:type="spellStart"/>
            <w:r>
              <w:t>labels</w:t>
            </w:r>
            <w:proofErr w:type="spellEnd"/>
            <w:r>
              <w:t xml:space="preserve"> inativas</w:t>
            </w:r>
          </w:p>
        </w:tc>
      </w:tr>
      <w:tr w:rsidR="00FD332F" w14:paraId="3BE3B7D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1E1E1E"/>
          </w:tcPr>
          <w:p w14:paraId="3E01F189" w14:textId="77777777" w:rsidR="00FD332F" w:rsidRDefault="00FD332F"/>
        </w:tc>
        <w:tc>
          <w:tcPr>
            <w:tcW w:w="1400" w:type="dxa"/>
          </w:tcPr>
          <w:p w14:paraId="6B9BF114" w14:textId="77777777" w:rsidR="00FD332F" w:rsidRDefault="00000000">
            <w:r>
              <w:t>#1E1E1E</w:t>
            </w:r>
          </w:p>
        </w:tc>
        <w:tc>
          <w:tcPr>
            <w:tcW w:w="6700" w:type="dxa"/>
          </w:tcPr>
          <w:p w14:paraId="587C8413" w14:textId="77777777" w:rsidR="00FD332F" w:rsidRDefault="00000000">
            <w:r>
              <w:t>Borda padrão dos itens de menu</w:t>
            </w:r>
          </w:p>
        </w:tc>
      </w:tr>
    </w:tbl>
    <w:p w14:paraId="2A0FFB36" w14:textId="77777777" w:rsidR="00FD332F" w:rsidRDefault="00FD332F">
      <w:pPr>
        <w:spacing w:after="150"/>
      </w:pPr>
    </w:p>
    <w:p w14:paraId="42250D20" w14:textId="77777777" w:rsidR="00FD332F" w:rsidRDefault="00000000">
      <w:pPr>
        <w:pStyle w:val="Ttulo1"/>
        <w:spacing w:before="320" w:after="150"/>
      </w:pPr>
      <w:r>
        <w:t>Tipografia</w:t>
      </w:r>
    </w:p>
    <w:p w14:paraId="22755B8B" w14:textId="77777777" w:rsidR="00FD332F" w:rsidRDefault="00000000">
      <w:pPr>
        <w:spacing w:after="120"/>
      </w:pPr>
      <w:r>
        <w:lastRenderedPageBreak/>
        <w:t>Duas famílias: Poppins para toda a interface (</w:t>
      </w:r>
      <w:proofErr w:type="spellStart"/>
      <w:r>
        <w:t>chrome</w:t>
      </w:r>
      <w:proofErr w:type="spellEnd"/>
      <w:r>
        <w:t>, títulos, navegação) e Inter para conteúdo/feedback textual.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FD332F" w14:paraId="23B9D40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2C3E50"/>
          </w:tcPr>
          <w:p w14:paraId="0B45B1F3" w14:textId="77777777" w:rsidR="00FD332F" w:rsidRDefault="00000000">
            <w:r>
              <w:rPr>
                <w:b/>
                <w:bCs/>
                <w:color w:val="FFFFFF"/>
              </w:rPr>
              <w:t>Fonte / Peso</w:t>
            </w:r>
          </w:p>
        </w:tc>
        <w:tc>
          <w:tcPr>
            <w:tcW w:w="6000" w:type="dxa"/>
            <w:shd w:val="clear" w:color="auto" w:fill="2C3E50"/>
          </w:tcPr>
          <w:p w14:paraId="0BC87193" w14:textId="77777777" w:rsidR="00FD332F" w:rsidRDefault="00000000">
            <w:r>
              <w:rPr>
                <w:b/>
                <w:bCs/>
                <w:color w:val="FFFFFF"/>
              </w:rPr>
              <w:t>Uso</w:t>
            </w:r>
          </w:p>
        </w:tc>
      </w:tr>
      <w:tr w:rsidR="00FD332F" w14:paraId="0DB3ABD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2B077F76" w14:textId="77777777" w:rsidR="00FD332F" w:rsidRDefault="00000000">
            <w:r>
              <w:t>Poppins — Bold</w:t>
            </w:r>
          </w:p>
        </w:tc>
        <w:tc>
          <w:tcPr>
            <w:tcW w:w="6000" w:type="dxa"/>
          </w:tcPr>
          <w:p w14:paraId="59B19BD2" w14:textId="77777777" w:rsidR="00FD332F" w:rsidRDefault="00000000">
            <w:r>
              <w:t>Títulos de tela, títulos de card, itens de menu, nomes de usuário</w:t>
            </w:r>
          </w:p>
        </w:tc>
      </w:tr>
      <w:tr w:rsidR="00FD332F" w14:paraId="2264F63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40D44E2B" w14:textId="77777777" w:rsidR="00FD332F" w:rsidRDefault="00000000">
            <w:r>
              <w:t xml:space="preserve">Poppins — </w:t>
            </w:r>
            <w:proofErr w:type="spellStart"/>
            <w:r>
              <w:t>Medium</w:t>
            </w:r>
            <w:proofErr w:type="spellEnd"/>
          </w:p>
        </w:tc>
        <w:tc>
          <w:tcPr>
            <w:tcW w:w="6000" w:type="dxa"/>
          </w:tcPr>
          <w:p w14:paraId="2BC79326" w14:textId="77777777" w:rsidR="00FD332F" w:rsidRDefault="00000000">
            <w:r>
              <w:t>Rótulos de formulário (Usuário/Senha), textos de botão secundário, links</w:t>
            </w:r>
          </w:p>
        </w:tc>
      </w:tr>
      <w:tr w:rsidR="00FD332F" w14:paraId="3804EA8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16476F69" w14:textId="77777777" w:rsidR="00FD332F" w:rsidRDefault="00000000">
            <w:r>
              <w:t>Inter — Bold</w:t>
            </w:r>
          </w:p>
        </w:tc>
        <w:tc>
          <w:tcPr>
            <w:tcW w:w="6000" w:type="dxa"/>
          </w:tcPr>
          <w:p w14:paraId="4D89BC2D" w14:textId="77777777" w:rsidR="00FD332F" w:rsidRDefault="00000000">
            <w:r>
              <w:t>Texto do balão de feedback da IA, texto de botões de ação ("Escrever Código")</w:t>
            </w:r>
          </w:p>
        </w:tc>
      </w:tr>
      <w:tr w:rsidR="00FD332F" w14:paraId="2C71D1C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2FA72C1E" w14:textId="77777777" w:rsidR="00FD332F" w:rsidRDefault="00000000">
            <w:r>
              <w:t>Inter — Regular</w:t>
            </w:r>
          </w:p>
        </w:tc>
        <w:tc>
          <w:tcPr>
            <w:tcW w:w="6000" w:type="dxa"/>
          </w:tcPr>
          <w:p w14:paraId="3B544F45" w14:textId="77777777" w:rsidR="00FD332F" w:rsidRDefault="00000000">
            <w:r>
              <w:t>Texto corrido / auxiliar</w:t>
            </w:r>
          </w:p>
        </w:tc>
      </w:tr>
    </w:tbl>
    <w:p w14:paraId="25896C40" w14:textId="77777777" w:rsidR="00FD332F" w:rsidRDefault="00000000">
      <w:pPr>
        <w:spacing w:after="120"/>
      </w:pPr>
      <w:r>
        <w:t xml:space="preserve">Atenção: os tamanhos no </w:t>
      </w:r>
      <w:proofErr w:type="spellStart"/>
      <w:r>
        <w:t>Figma</w:t>
      </w:r>
      <w:proofErr w:type="spellEnd"/>
      <w:r>
        <w:t xml:space="preserve"> são grandes (36–64px) porque as telas foram desenhadas em </w:t>
      </w:r>
      <w:proofErr w:type="spellStart"/>
      <w:r>
        <w:t>canvas</w:t>
      </w:r>
      <w:proofErr w:type="spellEnd"/>
      <w:r>
        <w:t xml:space="preserve"> "MacBook Pro 16" (1728px de largura). Na implementação real, esses valores precisam ser reduzidos proporcionalmente — não copiar o </w:t>
      </w:r>
      <w:proofErr w:type="spellStart"/>
      <w:r>
        <w:t>px</w:t>
      </w:r>
      <w:proofErr w:type="spellEnd"/>
      <w:r>
        <w:t xml:space="preserve"> literal do </w:t>
      </w:r>
      <w:proofErr w:type="spellStart"/>
      <w:r>
        <w:t>Figma</w:t>
      </w:r>
      <w:proofErr w:type="spellEnd"/>
      <w:r>
        <w:t>.</w:t>
      </w:r>
    </w:p>
    <w:p w14:paraId="240AAC7E" w14:textId="77777777" w:rsidR="00FD332F" w:rsidRDefault="00000000">
      <w:pPr>
        <w:pStyle w:val="Ttulo1"/>
        <w:spacing w:before="320" w:after="150"/>
      </w:pPr>
      <w:r>
        <w:t>Geometria — Escala de Border-</w:t>
      </w:r>
      <w:proofErr w:type="spellStart"/>
      <w:r>
        <w:t>radius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00"/>
      </w:tblGrid>
      <w:tr w:rsidR="00FD332F" w14:paraId="052F136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2C3E50"/>
          </w:tcPr>
          <w:p w14:paraId="48881E10" w14:textId="77777777" w:rsidR="00FD332F" w:rsidRDefault="00000000">
            <w:r>
              <w:rPr>
                <w:b/>
                <w:bCs/>
                <w:color w:val="FFFFFF"/>
              </w:rPr>
              <w:t>Raio</w:t>
            </w:r>
          </w:p>
        </w:tc>
        <w:tc>
          <w:tcPr>
            <w:tcW w:w="7000" w:type="dxa"/>
            <w:shd w:val="clear" w:color="auto" w:fill="2C3E50"/>
          </w:tcPr>
          <w:p w14:paraId="28F61FCF" w14:textId="77777777" w:rsidR="00FD332F" w:rsidRDefault="00000000">
            <w:r>
              <w:rPr>
                <w:b/>
                <w:bCs/>
                <w:color w:val="FFFFFF"/>
              </w:rPr>
              <w:t>Onde aparece</w:t>
            </w:r>
          </w:p>
        </w:tc>
      </w:tr>
      <w:tr w:rsidR="00FD332F" w14:paraId="45CD9E6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7A092485" w14:textId="77777777" w:rsidR="00FD332F" w:rsidRDefault="00000000">
            <w:r>
              <w:t>8px</w:t>
            </w:r>
          </w:p>
        </w:tc>
        <w:tc>
          <w:tcPr>
            <w:tcW w:w="7000" w:type="dxa"/>
          </w:tcPr>
          <w:p w14:paraId="4BCB000C" w14:textId="77777777" w:rsidR="00FD332F" w:rsidRDefault="00000000">
            <w:r>
              <w:t>Miniaturas pequenas (ícones de anexo)</w:t>
            </w:r>
          </w:p>
        </w:tc>
      </w:tr>
      <w:tr w:rsidR="00FD332F" w14:paraId="6611BD9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7C42D1A5" w14:textId="77777777" w:rsidR="00FD332F" w:rsidRDefault="00000000">
            <w:r>
              <w:t>10px</w:t>
            </w:r>
          </w:p>
        </w:tc>
        <w:tc>
          <w:tcPr>
            <w:tcW w:w="7000" w:type="dxa"/>
          </w:tcPr>
          <w:p w14:paraId="2A71AD4A" w14:textId="77777777" w:rsidR="00FD332F" w:rsidRDefault="00000000">
            <w:r>
              <w:t>Inputs de formulário, botão "Entrar", barra superior (header)</w:t>
            </w:r>
          </w:p>
        </w:tc>
      </w:tr>
      <w:tr w:rsidR="00FD332F" w14:paraId="134EF35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51A2E4D4" w14:textId="77777777" w:rsidR="00FD332F" w:rsidRDefault="00000000">
            <w:r>
              <w:t>11px</w:t>
            </w:r>
          </w:p>
        </w:tc>
        <w:tc>
          <w:tcPr>
            <w:tcW w:w="7000" w:type="dxa"/>
          </w:tcPr>
          <w:p w14:paraId="713181D6" w14:textId="77777777" w:rsidR="00FD332F" w:rsidRDefault="00000000">
            <w:r>
              <w:t>Cards do dashboard (versão inicial)</w:t>
            </w:r>
          </w:p>
        </w:tc>
      </w:tr>
      <w:tr w:rsidR="00FD332F" w14:paraId="49FE461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56DB241B" w14:textId="77777777" w:rsidR="00FD332F" w:rsidRDefault="00000000">
            <w:r>
              <w:t>20px</w:t>
            </w:r>
          </w:p>
        </w:tc>
        <w:tc>
          <w:tcPr>
            <w:tcW w:w="7000" w:type="dxa"/>
          </w:tcPr>
          <w:p w14:paraId="3004FA2C" w14:textId="77777777" w:rsidR="00FD332F" w:rsidRDefault="00000000">
            <w:r>
              <w:t>Botões tipo pílula (ex.: "Escrever Código")</w:t>
            </w:r>
          </w:p>
        </w:tc>
      </w:tr>
      <w:tr w:rsidR="00FD332F" w14:paraId="1AFBCCC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3AD30372" w14:textId="77777777" w:rsidR="00FD332F" w:rsidRDefault="00000000">
            <w:r>
              <w:t>25px</w:t>
            </w:r>
          </w:p>
        </w:tc>
        <w:tc>
          <w:tcPr>
            <w:tcW w:w="7000" w:type="dxa"/>
          </w:tcPr>
          <w:p w14:paraId="4C37FD43" w14:textId="77777777" w:rsidR="00FD332F" w:rsidRDefault="00000000">
            <w:r>
              <w:t>Cards principais — matérias, atividades, mural</w:t>
            </w:r>
          </w:p>
        </w:tc>
      </w:tr>
      <w:tr w:rsidR="00FD332F" w14:paraId="49D09C7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48ECD007" w14:textId="77777777" w:rsidR="00FD332F" w:rsidRDefault="00000000">
            <w:r>
              <w:t>30px</w:t>
            </w:r>
          </w:p>
        </w:tc>
        <w:tc>
          <w:tcPr>
            <w:tcW w:w="7000" w:type="dxa"/>
          </w:tcPr>
          <w:p w14:paraId="3FF58A8A" w14:textId="77777777" w:rsidR="00FD332F" w:rsidRDefault="00000000">
            <w:r>
              <w:t>Itens do menu lateral</w:t>
            </w:r>
          </w:p>
        </w:tc>
      </w:tr>
      <w:tr w:rsidR="00FD332F" w14:paraId="3E9DB0F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63101E68" w14:textId="77777777" w:rsidR="00FD332F" w:rsidRDefault="00000000">
            <w:r>
              <w:t>49–50px</w:t>
            </w:r>
          </w:p>
        </w:tc>
        <w:tc>
          <w:tcPr>
            <w:tcW w:w="7000" w:type="dxa"/>
          </w:tcPr>
          <w:p w14:paraId="7C6B620E" w14:textId="77777777" w:rsidR="00FD332F" w:rsidRDefault="00000000">
            <w:r>
              <w:t xml:space="preserve">Balão de feedback da IA (chat </w:t>
            </w:r>
            <w:proofErr w:type="spellStart"/>
            <w:r>
              <w:t>bubble</w:t>
            </w:r>
            <w:proofErr w:type="spellEnd"/>
            <w:r>
              <w:t>)</w:t>
            </w:r>
          </w:p>
        </w:tc>
      </w:tr>
      <w:tr w:rsidR="00FD332F" w14:paraId="1B13D5C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429AD390" w14:textId="77777777" w:rsidR="00FD332F" w:rsidRDefault="00000000">
            <w:r>
              <w:t>90–150px+</w:t>
            </w:r>
          </w:p>
        </w:tc>
        <w:tc>
          <w:tcPr>
            <w:tcW w:w="7000" w:type="dxa"/>
          </w:tcPr>
          <w:p w14:paraId="48B3215D" w14:textId="77777777" w:rsidR="00FD332F" w:rsidRDefault="00000000">
            <w:r>
              <w:t>Avatares e elementos totalmente circulares; menu lateral em formato de pílula (122px)</w:t>
            </w:r>
          </w:p>
        </w:tc>
      </w:tr>
    </w:tbl>
    <w:p w14:paraId="62FC5FAC" w14:textId="77777777" w:rsidR="00FD332F" w:rsidRDefault="00000000">
      <w:pPr>
        <w:pStyle w:val="Ttulo1"/>
        <w:spacing w:before="320" w:after="150"/>
      </w:pPr>
      <w:r>
        <w:t>Sombras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300"/>
        <w:gridCol w:w="3500"/>
      </w:tblGrid>
      <w:tr w:rsidR="00FD332F" w14:paraId="35F9223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2C3E50"/>
          </w:tcPr>
          <w:p w14:paraId="06EF2E6B" w14:textId="77777777" w:rsidR="00FD332F" w:rsidRDefault="00000000">
            <w:r>
              <w:rPr>
                <w:b/>
                <w:bCs/>
                <w:color w:val="FFFFFF"/>
              </w:rPr>
              <w:t>Nome</w:t>
            </w:r>
          </w:p>
        </w:tc>
        <w:tc>
          <w:tcPr>
            <w:tcW w:w="3300" w:type="dxa"/>
            <w:shd w:val="clear" w:color="auto" w:fill="2C3E50"/>
          </w:tcPr>
          <w:p w14:paraId="20D465B0" w14:textId="77777777" w:rsidR="00FD332F" w:rsidRDefault="00000000">
            <w:r>
              <w:rPr>
                <w:b/>
                <w:bCs/>
                <w:color w:val="FFFFFF"/>
              </w:rPr>
              <w:t>Valor</w:t>
            </w:r>
          </w:p>
        </w:tc>
        <w:tc>
          <w:tcPr>
            <w:tcW w:w="3500" w:type="dxa"/>
            <w:shd w:val="clear" w:color="auto" w:fill="2C3E50"/>
          </w:tcPr>
          <w:p w14:paraId="0F4DC7DD" w14:textId="77777777" w:rsidR="00FD332F" w:rsidRDefault="00000000">
            <w:r>
              <w:rPr>
                <w:b/>
                <w:bCs/>
                <w:color w:val="FFFFFF"/>
              </w:rPr>
              <w:t>Onde aparece</w:t>
            </w:r>
          </w:p>
        </w:tc>
      </w:tr>
      <w:tr w:rsidR="00FD332F" w14:paraId="1104A8D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31A30D12" w14:textId="77777777" w:rsidR="00FD332F" w:rsidRDefault="00000000">
            <w:r>
              <w:t>Sombra padrão de card</w:t>
            </w:r>
          </w:p>
        </w:tc>
        <w:tc>
          <w:tcPr>
            <w:tcW w:w="3300" w:type="dxa"/>
          </w:tcPr>
          <w:p w14:paraId="57394AFF" w14:textId="77777777" w:rsidR="00FD332F" w:rsidRDefault="00000000">
            <w:r>
              <w:t xml:space="preserve">0px 4px </w:t>
            </w:r>
            <w:proofErr w:type="spellStart"/>
            <w:r>
              <w:t>4px</w:t>
            </w:r>
            <w:proofErr w:type="spellEnd"/>
            <w:r>
              <w:t xml:space="preserve"> </w:t>
            </w:r>
            <w:proofErr w:type="spellStart"/>
            <w:r>
              <w:t>rgba</w:t>
            </w:r>
            <w:proofErr w:type="spellEnd"/>
            <w:r>
              <w:t>(0,0,0,0.25)</w:t>
            </w:r>
          </w:p>
        </w:tc>
        <w:tc>
          <w:tcPr>
            <w:tcW w:w="3500" w:type="dxa"/>
          </w:tcPr>
          <w:p w14:paraId="4BFF0236" w14:textId="77777777" w:rsidR="00FD332F" w:rsidRDefault="00000000">
            <w:r>
              <w:t>Usada nos cards de matéria e caixas do menu</w:t>
            </w:r>
          </w:p>
        </w:tc>
      </w:tr>
      <w:tr w:rsidR="00FD332F" w14:paraId="1F48AA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7ACDDDB3" w14:textId="77777777" w:rsidR="00FD332F" w:rsidRDefault="00000000">
            <w:r>
              <w:t>Brilho quente sob o header</w:t>
            </w:r>
          </w:p>
        </w:tc>
        <w:tc>
          <w:tcPr>
            <w:tcW w:w="3300" w:type="dxa"/>
          </w:tcPr>
          <w:p w14:paraId="46BF1290" w14:textId="77777777" w:rsidR="00FD332F" w:rsidRDefault="00000000">
            <w:r>
              <w:t xml:space="preserve">0px 4px 3px </w:t>
            </w:r>
            <w:proofErr w:type="spellStart"/>
            <w:r>
              <w:t>rgba</w:t>
            </w:r>
            <w:proofErr w:type="spellEnd"/>
            <w:r>
              <w:t>(248,96,17,0.5)</w:t>
            </w:r>
          </w:p>
        </w:tc>
        <w:tc>
          <w:tcPr>
            <w:tcW w:w="3500" w:type="dxa"/>
          </w:tcPr>
          <w:p w14:paraId="2B3805F1" w14:textId="77777777" w:rsidR="00FD332F" w:rsidRDefault="00000000">
            <w:r>
              <w:t>Aparece sob a barra superior verde E no botão "Entrar" — não é erro, é um padrão repetido (o laranja #FF8D28 usado como brilho complementar ao verde/azul)</w:t>
            </w:r>
          </w:p>
        </w:tc>
      </w:tr>
    </w:tbl>
    <w:p w14:paraId="41B04A61" w14:textId="77777777" w:rsidR="00FD332F" w:rsidRDefault="00000000">
      <w:pPr>
        <w:pStyle w:val="Ttulo1"/>
        <w:spacing w:before="320" w:after="150"/>
      </w:pPr>
      <w:r>
        <w:t>Padrões de Componente</w:t>
      </w:r>
    </w:p>
    <w:p w14:paraId="232231AC" w14:textId="77777777" w:rsidR="00FD332F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Barra superior (header): </w:t>
      </w:r>
      <w:r>
        <w:t xml:space="preserve">Faixa colorida de ponta a ponta (verde no aluno, azul no instrutor), logo circular + "The </w:t>
      </w:r>
      <w:proofErr w:type="spellStart"/>
      <w:r>
        <w:t>Farm</w:t>
      </w:r>
      <w:proofErr w:type="spellEnd"/>
      <w:r>
        <w:t xml:space="preserve"> Edu" à esquerda, avatar do usuário à direita, com o brilho laranja característico por baixo.</w:t>
      </w:r>
    </w:p>
    <w:p w14:paraId="71D8636E" w14:textId="77777777" w:rsidR="00FD332F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Menu lateral: </w:t>
      </w:r>
      <w:r>
        <w:t>Fundo cinza claro em formato de pílula (raio 122px). Itens são "cápsulas" arredondadas (30px); o item ativo ganha uma borda colorida (verde ou azul, conforme o perfil) por cima do cinza padrão.</w:t>
      </w:r>
    </w:p>
    <w:p w14:paraId="156B6BE6" w14:textId="77777777" w:rsidR="00FD332F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Cards de matéria/atividade: </w:t>
      </w:r>
      <w:r>
        <w:t xml:space="preserve">Barra de título colorida (verde) com texto preto em </w:t>
      </w:r>
      <w:proofErr w:type="spellStart"/>
      <w:r>
        <w:t>bold</w:t>
      </w:r>
      <w:proofErr w:type="spellEnd"/>
      <w:r>
        <w:t>, levemente rotacionado (~-0.35°) — dá um efeito "colado à mão", proposital. Abaixo, uma imagem de capa com os mesmos cantos arredondados.</w:t>
      </w:r>
    </w:p>
    <w:p w14:paraId="551710A0" w14:textId="77777777" w:rsidR="00FD332F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Feed / Mural: </w:t>
      </w:r>
      <w:r>
        <w:t xml:space="preserve">Itens em formato de pílula longa; o mais recente vem com borda verde de destaque, os demais em cinza neutro. Texto do título em </w:t>
      </w:r>
      <w:proofErr w:type="spellStart"/>
      <w:r>
        <w:t>bold</w:t>
      </w:r>
      <w:proofErr w:type="spellEnd"/>
      <w:r>
        <w:t xml:space="preserve">, </w:t>
      </w:r>
      <w:proofErr w:type="spellStart"/>
      <w:r>
        <w:t>timestamp</w:t>
      </w:r>
      <w:proofErr w:type="spellEnd"/>
      <w:r>
        <w:t xml:space="preserve"> abaixo com opacidade reduzida (75%).</w:t>
      </w:r>
    </w:p>
    <w:p w14:paraId="70E59B32" w14:textId="77777777" w:rsidR="00FD332F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Botões: </w:t>
      </w:r>
      <w:r>
        <w:t xml:space="preserve">Formato pílula, preenchimento sólido (verde para ação primária do aluno, laranja para a ação de "escrever código"), texto branco em </w:t>
      </w:r>
      <w:proofErr w:type="spellStart"/>
      <w:r>
        <w:t>bold</w:t>
      </w:r>
      <w:proofErr w:type="spellEnd"/>
      <w:r>
        <w:t>.</w:t>
      </w:r>
    </w:p>
    <w:p w14:paraId="337FBB89" w14:textId="77777777" w:rsidR="00FD332F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Campos de formulário: </w:t>
      </w:r>
      <w:r>
        <w:t>Retângulo branco, borda #002D38, cantos 10px.</w:t>
      </w:r>
    </w:p>
    <w:p w14:paraId="464A3FAD" w14:textId="77777777" w:rsidR="00FD332F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Feedback da IA ("Sophia"): </w:t>
      </w:r>
      <w:r>
        <w:t>Um mascote ilustrado (estilo anime, tema rural) aparece ancorado a um balão de chat branco bem arredondado (49px) com o texto do feedback em Inter Bold. É o elemento mais distintivo do sistema — vale preservar em qualquer implementação real.</w:t>
      </w:r>
    </w:p>
    <w:p w14:paraId="29799F93" w14:textId="77777777" w:rsidR="00FD332F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Mascote secundário: </w:t>
      </w:r>
      <w:r>
        <w:t xml:space="preserve">Um ícone de galinha em pixel </w:t>
      </w:r>
      <w:proofErr w:type="spellStart"/>
      <w:r>
        <w:t>art</w:t>
      </w:r>
      <w:proofErr w:type="spellEnd"/>
      <w:r>
        <w:t xml:space="preserve"> aparece no canto inferior direito em várias telas — parece ser um detalhe de marca recorrente, não pontual.</w:t>
      </w:r>
    </w:p>
    <w:p w14:paraId="39EB8812" w14:textId="77777777" w:rsidR="00FD332F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lastRenderedPageBreak/>
        <w:t xml:space="preserve">Nota sugerida pela IA: </w:t>
      </w:r>
      <w:r>
        <w:t>Tela do instrutor mostra uma escala 0/10 a 10/10 por critério de correção, com o valor sugerido em destaque na cor azul do tema do instrutor.</w:t>
      </w:r>
    </w:p>
    <w:p w14:paraId="1BCFE0D3" w14:textId="77777777" w:rsidR="00FD332F" w:rsidRDefault="00000000">
      <w:pPr>
        <w:pStyle w:val="Ttulo1"/>
        <w:spacing w:before="320" w:after="150"/>
      </w:pPr>
      <w:r>
        <w:t>Conceito de Jogo — Fazenda e Árvore de Aprimoramentos</w:t>
      </w:r>
    </w:p>
    <w:p w14:paraId="10F0C0AB" w14:textId="77777777" w:rsidR="00FD332F" w:rsidRDefault="00000000">
      <w:pPr>
        <w:spacing w:after="120"/>
      </w:pPr>
      <w:r>
        <w:t xml:space="preserve">Fonte: prints enviados por Pedro de um protótipo feito por um aluno em outro arquivo </w:t>
      </w:r>
      <w:proofErr w:type="spellStart"/>
      <w:r>
        <w:t>Figma</w:t>
      </w:r>
      <w:proofErr w:type="spellEnd"/>
      <w:r>
        <w:t xml:space="preserve"> (acesso apenas de visualização, sem permissão de edição — não foi possível extrair tokens exatos de cor/fonte desse arquivo). Pedro orientou aproveitar o CONCEITO da mecânica, e descartar o estilo visual (pixel </w:t>
      </w:r>
      <w:proofErr w:type="spellStart"/>
      <w:r>
        <w:t>art</w:t>
      </w:r>
      <w:proofErr w:type="spellEnd"/>
      <w:r>
        <w:t xml:space="preserve"> estilo Minecraft), que não é a direção do restante do sistema.</w:t>
      </w:r>
    </w:p>
    <w:p w14:paraId="7F1C1491" w14:textId="77777777" w:rsidR="00FD332F" w:rsidRDefault="00000000">
      <w:pPr>
        <w:pStyle w:val="Ttulo2"/>
        <w:spacing w:before="220" w:after="100"/>
      </w:pPr>
      <w:r>
        <w:t>O que vale aproveitar (mecânica)</w:t>
      </w:r>
    </w:p>
    <w:p w14:paraId="734E0492" w14:textId="77777777" w:rsidR="00FD332F" w:rsidRDefault="00000000">
      <w:pPr>
        <w:pStyle w:val="PargrafodaLista"/>
        <w:numPr>
          <w:ilvl w:val="0"/>
          <w:numId w:val="2"/>
        </w:numPr>
        <w:spacing w:after="80"/>
      </w:pPr>
      <w:r>
        <w:t>Árvore de aprimoramentos com nó central "Fazenda" que se ramifica em 3 categorias: Animais, Plantação e Maquinário — cada uma com um contador "desbloqueados/total" (ex.: 0/13, 0/7, 0/11).</w:t>
      </w:r>
    </w:p>
    <w:p w14:paraId="131245A9" w14:textId="77777777" w:rsidR="00FD332F" w:rsidRDefault="00000000">
      <w:pPr>
        <w:pStyle w:val="PargrafodaLista"/>
        <w:numPr>
          <w:ilvl w:val="0"/>
          <w:numId w:val="2"/>
        </w:numPr>
        <w:spacing w:after="80"/>
      </w:pPr>
      <w:r>
        <w:t>Um contador de "Pontos disponíveis" no topo da árvore — sugere que o XP acumulado (RF17) se converte em pontos que o aluno gasta para desbloquear itens dentro de cada categoria, em vez de a fazenda evoluir de forma totalmente automática.</w:t>
      </w:r>
    </w:p>
    <w:p w14:paraId="3F07182C" w14:textId="77777777" w:rsidR="00FD332F" w:rsidRDefault="00000000">
      <w:pPr>
        <w:pStyle w:val="PargrafodaLista"/>
        <w:numPr>
          <w:ilvl w:val="0"/>
          <w:numId w:val="2"/>
        </w:numPr>
        <w:spacing w:after="80"/>
      </w:pPr>
      <w:r>
        <w:t>A fazenda é uma cena única e contínua (não uma grade de blocos) que ganha novos elementos progressivamente — cada desbloqueio aparece com uma indicação "UPGRADE: LVL N" e uma seta apontando para o elemento novo (tratores, plantações, cercados de animais).</w:t>
      </w:r>
    </w:p>
    <w:p w14:paraId="0E37172B" w14:textId="77777777" w:rsidR="00FD332F" w:rsidRDefault="00000000">
      <w:pPr>
        <w:pStyle w:val="PargrafodaLista"/>
        <w:numPr>
          <w:ilvl w:val="0"/>
          <w:numId w:val="2"/>
        </w:numPr>
        <w:spacing w:after="80"/>
      </w:pPr>
      <w:r>
        <w:t>Existe um menu lateral na visão da fazenda com ícones de construções/itens — funciona como um atalho para os elementos já desbloqueados.</w:t>
      </w:r>
    </w:p>
    <w:p w14:paraId="72809586" w14:textId="77777777" w:rsidR="00FD332F" w:rsidRDefault="00000000">
      <w:pPr>
        <w:pStyle w:val="PargrafodaLista"/>
        <w:numPr>
          <w:ilvl w:val="0"/>
          <w:numId w:val="2"/>
        </w:numPr>
        <w:spacing w:after="80"/>
      </w:pPr>
      <w:r>
        <w:t>Navegação simples e consistente entre as duas telas: "Sair" (canto inferior esquerdo, sempre presente) e "Ver Upgrades" (canto inferior direito, leva à árvore de aprimoramentos).</w:t>
      </w:r>
    </w:p>
    <w:p w14:paraId="49F52BC4" w14:textId="77777777" w:rsidR="00FD332F" w:rsidRDefault="00000000">
      <w:pPr>
        <w:pStyle w:val="Ttulo2"/>
        <w:spacing w:before="220" w:after="100"/>
      </w:pPr>
      <w:r>
        <w:t>O que descartar (visual)</w:t>
      </w:r>
    </w:p>
    <w:p w14:paraId="5D9CE23B" w14:textId="77777777" w:rsidR="00FD332F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Estilo pixel </w:t>
      </w:r>
      <w:proofErr w:type="spellStart"/>
      <w:r>
        <w:t>art</w:t>
      </w:r>
      <w:proofErr w:type="spellEnd"/>
      <w:r>
        <w:t xml:space="preserve"> / blocos ao estilo Minecraft (céu, grama, terra) — não combina com a linguagem já levantada no outro arquivo (Poppins, cantos arredondados, paleta pastel verde/azul).</w:t>
      </w:r>
    </w:p>
    <w:p w14:paraId="669FDE14" w14:textId="77777777" w:rsidR="00FD332F" w:rsidRDefault="00000000">
      <w:pPr>
        <w:pStyle w:val="PargrafodaLista"/>
        <w:numPr>
          <w:ilvl w:val="0"/>
          <w:numId w:val="2"/>
        </w:numPr>
        <w:spacing w:after="80"/>
      </w:pPr>
      <w:r>
        <w:t>Painéis escuros translúcidos sobre fundo pixelado, usados para dar contraste ao texto da árvore — solução paliativa que também não é necessária fora do estilo pixel art.</w:t>
      </w:r>
    </w:p>
    <w:p w14:paraId="1E178DA5" w14:textId="77777777" w:rsidR="00FD332F" w:rsidRDefault="00000000">
      <w:pPr>
        <w:pStyle w:val="Ttulo2"/>
        <w:spacing w:before="220" w:after="100"/>
      </w:pPr>
      <w:r>
        <w:t xml:space="preserve">Recomendação de </w:t>
      </w:r>
      <w:proofErr w:type="spellStart"/>
      <w:r w:rsidRPr="00B51411">
        <w:t>reskin</w:t>
      </w:r>
      <w:proofErr w:type="spellEnd"/>
    </w:p>
    <w:p w14:paraId="08A1A765" w14:textId="2329C05D" w:rsidR="00FD332F" w:rsidRDefault="00000000">
      <w:pPr>
        <w:spacing w:after="120"/>
      </w:pPr>
      <w:r>
        <w:t>Manter a estrutura (árvore com 3 ramos + contador por categoria + pontos disponíveis + cena única evolutiva), mas desenhar com a linguagem já definida: cards arredondados (25px), Poppins Bold para títulos, paleta verde do aluno (#</w:t>
      </w:r>
      <w:r w:rsidR="00B51411" w:rsidRPr="00B51411">
        <w:t>1B5E20</w:t>
      </w:r>
      <w:r>
        <w:t xml:space="preserve">e variações) em vez de pixel </w:t>
      </w:r>
      <w:proofErr w:type="spellStart"/>
      <w:r>
        <w:t>art</w:t>
      </w:r>
      <w:proofErr w:type="spellEnd"/>
      <w:r>
        <w:t xml:space="preserve"> 8-bit. A cena da fazenda pode seguir a mesma linha do selo circular da tela de login (celeiro estilizado, ilustração flat/vetorial) em vez de textura de blocos.</w:t>
      </w:r>
    </w:p>
    <w:p w14:paraId="3C9F86DD" w14:textId="77777777" w:rsidR="00FD332F" w:rsidRDefault="00000000">
      <w:pPr>
        <w:pStyle w:val="Ttulo1"/>
        <w:spacing w:before="320" w:after="150"/>
      </w:pPr>
      <w:r>
        <w:t>Recomendações para a implementação</w:t>
      </w:r>
    </w:p>
    <w:p w14:paraId="4F059677" w14:textId="77777777" w:rsidR="00FD332F" w:rsidRDefault="00000000">
      <w:pPr>
        <w:pStyle w:val="PargrafodaLista"/>
        <w:numPr>
          <w:ilvl w:val="0"/>
          <w:numId w:val="2"/>
        </w:numPr>
        <w:spacing w:after="80"/>
      </w:pPr>
      <w:r>
        <w:t>Trate verde/azul como variável de tema por perfil (aluno/instrutor), não como cor fixa — assim um único CSS serve para as duas áreas.</w:t>
      </w:r>
    </w:p>
    <w:p w14:paraId="246A2654" w14:textId="77777777" w:rsidR="00FD332F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A tela de "código" no </w:t>
      </w:r>
      <w:proofErr w:type="spellStart"/>
      <w:r>
        <w:t>Figma</w:t>
      </w:r>
      <w:proofErr w:type="spellEnd"/>
      <w:r>
        <w:t xml:space="preserve"> é só uma imagem estática de referência (</w:t>
      </w:r>
      <w:proofErr w:type="spellStart"/>
      <w:r>
        <w:t>mockup</w:t>
      </w:r>
      <w:proofErr w:type="spellEnd"/>
      <w:r>
        <w:t xml:space="preserve"> estilo </w:t>
      </w:r>
      <w:proofErr w:type="spellStart"/>
      <w:r>
        <w:t>VSCode</w:t>
      </w:r>
      <w:proofErr w:type="spellEnd"/>
      <w:r>
        <w:t xml:space="preserve">) — na implementação real, use um editor de verdade (ex.: </w:t>
      </w:r>
      <w:proofErr w:type="spellStart"/>
      <w:r>
        <w:t>CodeMirror</w:t>
      </w:r>
      <w:proofErr w:type="spellEnd"/>
      <w:r>
        <w:t xml:space="preserve"> ou Monaco), adaptando o visual escuro e o balão da Sophia.</w:t>
      </w:r>
    </w:p>
    <w:p w14:paraId="174D28DA" w14:textId="77777777" w:rsidR="00FD332F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A mascote "Sophia" e o ícone da galinha aparecem em mais de uma tela — vale definir como componentes reutilizáveis desde o início, para todos os </w:t>
      </w:r>
      <w:proofErr w:type="spellStart"/>
      <w:r>
        <w:t>squads</w:t>
      </w:r>
      <w:proofErr w:type="spellEnd"/>
      <w:r>
        <w:t xml:space="preserve"> usarem a mesma versão.</w:t>
      </w:r>
    </w:p>
    <w:sectPr w:rsidR="00FD332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C51B40"/>
    <w:multiLevelType w:val="hybridMultilevel"/>
    <w:tmpl w:val="38F44E04"/>
    <w:lvl w:ilvl="0" w:tplc="69CAF48C">
      <w:start w:val="1"/>
      <w:numFmt w:val="bullet"/>
      <w:lvlText w:val="●"/>
      <w:lvlJc w:val="left"/>
      <w:pPr>
        <w:ind w:left="720" w:hanging="360"/>
      </w:pPr>
    </w:lvl>
    <w:lvl w:ilvl="1" w:tplc="39EEDE02">
      <w:start w:val="1"/>
      <w:numFmt w:val="bullet"/>
      <w:lvlText w:val="○"/>
      <w:lvlJc w:val="left"/>
      <w:pPr>
        <w:ind w:left="1440" w:hanging="360"/>
      </w:pPr>
    </w:lvl>
    <w:lvl w:ilvl="2" w:tplc="6E6EEC86">
      <w:start w:val="1"/>
      <w:numFmt w:val="bullet"/>
      <w:lvlText w:val="■"/>
      <w:lvlJc w:val="left"/>
      <w:pPr>
        <w:ind w:left="2160" w:hanging="360"/>
      </w:pPr>
    </w:lvl>
    <w:lvl w:ilvl="3" w:tplc="9154CDF0">
      <w:start w:val="1"/>
      <w:numFmt w:val="bullet"/>
      <w:lvlText w:val="●"/>
      <w:lvlJc w:val="left"/>
      <w:pPr>
        <w:ind w:left="2880" w:hanging="360"/>
      </w:pPr>
    </w:lvl>
    <w:lvl w:ilvl="4" w:tplc="F61E6B30">
      <w:start w:val="1"/>
      <w:numFmt w:val="bullet"/>
      <w:lvlText w:val="○"/>
      <w:lvlJc w:val="left"/>
      <w:pPr>
        <w:ind w:left="3600" w:hanging="360"/>
      </w:pPr>
    </w:lvl>
    <w:lvl w:ilvl="5" w:tplc="95D82C04">
      <w:start w:val="1"/>
      <w:numFmt w:val="bullet"/>
      <w:lvlText w:val="■"/>
      <w:lvlJc w:val="left"/>
      <w:pPr>
        <w:ind w:left="4320" w:hanging="360"/>
      </w:pPr>
    </w:lvl>
    <w:lvl w:ilvl="6" w:tplc="FB1AC588">
      <w:start w:val="1"/>
      <w:numFmt w:val="bullet"/>
      <w:lvlText w:val="●"/>
      <w:lvlJc w:val="left"/>
      <w:pPr>
        <w:ind w:left="5040" w:hanging="360"/>
      </w:pPr>
    </w:lvl>
    <w:lvl w:ilvl="7" w:tplc="96E09CBA">
      <w:start w:val="1"/>
      <w:numFmt w:val="bullet"/>
      <w:lvlText w:val="●"/>
      <w:lvlJc w:val="left"/>
      <w:pPr>
        <w:ind w:left="5760" w:hanging="360"/>
      </w:pPr>
    </w:lvl>
    <w:lvl w:ilvl="8" w:tplc="0F7C43A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CC42DBA"/>
    <w:multiLevelType w:val="hybridMultilevel"/>
    <w:tmpl w:val="0E7AB976"/>
    <w:lvl w:ilvl="0" w:tplc="64F46FAE">
      <w:start w:val="1"/>
      <w:numFmt w:val="bullet"/>
      <w:lvlText w:val="•"/>
      <w:lvlJc w:val="left"/>
      <w:pPr>
        <w:ind w:left="360" w:hanging="360"/>
      </w:pPr>
    </w:lvl>
    <w:lvl w:ilvl="1" w:tplc="DD72E158">
      <w:numFmt w:val="decimal"/>
      <w:lvlText w:val=""/>
      <w:lvlJc w:val="left"/>
    </w:lvl>
    <w:lvl w:ilvl="2" w:tplc="83DAA81C">
      <w:numFmt w:val="decimal"/>
      <w:lvlText w:val=""/>
      <w:lvlJc w:val="left"/>
    </w:lvl>
    <w:lvl w:ilvl="3" w:tplc="DC400D2A">
      <w:numFmt w:val="decimal"/>
      <w:lvlText w:val=""/>
      <w:lvlJc w:val="left"/>
    </w:lvl>
    <w:lvl w:ilvl="4" w:tplc="56D4989E">
      <w:numFmt w:val="decimal"/>
      <w:lvlText w:val=""/>
      <w:lvlJc w:val="left"/>
    </w:lvl>
    <w:lvl w:ilvl="5" w:tplc="769A6AEA">
      <w:numFmt w:val="decimal"/>
      <w:lvlText w:val=""/>
      <w:lvlJc w:val="left"/>
    </w:lvl>
    <w:lvl w:ilvl="6" w:tplc="2B188036">
      <w:numFmt w:val="decimal"/>
      <w:lvlText w:val=""/>
      <w:lvlJc w:val="left"/>
    </w:lvl>
    <w:lvl w:ilvl="7" w:tplc="F54AA2BA">
      <w:numFmt w:val="decimal"/>
      <w:lvlText w:val=""/>
      <w:lvlJc w:val="left"/>
    </w:lvl>
    <w:lvl w:ilvl="8" w:tplc="3F7866F2">
      <w:numFmt w:val="decimal"/>
      <w:lvlText w:val=""/>
      <w:lvlJc w:val="left"/>
    </w:lvl>
  </w:abstractNum>
  <w:num w:numId="1" w16cid:durableId="136412794">
    <w:abstractNumId w:val="0"/>
    <w:lvlOverride w:ilvl="0">
      <w:startOverride w:val="1"/>
    </w:lvlOverride>
  </w:num>
  <w:num w:numId="2" w16cid:durableId="141154070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332F"/>
    <w:rsid w:val="00B51411"/>
    <w:rsid w:val="00CF1F0F"/>
    <w:rsid w:val="00FD3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B76EA0"/>
  <w15:docId w15:val="{73DDA820-DE95-4181-B691-D281012C8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1462</Words>
  <Characters>7898</Characters>
  <Application>Microsoft Office Word</Application>
  <DocSecurity>0</DocSecurity>
  <Lines>65</Lines>
  <Paragraphs>18</Paragraphs>
  <ScaleCrop>false</ScaleCrop>
  <Company/>
  <LinksUpToDate>false</LinksUpToDate>
  <CharactersWithSpaces>9342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Pedro Lucas de Oliveira</cp:lastModifiedBy>
  <cp:revision>2</cp:revision>
  <dcterms:created xsi:type="dcterms:W3CDTF">2026-09-02T22:48:00Z</dcterms:created>
  <dcterms:modified xsi:type="dcterms:W3CDTF">2026-10-23T14:26:00Z</dcterms:modified>
</cp:coreProperties>
</file>