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60"/>
          <w:szCs w:val="60"/>
        </w:rPr>
        <w:t xml:space="preserve">The Farmer Edu</w:t>
      </w:r>
    </w:p>
    <w:p>
      <w:pPr>
        <w:spacing w:after="40"/>
      </w:pPr>
      <w:r>
        <w:rPr>
          <w:color w:val="555555"/>
          <w:sz w:val="30"/>
          <w:szCs w:val="30"/>
        </w:rPr>
        <w:t xml:space="preserve">Documentação Oficial do Sistema</w:t>
      </w:r>
    </w:p>
    <w:p>
      <w:pPr>
        <w:spacing w:after="40"/>
      </w:pPr>
      <w:r>
        <w:rPr>
          <w:i/>
          <w:iCs/>
          <w:color w:val="888888"/>
          <w:sz w:val="22"/>
          <w:szCs w:val="22"/>
        </w:rPr>
        <w:t xml:space="preserve">SENAI · Aprendizagem em Assistente de Programação Web · UC Desenvolvimento de Sistema Web</w:t>
      </w:r>
    </w:p>
    <w:p>
      <w:pPr>
        <w:spacing w:after="400"/>
      </w:pPr>
      <w:r>
        <w:rPr>
          <w:color w:val="AAAAAA"/>
          <w:sz w:val="20"/>
          <w:szCs w:val="20"/>
        </w:rPr>
        <w:t xml:space="preserve">Versão 1.0</w:t>
      </w:r>
    </w:p>
    <w:p>
      <w:pPr>
        <w:pStyle w:val="Heading1"/>
        <w:spacing w:after="150" w:before="320"/>
      </w:pPr>
      <w:r>
        <w:t xml:space="preserve">1. Visão Geral</w:t>
      </w:r>
    </w:p>
    <w:p>
      <w:pPr>
        <w:spacing w:after="120"/>
      </w:pPr>
      <w:r>
        <w:t xml:space="preserve">The Farmer Edu é um portal educacional com funcionamento similar ao Google Sala de Aula, desenvolvido como projeto integrador das duas turmas de Aprendizagem em Assistente de Programação Web do SENAI (56 alunos). O sistema une três frentes: gestão de turmas e atividades (instrutor), realização de atividades com correção assistida por Inteligência Artificial (aluno), e um sistema de gamificação — uma fazenda virtual que evolui ou retrocede de acordo com o desempenho do aluno nas 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Público-alvo: </w:t>
      </w:r>
      <w:r>
        <w:t xml:space="preserve">Instrutores (gestão de turmas, atividades e notas) e Alunos (realização de atividades e acompanhamento via fazenda).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Natureza do projeto: </w:t>
      </w:r>
      <w:r>
        <w:t xml:space="preserve">desenvolvido simultaneamente pelas duas turmas, organizadas em squads mistos com liderança técnica rotativa, sem separação fixa por camada (front-end/back-end/banco de dados).</w:t>
      </w:r>
    </w:p>
    <w:p>
      <w:pPr>
        <w:pStyle w:val="Heading1"/>
        <w:spacing w:after="150" w:before="320"/>
      </w:pPr>
      <w:r>
        <w:t xml:space="preserve">2. Requisitos Funcionais</w:t>
      </w:r>
    </w:p>
    <w:p>
      <w:pPr>
        <w:pStyle w:val="Heading2"/>
        <w:spacing w:after="100" w:before="220"/>
      </w:pPr>
      <w:r>
        <w:t xml:space="preserve">Área do Instrutor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RF01 — </w:t>
      </w:r>
      <w:r>
        <w:t xml:space="preserve">Login exclusivo de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RF02 — </w:t>
      </w:r>
      <w:r>
        <w:t xml:space="preserve">Criação de novas turmas, associadas a um curso.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RF03 — </w:t>
      </w:r>
      <w:r>
        <w:t xml:space="preserve">Visualização das turmas e dos alunos matriculados em cada uma.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RF04 — </w:t>
      </w:r>
      <w:r>
        <w:t xml:space="preserve">Cadastro, edição e remoção de atividades vinculadas a uma turma.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RF05 — </w:t>
      </w:r>
      <w:r>
        <w:t xml:space="preserve">Visualização das submissões dos alunos e das notas atribuídas.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RF06 — </w:t>
      </w:r>
      <w:r>
        <w:t xml:space="preserve">Revisão e, se necessário, alteração da nota sugerida pela IA antes de torná-la definitiva.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RF07 — </w:t>
      </w:r>
      <w:r>
        <w:t xml:space="preserve">Configuração dos critérios usados pela IA para avaliar as atividades.</w:t>
      </w:r>
    </w:p>
    <w:p>
      <w:pPr>
        <w:pStyle w:val="Heading2"/>
        <w:spacing w:after="100" w:before="220"/>
      </w:pPr>
      <w:r>
        <w:t xml:space="preserve">Área do Aluno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RF08 — </w:t>
      </w:r>
      <w:r>
        <w:t xml:space="preserve">Login exclusivo de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RF09 — </w:t>
      </w:r>
      <w:r>
        <w:t xml:space="preserve">Seleção entre os cursos em que está matriculado.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RF10 — </w:t>
      </w:r>
      <w:r>
        <w:t xml:space="preserve">Visualização de atividades pendentes e já realizadas.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RF11 — </w:t>
      </w:r>
      <w:r>
        <w:t xml:space="preserve">Realização de atividades exclusivamente dentro da plataforma.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RF12 — </w:t>
      </w:r>
      <w:r>
        <w:t xml:space="preserve">Acesso à Fazenda (mini-jogo) a partir de um botão dedicado.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RF13 — </w:t>
      </w:r>
      <w:r>
        <w:t xml:space="preserve">Nova tentativa de uma atividade após receber o feedback da IA, dentro do prazo definido pelo instrutor.</w:t>
      </w:r>
    </w:p>
    <w:p>
      <w:pPr>
        <w:pStyle w:val="Heading2"/>
        <w:spacing w:after="100" w:before="220"/>
      </w:pPr>
      <w:r>
        <w:t xml:space="preserve">IA e Feedback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RF14 — </w:t>
      </w:r>
      <w:r>
        <w:t xml:space="preserve">Geração de uma resposta de referência e comparação com a resposta do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RF15 — </w:t>
      </w:r>
      <w:r>
        <w:t xml:space="preserve">Apresentação de feedback textual ao aluno, com pontos positivos e pontos a melhorar.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RF16 — </w:t>
      </w:r>
      <w:r>
        <w:t xml:space="preserve">Atribuição de nota sugerida com base na comparação, sujeita à revisão do instrutor.</w:t>
      </w:r>
    </w:p>
    <w:p>
      <w:pPr>
        <w:pStyle w:val="Heading2"/>
        <w:spacing w:after="100" w:before="220"/>
      </w:pPr>
      <w:r>
        <w:t xml:space="preserve">Fazenda e Gamificação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RF17 — </w:t>
      </w:r>
      <w:r>
        <w:t xml:space="preserve">Concessão de XP ao aluno conforme o desempenho nas 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RF18 — </w:t>
      </w:r>
      <w:r>
        <w:t xml:space="preserve">Evolução visual da fazenda (nível, construções, plantações, animais) proporcional ao XP.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RF19 — </w:t>
      </w:r>
      <w:r>
        <w:t xml:space="preserve">Retrocesso do estado da fazenda em caso de desempenho insuficiente.</w:t>
      </w:r>
    </w:p>
    <w:p>
      <w:pPr>
        <w:pStyle w:val="Heading1"/>
        <w:spacing w:after="150" w:before="320"/>
      </w:pPr>
      <w:r>
        <w:t xml:space="preserve">3. Requisitos Não Funcionais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Segurança: </w:t>
      </w:r>
      <w:r>
        <w:t xml:space="preserve">Código enviado pelo aluno é executado em ambiente isolado (Judge0), sem acesso à rede e com limite de tempo/CPU/memória.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Desempenho: </w:t>
      </w:r>
      <w:r>
        <w:t xml:space="preserve">Suporte a pelo menos 56 usuários simultâneos sem degradação perceptível em login, envio de atividade e consulta de notas.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Disponibilidade: </w:t>
      </w:r>
      <w:r>
        <w:t xml:space="preserve">Sistema disponível durante o horário de aula das duas turmas (manhã e tarde).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Usabilidade: </w:t>
      </w:r>
      <w:r>
        <w:t xml:space="preserve">Interface com funcionamento similar a plataformas já conhecidas pelos alunos (ex.: Google Sala de Aula).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Privacidade / LGPD: </w:t>
      </w:r>
      <w:r>
        <w:t xml:space="preserve">Dados pessoais tratados com o mínimo necessário, sem exposição pública de notas ou identificação — parte dos alunos é menor de idade.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Tempo de resposta da IA: </w:t>
      </w:r>
      <w:r>
        <w:t xml:space="preserve">Indicador de carregamento no envio da atividade, já que o feedback pode não ser instantâneo.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Portabilidade: </w:t>
      </w:r>
      <w:r>
        <w:t xml:space="preserve">Funcionamento nos navegadores já usados nos laboratórios do SENAI, sem instalação adicional.</w:t>
      </w:r>
    </w:p>
    <w:p>
      <w:pPr>
        <w:pStyle w:val="Heading1"/>
        <w:spacing w:after="150" w:before="320"/>
      </w:pPr>
      <w:r>
        <w:t xml:space="preserve">4. Regras de Negócio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RN01 — </w:t>
      </w:r>
      <w:r>
        <w:t xml:space="preserve">Toda atividade pertence a exatamente uma turma.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RN02 — </w:t>
      </w:r>
      <w:r>
        <w:t xml:space="preserve">Um aluno só realiza atividades das turmas em que está matriculado.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RN03 — </w:t>
      </w:r>
      <w:r>
        <w:t xml:space="preserve">A resposta do aluno só é aceita dentro da própria plataforma, salvo exceção definida pelo tipo de atividade.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RN04 — </w:t>
      </w:r>
      <w:r>
        <w:t xml:space="preserve">A nota sugerida pela IA não é definitiva até validação do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RN05 — </w:t>
      </w:r>
      <w:r>
        <w:t xml:space="preserve">A fazenda é um mini-jogo interativo, nunca uma imagem estática; evolui ou retrocede conforme o desempenho.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RN06 — </w:t>
      </w:r>
      <w:r>
        <w:t xml:space="preserve">O sistema segue funcionamento similar ao Google Sala de Aula na tela inicial, login e organização de turmas/atividades.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RN07 — </w:t>
      </w:r>
      <w:r>
        <w:t xml:space="preserve">Cada submissão gera no máximo um feedback de IA e uma nota vigente; tentativas antigas ficam no histórico.</w:t>
      </w:r>
    </w:p>
    <w:p>
      <w:r>
        <w:br w:type="page"/>
      </w:r>
    </w:p>
    <w:p>
      <w:pPr>
        <w:pStyle w:val="Heading1"/>
        <w:spacing w:after="150" w:before="320"/>
      </w:pPr>
      <w:r>
        <w:t xml:space="preserve">5. Arquitetura do Sistema</w:t>
      </w:r>
    </w:p>
    <w:p>
      <w:pPr>
        <w:pStyle w:val="Heading2"/>
        <w:spacing w:after="100" w:before="220"/>
      </w:pPr>
      <w:r>
        <w:t xml:space="preserve">5.1 Stack tecnológica</w:t>
      </w:r>
    </w:p>
    <w:p>
      <w:pPr>
        <w:spacing w:after="120"/>
      </w:pPr>
      <w:r>
        <w:t xml:space="preserve">PHP puro (sem framework) + PDO + MySQL/MariaDB, priorizando os fundamentos que a turma está aprendendo nesta UC.</w:t>
      </w:r>
    </w:p>
    <w:p>
      <w:pPr>
        <w:pStyle w:val="Heading2"/>
        <w:spacing w:after="100" w:before="220"/>
      </w:pPr>
      <w:r>
        <w:t xml:space="preserve">5.2 Organização por módulos de feature</w:t>
      </w:r>
    </w:p>
    <w:p>
      <w:pPr>
        <w:spacing w:after="120"/>
      </w:pPr>
      <w:r>
        <w:t xml:space="preserve">O código é organizado em módulos verticais — cada um concentra sua parte de banco de dados, lógica PHP e views — em vez de camadas horizontais. Isso permite que cada squad seja dono de um módulo ponta a ponta, minimizando conflitos de merge entre os 56 contribuidores: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app/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├── core/            (roteador, conexão PDO, sessão — uso restrito)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└── modules/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auth — autenticação e sessão dos dois perfis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turmas_cursos — CRUD de curso, turma e matrícula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atividades — CRUD de atividades (instrutor)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submissoes — envio da resposta do aluno e integração com o Judge0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feedback_ia — geração de feedback e nota sugerida via IA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notas — atribuição e consulta de notas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gamificacao — motor de regras de XP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fazenda — mini-jogo e seus estados visuais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notificacoes — avisos de atividade pendente/nota</w:t>
      </w:r>
    </w:p>
    <w:p>
      <w:pPr>
        <w:spacing w:after="120"/>
      </w:pPr>
      <w:r>
        <w:t xml:space="preserve"/>
      </w:r>
    </w:p>
    <w:p>
      <w:pPr>
        <w:pStyle w:val="Heading2"/>
        <w:spacing w:after="100" w:before="220"/>
      </w:pPr>
      <w:r>
        <w:t xml:space="preserve">5.3 Execução de código do aluno — Judge0</w:t>
      </w:r>
    </w:p>
    <w:p>
      <w:pPr>
        <w:spacing w:after="120"/>
      </w:pPr>
      <w:r>
        <w:t xml:space="preserve">A execução de atividades de código é delegada ao Judge0 (open-source), que isola cada submissão via namespaces e cgroups do Linux, com limite de tempo de CPU, memória e sem acesso à rede. Pode ser self-hosted via Docker (recomendado em servidor dedicado, já que os containers rodam em modo privileged) ou usado via API hospedada (RapidAPI, com tier gratuito). Suporta PHP e mais de 60 linguagens.</w:t>
      </w:r>
    </w:p>
    <w:p>
      <w:pPr>
        <w:pStyle w:val="Heading2"/>
        <w:spacing w:after="100" w:before="220"/>
      </w:pPr>
      <w:r>
        <w:t xml:space="preserve">5.4 IA de correção e feedback</w:t>
      </w:r>
    </w:p>
    <w:p>
      <w:pPr>
        <w:spacing w:after="120"/>
      </w:pPr>
      <w:r>
        <w:t xml:space="preserve">Feedback e nota sugerida gerados por um modelo de linguagem local (Llama 3.1 8B via Ollama), mantendo os dados dos alunos no próprio servidor. O processamento local funciona em fila (não em paralelo), por isso o feedback é tratado como assíncrono. Uma API paga (ex.: Gemini Flash) fica disponível como plano B para dias de pico ou caso o hardware local não seja suficiente.</w:t>
      </w:r>
    </w:p>
    <w:p>
      <w:pPr>
        <w:pStyle w:val="Heading1"/>
        <w:spacing w:after="150" w:before="320"/>
      </w:pPr>
      <w:r>
        <w:t xml:space="preserve">6. Modelo de Dados</w:t>
      </w:r>
    </w:p>
    <w:p>
      <w:pPr>
        <w:spacing w:after="100" w:before="150"/>
        <w:jc w:val="center"/>
      </w:pPr>
      <w:r>
        <w:drawing>
          <wp:inline distT="0" distB="0" distL="0" distR="0">
            <wp:extent cx="49530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Diagrama de classes — versão revisada</w:t>
      </w:r>
    </w:p>
    <w:p>
      <w:pPr>
        <w:pStyle w:val="Heading2"/>
        <w:spacing w:after="100" w:before="220"/>
      </w:pPr>
      <w:r>
        <w:t xml:space="preserve">Entidades principais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Usuario: </w:t>
      </w:r>
      <w:r>
        <w:t xml:space="preserve">base de autenticação para Instrutor e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Curso / Turma: </w:t>
      </w:r>
      <w:r>
        <w:t xml:space="preserve">um curso possui várias turmas; alunos se matriculam em turmas.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Atividade / Submissao: </w:t>
      </w:r>
      <w:r>
        <w:t xml:space="preserve">cada atividade recebe várias submissões (uma por aluno/tentativa), cada uma com sua própria nota e feedback.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FeedbackIA / Nota: </w:t>
      </w:r>
      <w:r>
        <w:t xml:space="preserve">gerados a partir de uma submissão; a nota da IA é sugestão até validação do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Fazenda / ElementoFazenda / XPLog: </w:t>
      </w:r>
      <w:r>
        <w:t xml:space="preserve">representam a gamificação — o estado da fazenda e seus elementos evoluem conforme o XP acumulado pelo aluno.</w:t>
      </w:r>
    </w:p>
    <w:p>
      <w:r>
        <w:br w:type="page"/>
      </w:r>
    </w:p>
    <w:p>
      <w:pPr>
        <w:pStyle w:val="Heading1"/>
        <w:spacing w:after="150" w:before="320"/>
      </w:pPr>
      <w:r>
        <w:t xml:space="preserve">7. Casos de Uso</w:t>
      </w:r>
    </w:p>
    <w:p>
      <w:pPr>
        <w:spacing w:after="100" w:before="150"/>
        <w:jc w:val="center"/>
      </w:pPr>
      <w:r>
        <w:drawing>
          <wp:inline distT="0" distB="0" distL="0" distR="0">
            <wp:extent cx="4953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Diagrama de casos de uso — base original</w:t>
      </w:r>
    </w:p>
    <w:p>
      <w:pPr>
        <w:pStyle w:val="Heading2"/>
        <w:spacing w:after="100" w:before="220"/>
      </w:pPr>
      <w:r>
        <w:t xml:space="preserve">Adições recomendadas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2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6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Ator</w:t>
            </w:r>
          </w:p>
        </w:tc>
        <w:tc>
          <w:tcPr>
            <w:tcW w:type="dxa" w:w="42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critérios de correção da 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Instrutor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Define o que a IA considera ao comparar a resposta do aluno (peso de critérios, resposta de referência).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Revisar nota sugerida pela 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Instrutor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 ou altera a nota gerada automaticamente antes dela virar definitiva.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Refazer atividade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Aluno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Envia nova tentativa após o feedback, dentro do prazo definido pelo instrutor (&lt;&lt;extend&gt;&gt; de Realizar Atividades).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t xml:space="preserve">8. Diagrama de Atividades</w:t>
      </w:r>
    </w:p>
    <w:p>
      <w:pPr>
        <w:spacing w:after="120"/>
      </w:pPr>
      <w:r>
        <w:t xml:space="preserve">Fluxo de interação validado, sem alterações em relação à versão original enviada pelos alunos:</w:t>
      </w:r>
    </w:p>
    <w:p>
      <w:pPr>
        <w:spacing w:after="100" w:before="150"/>
        <w:jc w:val="center"/>
      </w:pPr>
      <w:r>
        <w:drawing>
          <wp:inline distT="0" distB="0" distL="0" distR="0">
            <wp:extent cx="45720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Diagrama de atividades — fluxo instrutor/aluno</w:t>
      </w:r>
    </w:p>
    <w:p>
      <w:r>
        <w:br w:type="page"/>
      </w:r>
    </w:p>
    <w:p>
      <w:pPr>
        <w:pStyle w:val="Heading1"/>
        <w:spacing w:after="150" w:before="320"/>
      </w:pPr>
      <w:r>
        <w:t xml:space="preserve">9. Guia de Design</w:t>
      </w:r>
    </w:p>
    <w:p>
      <w:pPr>
        <w:spacing w:after="120"/>
      </w:pPr>
      <w:r>
        <w:t xml:space="preserve">Paleta, tipografia e componentes extraídos do protótipo em Figma (arquivo com acesso completo). O sistema já diferencia visualmente os dois perfis mantendo a mesma estrutura: verde para o aluno, azul para o instrutor.</w:t>
      </w:r>
    </w:p>
    <w:p>
      <w:pPr>
        <w:pStyle w:val="Heading2"/>
        <w:spacing w:after="100" w:before="220"/>
      </w:pPr>
      <w:r>
        <w:t xml:space="preserve">Perfil Aluno (verde)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34C759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#34C759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primário — botões, destaques, título de cards, cor de marca do lado do aluno</w:t>
            </w:r>
          </w:p>
        </w:tc>
      </w:tr>
      <w:tr>
        <w:tc>
          <w:tcPr>
            <w:tcW w:type="dxa" w:w="900"/>
            <w:shd w:fill="089C2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#089C2F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escuro — estado ativo no menu lateral, iniciais de avatar</w:t>
            </w:r>
          </w:p>
        </w:tc>
      </w:tr>
      <w:tr>
        <w:tc>
          <w:tcPr>
            <w:tcW w:type="dxa" w:w="900"/>
            <w:shd w:fill="A0FDA3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#A0FDA3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claro — fundo da barra superior (header) do aluno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Perfil Instrutor (azul)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0088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#0088FF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primário — equivalente ao verde, mas para as telas do instrutor</w:t>
            </w:r>
          </w:p>
        </w:tc>
      </w:tr>
      <w:tr>
        <w:tc>
          <w:tcPr>
            <w:tcW w:type="dxa" w:w="900"/>
            <w:shd w:fill="2276E3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#2276E3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escuro — estado ativo no menu lateral do instrutor</w:t>
            </w:r>
          </w:p>
        </w:tc>
      </w:tr>
      <w:tr>
        <w:tc>
          <w:tcPr>
            <w:tcW w:type="dxa" w:w="900"/>
            <w:shd w:fill="90BDF0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#90BDF0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claro — fundo da barra superior do instrutor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Destaque secundário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FF8D28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#FF8D28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Laranja — botão "Escrever Código", barra de progresso, brilho sob os headers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Neutros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002D38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#002D38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principal / títulos (tom quase preto, levemente azulado)</w:t>
            </w:r>
          </w:p>
        </w:tc>
      </w:tr>
      <w:tr>
        <w:tc>
          <w:tcPr>
            <w:tcW w:type="dxa" w:w="900"/>
            <w:shd w:fill="000000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#000000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preto puro — usado nos títulos dos cards de matéria</w:t>
            </w:r>
          </w:p>
        </w:tc>
      </w:tr>
      <w:tr>
        <w:tc>
          <w:tcPr>
            <w:tcW w:type="dxa" w:w="900"/>
            <w:shd w:fill="E6E6E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#E6E6E6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Fundo do menu lateral (formato pílula)</w:t>
            </w:r>
          </w:p>
        </w:tc>
      </w:tr>
      <w:tr>
        <w:tc>
          <w:tcPr>
            <w:tcW w:type="dxa" w:w="900"/>
            <w:shd w:fill="D9D9D9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#D9D9D9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Fundo dos itens de menu inativos</w:t>
            </w:r>
          </w:p>
        </w:tc>
      </w:tr>
      <w:tr>
        <w:tc>
          <w:tcPr>
            <w:tcW w:type="dxa" w:w="900"/>
            <w:shd w:fill="727272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#727272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secundário / labels inativas</w:t>
            </w:r>
          </w:p>
        </w:tc>
      </w:tr>
      <w:tr>
        <w:tc>
          <w:tcPr>
            <w:tcW w:type="dxa" w:w="900"/>
            <w:shd w:fill="1E1E1E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#1E1E1E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Borda padrão dos itens de menu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Tipografia</w:t>
      </w:r>
    </w:p>
    <w:p>
      <w:pPr>
        <w:spacing w:after="120"/>
      </w:pPr>
      <w:r>
        <w:t xml:space="preserve">Poppins para chrome/títulos, Inter para conteúdo/feedback. Atenção: os tamanhos no Figma (36–64px) refletem um canvas de desktop grande e precisam ser reduzidos proporcionalmente na implementação real.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/ Peso</w:t>
            </w:r>
          </w:p>
        </w:tc>
        <w:tc>
          <w:tcPr>
            <w:tcW w:type="dxa" w:w="6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Poppins — Bold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Títulos de tela, títulos de card, itens de menu, nomes de usuário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Poppins — Medium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Rótulos de formulário (Usuário/Senha), textos de botão secundário, links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 — Bold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do balão de feedback da IA, texto de botões de ação ("Escrever Código")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 — Regular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corrido / auxiliar</w:t>
            </w:r>
          </w:p>
        </w:tc>
      </w:tr>
    </w:tbl>
    <w:p>
      <w:pPr>
        <w:pStyle w:val="Heading2"/>
        <w:spacing w:after="100" w:before="220"/>
      </w:pPr>
      <w:r>
        <w:t xml:space="preserve">Border-radius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Raio</w:t>
            </w:r>
          </w:p>
        </w:tc>
        <w:tc>
          <w:tcPr>
            <w:tcW w:type="dxa" w:w="7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aparece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Miniaturas pequenas (ícones de anexo)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Inputs de formulário, botão "Entrar", barra superior (header)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 do dashboard (versão inicial)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Botões tipo pílula (ex.: "Escrever Código")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 principais — matérias, atividades, mural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Itens do menu lateral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49–50px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Balão de feedback da IA (chat bubble)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90–150px+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Avatares e elementos totalmente circulares; menu lateral em formato de pílula (122px)</w:t>
            </w:r>
          </w:p>
        </w:tc>
      </w:tr>
    </w:tbl>
    <w:p>
      <w:pPr>
        <w:pStyle w:val="Heading2"/>
        <w:spacing w:after="100" w:before="220"/>
      </w:pPr>
      <w:r>
        <w:t xml:space="preserve">Padrões de componente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Barra superior (header): </w:t>
      </w:r>
      <w:r>
        <w:t xml:space="preserve">Faixa colorida de ponta a ponta (verde no aluno, azul no instrutor), logo circular + "The Farm Edu" à esquerda, avatar do usuário à direita.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Menu lateral: </w:t>
      </w:r>
      <w:r>
        <w:t xml:space="preserve">Fundo cinza claro em formato de pílula (raio 122px). Itens são "cápsulas" arredondadas (30px); o item ativo ganha uma borda colorida (verde ou azul, conforme o perfil).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Cards de matéria/atividade: </w:t>
      </w:r>
      <w:r>
        <w:t xml:space="preserve">Barra de título colorida (verde) com texto preto em bold, levemente rotacionado (~-0.35°) — efeito "colado à mão", proposital.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 / Mural: </w:t>
      </w:r>
      <w:r>
        <w:t xml:space="preserve">Itens em formato de pílula longa; o mais recente vem com borda verde de destaque. Título em bold, timestamp com opacidade reduzida (75%).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Botões: </w:t>
      </w:r>
      <w:r>
        <w:t xml:space="preserve">Formato pílula, preenchimento sólido (verde para ação primária do aluno, laranja para "escrever código"), texto branco em bold.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Feedback da IA ("Sophia"): </w:t>
      </w:r>
      <w:r>
        <w:t xml:space="preserve">Mascote ilustrado (estilo anime, tema rural) ancorado a um balão de chat branco bem arredondado (49px) com o texto do feedback em Inter Bold — elemento mais distintivo do sistema.</w:t>
      </w:r>
    </w:p>
    <w:p>
      <w:pPr>
        <w:pStyle w:val="Heading2"/>
        <w:spacing w:after="100" w:before="220"/>
      </w:pPr>
      <w:r>
        <w:t xml:space="preserve">Conceito de jogo — Fazenda e Árvore de Aprimoramentos</w:t>
      </w:r>
    </w:p>
    <w:p>
      <w:pPr>
        <w:spacing w:after="120"/>
      </w:pPr>
      <w:r>
        <w:t xml:space="preserve">Baseado em protótipo de aluno (acesso apenas de visualização); aproveitar a mecânica, não o estilo visual (pixel art), que será substituído pela linguagem acima (cards arredondados, Poppins, paleta verde/azul):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Árvore de aprimoramentos com nó central "Fazenda" que se ramifica em 3 categorias: Animais, Plantação e Maquinário — cada uma com um contador "desbloqueados/total" (ex.: 0/13, 0/7, 0/11).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Contador de "Pontos disponíveis" no topo da árvore — o XP acumulado (RF17) se converte em pontos que o aluno gasta para desbloquear itens dentro de cada categoria.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fazenda é uma cena única e contínua (não uma grade de blocos) que ganha novos elementos progressivamente, cada um sinalizado como "UPGRADE: LVL N".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Navegação simples e consistente: "Sair" sempre visível, "Ver Upgrades" leva à árvore de aprimoramentos.</w:t>
      </w:r>
    </w:p>
    <w:p>
      <w:pPr>
        <w:pStyle w:val="Heading1"/>
        <w:spacing w:after="150" w:before="320"/>
      </w:pPr>
      <w:r>
        <w:t xml:space="preserve">10. Fluxo de Trabalho Colaborativo</w:t>
      </w:r>
    </w:p>
    <w:p>
      <w:pPr>
        <w:pStyle w:val="Heading2"/>
        <w:spacing w:after="100" w:before="220"/>
      </w:pPr>
      <w:r>
        <w:t xml:space="preserve">10.1 Equipe</w:t>
      </w:r>
    </w:p>
    <w:p>
      <w:pPr>
        <w:spacing w:after="120"/>
      </w:pPr>
      <w:r>
        <w:t xml:space="preserve">56 alunos (21 manhã + 35 tarde), organizados em squads de 3-4 pessoas, cada um dono de um módulo (seção 5.2) ponta a ponta — sem separação fixa por camada. Tech leads rotativos (2-3 alunos por sprint) revisam Pull Requests junto ao instrutor.</w:t>
      </w:r>
    </w:p>
    <w:p>
      <w:pPr>
        <w:pStyle w:val="Heading2"/>
        <w:spacing w:after="100" w:before="220"/>
      </w:pPr>
      <w:r>
        <w:t xml:space="preserve">10.2 Controle de versão e gestão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Repositório: </w:t>
      </w:r>
      <w:r>
        <w:t xml:space="preserve">uma organização e um repositório monorepo no GitHub.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Gestão de tarefas: </w:t>
      </w:r>
      <w:r>
        <w:t xml:space="preserve">GitHub Issues + GitHub Projects (kanban) — usado no lugar do Jira, cujo plano gratuito cobre só até 10 usuários.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Branch protection: </w:t>
      </w:r>
      <w:r>
        <w:t xml:space="preserve">main protegida; todo código entra via Pull Request revisado.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Integração entre turmas: </w:t>
      </w:r>
      <w:r>
        <w:t xml:space="preserve">assíncrona via PRs, board compartilhado e canal de comunicação único entre squads dependentes.</w:t>
      </w:r>
    </w:p>
    <w:p>
      <w:pPr>
        <w:pStyle w:val="Heading1"/>
        <w:spacing w:after="150" w:before="320"/>
      </w:pPr>
      <w:r>
        <w:t xml:space="preserve">11. Cronograma</w:t>
      </w:r>
    </w:p>
    <w:p>
      <w:pPr>
        <w:spacing w:after="120"/>
      </w:pPr>
      <w:r>
        <w:t xml:space="preserve">54 dias letivos (≈11 semanas), cobrindo conteúdo e desenvolvimento simultaneamente: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5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55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 — Fundação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1–6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Apresentação da documentação; ensino de Git/branch/PR; implementação do core; formação dos squads; setup de ambiente; Judge0 e teste de Llama local.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— Dados e autenticação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7–14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Modelagem final do banco; PDO prepared statements; login dos dois perfis; CRUD básico de turmas/cursos.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— Núcleo pedagógico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15–30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CRUD de atividades; submissão integrada ao Judge0; painel do instrutor; integração com a IA.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— Gamificação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31–42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Regras de XP; fazenda como mini-jogo; integração XP → estado da fazenda.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— Integração e testes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43–50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 ponta a ponta entre módulos; correção de bugs de integração; teste de carga leve.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 — Entrega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51–54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Deploy; documentação final; apresentação por squad.</w:t>
            </w:r>
          </w:p>
        </w:tc>
      </w:tr>
    </w:tbl>
    <w:p>
      <w:pPr>
        <w:pStyle w:val="Heading1"/>
        <w:spacing w:after="150" w:before="320"/>
      </w:pPr>
      <w:r>
        <w:t xml:space="preserve">12. Riscos e Mitigações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Conflito de merge em massa — mitigado pela separação em módulos verticais (seção 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Fila de processamento da IA local em dias de pico — mitigado com API paga como plano 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Escopo da fazenda crescer demais — fixar um escopo visual mínimo antes de ideias mais ambiciosas.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Dados de menores de idade — coletar apenas o necessário, tratar como ponto de aprendizado sobre privacidade.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4a74711ef2445674e9848e90d53b23db8cc0ae.png"/><Relationship Id="rId8" Type="http://schemas.openxmlformats.org/officeDocument/2006/relationships/image" Target="media/8144f65f7ec7e11d2b14398cb1b9c321fed187a5.png"/><Relationship Id="rId9" Type="http://schemas.openxmlformats.org/officeDocument/2006/relationships/image" Target="media/30ab5c6483d6a728ff903eb33416d9936fccfc1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2026-09-02T10:30:43.799Z</dcterms:created>
  <dcterms:modified xsi:type="dcterms:W3CDTF">2026-09-02T10:30:43.810Z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