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F3864"/>
          <w:sz w:val="32"/>
          <w:szCs w:val="32"/>
        </w:rPr>
        <w:t xml:space="preserve">CRY-04</w:t>
      </w:r>
    </w:p>
    <w:p>
      <w:pPr>
        <w:spacing w:after="100" w:before="200"/>
        <w:jc w:val="center"/>
      </w:pPr>
      <w:r>
        <w:rPr>
          <w:rFonts w:ascii="Calibri" w:cs="Calibri" w:eastAsia="Calibri" w:hAnsi="Calibri"/>
          <w:b/>
          <w:bCs/>
          <w:sz w:val="44"/>
          <w:szCs w:val="44"/>
        </w:rPr>
        <w:t xml:space="preserve">Anexo y demostración de criptografía</w:t>
      </w:r>
    </w:p>
    <w:p>
      <w:pPr>
        <w:spacing w:after="600"/>
        <w:jc w:val="center"/>
      </w:pPr>
      <w:r>
        <w:rPr>
          <w:rFonts w:ascii="Calibri" w:cs="Calibri" w:eastAsia="Calibri" w:hAnsi="Calibri"/>
          <w:i/>
          <w:iCs/>
          <w:color w:val="595959"/>
          <w:sz w:val="24"/>
          <w:szCs w:val="24"/>
        </w:rPr>
        <w:t xml:space="preserve">MedicalSys Platform — ms-criptografia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Código</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CRY-04</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Versión</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1.0</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Fecha de emisión</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12 de octubre de 2026</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Depende de</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CRY-01, CRY-02, CRY-03</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Coherente con</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PO-05 (Política criptográfica y de gestión de claves)</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Alcance</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Servicio ms-criptografia</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Propietario</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Equipo de ms-criptografia</w:t>
            </w:r>
          </w:p>
        </w:tc>
      </w:tr>
      <w:tr>
        <w:tc>
          <w:tcPr>
            <w:tcW w:type="dxa" w:w="2400"/>
            <w:shd w:fill="D9E2F3" w:val="clear"/>
            <w:tcMar>
              <w:top w:type="dxa" w:w="80"/>
              <w:left w:type="dxa" w:w="120"/>
              <w:bottom w:type="dxa" w:w="80"/>
              <w:right w:type="dxa" w:w="120"/>
            </w:tcMar>
          </w:tcPr>
          <w:p>
            <w:r>
              <w:rPr>
                <w:rFonts w:ascii="Calibri" w:cs="Calibri" w:eastAsia="Calibri" w:hAnsi="Calibri"/>
                <w:b/>
                <w:bCs/>
                <w:sz w:val="21"/>
                <w:szCs w:val="21"/>
              </w:rPr>
              <w:t xml:space="preserve">Estado</w:t>
            </w:r>
          </w:p>
        </w:tc>
        <w:tc>
          <w:tcPr>
            <w:tcW w:type="dxa" w:w="6600"/>
            <w:tcMar>
              <w:top w:type="dxa" w:w="80"/>
              <w:left w:type="dxa" w:w="120"/>
              <w:bottom w:type="dxa" w:w="80"/>
              <w:right w:type="dxa" w:w="120"/>
            </w:tcMar>
          </w:tcPr>
          <w:p>
            <w:r>
              <w:rPr>
                <w:rFonts w:ascii="Calibri" w:cs="Calibri" w:eastAsia="Calibri" w:hAnsi="Calibri"/>
                <w:b w:val="false"/>
                <w:bCs w:val="false"/>
                <w:sz w:val="21"/>
                <w:szCs w:val="21"/>
              </w:rPr>
              <w:t xml:space="preserve">Vigente</w:t>
            </w:r>
          </w:p>
        </w:tc>
      </w:tr>
    </w:tbl>
    <w:p>
      <w:r>
        <w:br w:type="page"/>
      </w:r>
    </w:p>
    <w:p>
      <w:pPr>
        <w:pStyle w:val="Heading1"/>
        <w:spacing w:after="160" w:before="360"/>
      </w:pPr>
      <w:r>
        <w:rPr>
          <w:rFonts w:ascii="Calibri" w:cs="Calibri" w:eastAsia="Calibri" w:hAnsi="Calibri"/>
          <w:b/>
          <w:bCs/>
          <w:color w:val="1F3864"/>
          <w:sz w:val="28"/>
          <w:szCs w:val="28"/>
        </w:rPr>
        <w:t xml:space="preserve">1. Objetivo</w:t>
      </w:r>
    </w:p>
    <w:p>
      <w:pPr>
        <w:spacing w:after="160"/>
      </w:pPr>
      <w:r>
        <w:rPr>
          <w:rFonts w:ascii="Calibri" w:cs="Calibri" w:eastAsia="Calibri" w:hAnsi="Calibri"/>
          <w:b w:val="false"/>
          <w:bCs w:val="false"/>
          <w:i w:val="false"/>
          <w:iCs w:val="false"/>
          <w:sz w:val="22"/>
          <w:szCs w:val="22"/>
        </w:rPr>
        <w:t xml:space="preserve">Demostrar, con evidencia de código y con una secuencia de llamadas reproducible, cómo MedicalSys Platform cifra datos por tenant, por qué dos organizaciones no pueden leer el ciphertext de la otra aunque cifren el mismo texto plano, y dejar constancia explícita de las limitaciones conocidas del modelo actual (MVP) frente al estado objetivo de producción, descritas ya en PO-05.</w:t>
      </w:r>
    </w:p>
    <w:p>
      <w:pPr>
        <w:pStyle w:val="Heading1"/>
        <w:spacing w:after="160" w:before="360"/>
      </w:pPr>
      <w:r>
        <w:rPr>
          <w:rFonts w:ascii="Calibri" w:cs="Calibri" w:eastAsia="Calibri" w:hAnsi="Calibri"/>
          <w:b/>
          <w:bCs/>
          <w:color w:val="1F3864"/>
          <w:sz w:val="28"/>
          <w:szCs w:val="28"/>
        </w:rPr>
        <w:t xml:space="preserve">2. Resumen del diseño implementado</w:t>
      </w:r>
    </w:p>
    <w:p>
      <w:pPr>
        <w:spacing w:after="160"/>
      </w:pPr>
      <w:r>
        <w:rPr>
          <w:rFonts w:ascii="Calibri" w:cs="Calibri" w:eastAsia="Calibri" w:hAnsi="Calibri"/>
          <w:sz w:val="22"/>
          <w:szCs w:val="22"/>
        </w:rPr>
        <w:t xml:space="preserve">ms-criptografia implementa AES-256-GCM sobre una DEK (clave de cifrado de datos) derivada por tenant, propósito y versión mediante un esquema tipo HKDF basado en HMAC-SHA256. El material de entrada (IKM) es una clave maestra de proceso, y el contexto de derivación (propósito, versión, id de clave, organización) se usa además como </w:t>
      </w:r>
      <w:r>
        <w:rPr>
          <w:rFonts w:ascii="Calibri" w:cs="Calibri" w:eastAsia="Calibri" w:hAnsi="Calibri"/>
          <w:b/>
          <w:bCs/>
          <w:sz w:val="22"/>
          <w:szCs w:val="22"/>
        </w:rPr>
        <w:t xml:space="preserve">AAD</w:t>
      </w:r>
      <w:r>
        <w:rPr>
          <w:rFonts w:ascii="Calibri" w:cs="Calibri" w:eastAsia="Calibri" w:hAnsi="Calibri"/>
          <w:sz w:val="22"/>
          <w:szCs w:val="22"/>
        </w:rPr>
        <w:t xml:space="preserve"> (datos adicionales autenticados) del cifrado GCM, lo que ata criptográficamente el ciphertext a su contexto de origen.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 services/ms-criptografia/.../crypto/TenantAesGcm.java</w:t>
            </w:r>
          </w:p>
          <w:p>
            <w:pPr>
              <w:spacing w:after="0"/>
            </w:pPr>
            <w:r>
              <w:rPr>
                <w:rFonts w:ascii="Consolas" w:cs="Consolas" w:eastAsia="Consolas" w:hAnsi="Consolas"/>
                <w:sz w:val="19"/>
                <w:szCs w:val="19"/>
              </w:rPr>
              <w:t xml:space="preserve">SecretKey dek(masterKey, key):</w:t>
            </w:r>
          </w:p>
          <w:p>
            <w:pPr>
              <w:spacing w:after="0"/>
            </w:pPr>
            <w:r>
              <w:rPr>
                <w:rFonts w:ascii="Consolas" w:cs="Consolas" w:eastAsia="Consolas" w:hAnsi="Consolas"/>
                <w:sz w:val="19"/>
                <w:szCs w:val="19"/>
              </w:rPr>
              <w:t xml:space="preserve">  prk = HMAC-SHA256(salt="MedicalSys-MVP-HKDF", ikm=masterKey)</w:t>
            </w:r>
          </w:p>
          <w:p>
            <w:pPr>
              <w:spacing w:after="0"/>
            </w:pPr>
            <w:r>
              <w:rPr>
                <w:rFonts w:ascii="Consolas" w:cs="Consolas" w:eastAsia="Consolas" w:hAnsi="Consolas"/>
                <w:sz w:val="19"/>
                <w:szCs w:val="19"/>
              </w:rPr>
              <w:t xml:space="preserve">  info = "dek|" + purpose + "|v" + version + "|" + keyPublicId + "|" + orgToken</w:t>
            </w:r>
          </w:p>
          <w:p>
            <w:pPr>
              <w:spacing w:after="0"/>
            </w:pPr>
            <w:r>
              <w:rPr>
                <w:rFonts w:ascii="Consolas" w:cs="Consolas" w:eastAsia="Consolas" w:hAnsi="Consolas"/>
                <w:sz w:val="19"/>
                <w:szCs w:val="19"/>
              </w:rPr>
              <w:t xml:space="preserve">  okm = HMAC-SHA256(prk, info || 0x01)</w:t>
            </w:r>
          </w:p>
          <w:p>
            <w:pPr>
              <w:spacing w:after="0"/>
            </w:pPr>
            <w:r>
              <w:rPr>
                <w:rFonts w:ascii="Consolas" w:cs="Consolas" w:eastAsia="Consolas" w:hAnsi="Consolas"/>
                <w:sz w:val="19"/>
                <w:szCs w:val="19"/>
              </w:rPr>
              <w:t xml:space="preserve">  return primeros 32 bytes de okm como clave AES-256</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aad(key) = orgToken + "|" + purpose + "|" + version</w:t>
            </w:r>
          </w:p>
        </w:tc>
      </w:tr>
    </w:tbl>
    <w:p>
      <w:pPr>
        <w:spacing w:after="160"/>
      </w:pPr>
      <w:r>
        <w:rPr>
          <w:rFonts w:ascii="Calibri" w:cs="Calibri" w:eastAsia="Calibri" w:hAnsi="Calibri"/>
          <w:sz w:val="22"/>
          <w:szCs w:val="22"/>
        </w:rPr>
        <w:t xml:space="preserve">Cada operación de cifrado genera un nonce aleatorio de 12 bytes (nunca reutilizado) y produce un tag de autenticación GCM de 128 bits. El resultado publicado es </w:t>
      </w:r>
      <w:r>
        <w:rPr>
          <w:rFonts w:ascii="Consolas" w:cs="Consolas" w:eastAsia="Consolas" w:hAnsi="Consolas"/>
          <w:sz w:val="20"/>
          <w:szCs w:val="20"/>
        </w:rPr>
        <w:t xml:space="preserve">nonce || ciphertext</w:t>
      </w:r>
      <w:r>
        <w:rPr>
          <w:rFonts w:ascii="Calibri" w:cs="Calibri" w:eastAsia="Calibri" w:hAnsi="Calibri"/>
          <w:sz w:val="22"/>
          <w:szCs w:val="22"/>
        </w:rPr>
        <w:t xml:space="preserve"> en Base64; el cliente del servicio nunca ve la DEK ni la clave maestra.</w:t>
      </w:r>
    </w:p>
    <w:p>
      <w:pPr>
        <w:pStyle w:val="Heading1"/>
        <w:spacing w:after="160" w:before="360"/>
      </w:pPr>
      <w:r>
        <w:rPr>
          <w:rFonts w:ascii="Calibri" w:cs="Calibri" w:eastAsia="Calibri" w:hAnsi="Calibri"/>
          <w:b/>
          <w:bCs/>
          <w:color w:val="1F3864"/>
          <w:sz w:val="28"/>
          <w:szCs w:val="28"/>
        </w:rPr>
        <w:t xml:space="preserve">3. Evidencia de código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D9E2F3" w:val="clear"/>
            <w:tcMar>
              <w:top w:type="dxa" w:w="80"/>
              <w:left w:type="dxa" w:w="120"/>
              <w:bottom w:type="dxa" w:w="80"/>
              <w:right w:type="dxa" w:w="120"/>
            </w:tcMar>
          </w:tcPr>
          <w:p>
            <w:r>
              <w:rPr>
                <w:rFonts w:ascii="Calibri" w:cs="Calibri" w:eastAsia="Calibri" w:hAnsi="Calibri"/>
                <w:b/>
                <w:bCs/>
                <w:sz w:val="21"/>
                <w:szCs w:val="21"/>
              </w:rPr>
              <w:t xml:space="preserve">Componente</w:t>
            </w:r>
          </w:p>
        </w:tc>
        <w:tc>
          <w:tcPr>
            <w:tcW w:type="dxa" w:w="3000"/>
            <w:shd w:fill="D9E2F3" w:val="clear"/>
            <w:tcMar>
              <w:top w:type="dxa" w:w="80"/>
              <w:left w:type="dxa" w:w="120"/>
              <w:bottom w:type="dxa" w:w="80"/>
              <w:right w:type="dxa" w:w="120"/>
            </w:tcMar>
          </w:tcPr>
          <w:p>
            <w:r>
              <w:rPr>
                <w:rFonts w:ascii="Calibri" w:cs="Calibri" w:eastAsia="Calibri" w:hAnsi="Calibri"/>
                <w:b/>
                <w:bCs/>
                <w:sz w:val="21"/>
                <w:szCs w:val="21"/>
              </w:rPr>
              <w:t xml:space="preserve">Archivo</w:t>
            </w:r>
          </w:p>
        </w:tc>
        <w:tc>
          <w:tcPr>
            <w:tcW w:type="dxa" w:w="3400"/>
            <w:shd w:fill="D9E2F3" w:val="clear"/>
            <w:tcMar>
              <w:top w:type="dxa" w:w="80"/>
              <w:left w:type="dxa" w:w="120"/>
              <w:bottom w:type="dxa" w:w="80"/>
              <w:right w:type="dxa" w:w="120"/>
            </w:tcMar>
          </w:tcPr>
          <w:p>
            <w:r>
              <w:rPr>
                <w:rFonts w:ascii="Calibri" w:cs="Calibri" w:eastAsia="Calibri" w:hAnsi="Calibri"/>
                <w:b/>
                <w:bCs/>
                <w:sz w:val="21"/>
                <w:szCs w:val="21"/>
              </w:rPr>
              <w:t xml:space="preserve">Responsabilidad</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TenantAesGcm</w:t>
            </w:r>
          </w:p>
        </w:tc>
        <w:tc>
          <w:tcPr>
            <w:tcW w:type="dxa" w:w="3000"/>
            <w:tcMar>
              <w:top w:type="dxa" w:w="80"/>
              <w:left w:type="dxa" w:w="120"/>
              <w:bottom w:type="dxa" w:w="80"/>
              <w:right w:type="dxa" w:w="120"/>
            </w:tcMar>
          </w:tcPr>
          <w:p>
            <w:r>
              <w:rPr>
                <w:rFonts w:ascii="Calibri" w:cs="Calibri" w:eastAsia="Calibri" w:hAnsi="Calibri"/>
                <w:b w:val="false"/>
                <w:bCs w:val="false"/>
                <w:sz w:val="21"/>
                <w:szCs w:val="21"/>
              </w:rPr>
              <w:t xml:space="preserve">crypto/TenantAesGcm.java</w:t>
            </w:r>
          </w:p>
        </w:tc>
        <w:tc>
          <w:tcPr>
            <w:tcW w:type="dxa" w:w="3400"/>
            <w:tcMar>
              <w:top w:type="dxa" w:w="80"/>
              <w:left w:type="dxa" w:w="120"/>
              <w:bottom w:type="dxa" w:w="80"/>
              <w:right w:type="dxa" w:w="120"/>
            </w:tcMar>
          </w:tcPr>
          <w:p>
            <w:r>
              <w:rPr>
                <w:rFonts w:ascii="Calibri" w:cs="Calibri" w:eastAsia="Calibri" w:hAnsi="Calibri"/>
                <w:b w:val="false"/>
                <w:bCs w:val="false"/>
                <w:sz w:val="21"/>
                <w:szCs w:val="21"/>
              </w:rPr>
              <w:t xml:space="preserve">Deriva la DEK (HKDF-like) y ejecuta AES-256-GCM con AAD de contexto</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EncryptionKey</w:t>
            </w:r>
          </w:p>
        </w:tc>
        <w:tc>
          <w:tcPr>
            <w:tcW w:type="dxa" w:w="3000"/>
            <w:tcMar>
              <w:top w:type="dxa" w:w="80"/>
              <w:left w:type="dxa" w:w="120"/>
              <w:bottom w:type="dxa" w:w="80"/>
              <w:right w:type="dxa" w:w="120"/>
            </w:tcMar>
          </w:tcPr>
          <w:p>
            <w:r>
              <w:rPr>
                <w:rFonts w:ascii="Calibri" w:cs="Calibri" w:eastAsia="Calibri" w:hAnsi="Calibri"/>
                <w:b w:val="false"/>
                <w:bCs w:val="false"/>
                <w:sz w:val="21"/>
                <w:szCs w:val="21"/>
              </w:rPr>
              <w:t xml:space="preserve">key/EncryptionKey.java</w:t>
            </w:r>
          </w:p>
        </w:tc>
        <w:tc>
          <w:tcPr>
            <w:tcW w:type="dxa" w:w="3400"/>
            <w:tcMar>
              <w:top w:type="dxa" w:w="80"/>
              <w:left w:type="dxa" w:w="120"/>
              <w:bottom w:type="dxa" w:w="80"/>
              <w:right w:type="dxa" w:w="120"/>
            </w:tcMar>
          </w:tcPr>
          <w:p>
            <w:r>
              <w:rPr>
                <w:rFonts w:ascii="Calibri" w:cs="Calibri" w:eastAsia="Calibri" w:hAnsi="Calibri"/>
                <w:b w:val="false"/>
                <w:bCs w:val="false"/>
                <w:sz w:val="21"/>
                <w:szCs w:val="21"/>
              </w:rPr>
              <w:t xml:space="preserve">Modelo de ciclo de vida de la clave: purpose, algorithm, version, kek_reference, wrapped_dek, status</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EncryptionKeyService</w:t>
            </w:r>
          </w:p>
        </w:tc>
        <w:tc>
          <w:tcPr>
            <w:tcW w:type="dxa" w:w="3000"/>
            <w:tcMar>
              <w:top w:type="dxa" w:w="80"/>
              <w:left w:type="dxa" w:w="120"/>
              <w:bottom w:type="dxa" w:w="80"/>
              <w:right w:type="dxa" w:w="120"/>
            </w:tcMar>
          </w:tcPr>
          <w:p>
            <w:r>
              <w:rPr>
                <w:rFonts w:ascii="Calibri" w:cs="Calibri" w:eastAsia="Calibri" w:hAnsi="Calibri"/>
                <w:b w:val="false"/>
                <w:bCs w:val="false"/>
                <w:sz w:val="21"/>
                <w:szCs w:val="21"/>
              </w:rPr>
              <w:t xml:space="preserve">key/EncryptionKeyService.java</w:t>
            </w:r>
          </w:p>
        </w:tc>
        <w:tc>
          <w:tcPr>
            <w:tcW w:type="dxa" w:w="3400"/>
            <w:tcMar>
              <w:top w:type="dxa" w:w="80"/>
              <w:left w:type="dxa" w:w="120"/>
              <w:bottom w:type="dxa" w:w="80"/>
              <w:right w:type="dxa" w:w="120"/>
            </w:tcMar>
          </w:tcPr>
          <w:p>
            <w:r>
              <w:rPr>
                <w:rFonts w:ascii="Calibri" w:cs="Calibri" w:eastAsia="Calibri" w:hAnsi="Calibri"/>
                <w:b w:val="false"/>
                <w:bCs w:val="false"/>
                <w:sz w:val="21"/>
                <w:szCs w:val="21"/>
              </w:rPr>
              <w:t xml:space="preserve">Orquesta encrypt/decrypt, resuelve la clave activa por organización y propósito, registra uso</w:t>
            </w:r>
          </w:p>
        </w:tc>
      </w:tr>
      <w:tr>
        <w:tc>
          <w:tcPr>
            <w:tcW w:type="dxa" w:w="2600"/>
            <w:tcMar>
              <w:top w:type="dxa" w:w="80"/>
              <w:left w:type="dxa" w:w="120"/>
              <w:bottom w:type="dxa" w:w="80"/>
              <w:right w:type="dxa" w:w="120"/>
            </w:tcMar>
          </w:tcPr>
          <w:p>
            <w:r>
              <w:rPr>
                <w:rFonts w:ascii="Calibri" w:cs="Calibri" w:eastAsia="Calibri" w:hAnsi="Calibri"/>
                <w:b w:val="false"/>
                <w:bCs w:val="false"/>
                <w:sz w:val="21"/>
                <w:szCs w:val="21"/>
              </w:rPr>
              <w:t xml:space="preserve">KeyUsage / KeyUsageAudit</w:t>
            </w:r>
          </w:p>
        </w:tc>
        <w:tc>
          <w:tcPr>
            <w:tcW w:type="dxa" w:w="3000"/>
            <w:tcMar>
              <w:top w:type="dxa" w:w="80"/>
              <w:left w:type="dxa" w:w="120"/>
              <w:bottom w:type="dxa" w:w="80"/>
              <w:right w:type="dxa" w:w="120"/>
            </w:tcMar>
          </w:tcPr>
          <w:p>
            <w:r>
              <w:rPr>
                <w:rFonts w:ascii="Calibri" w:cs="Calibri" w:eastAsia="Calibri" w:hAnsi="Calibri"/>
                <w:b w:val="false"/>
                <w:bCs w:val="false"/>
                <w:sz w:val="21"/>
                <w:szCs w:val="21"/>
              </w:rPr>
              <w:t xml:space="preserve">usage/KeyUsage.java</w:t>
            </w:r>
          </w:p>
        </w:tc>
        <w:tc>
          <w:tcPr>
            <w:tcW w:type="dxa" w:w="3400"/>
            <w:tcMar>
              <w:top w:type="dxa" w:w="80"/>
              <w:left w:type="dxa" w:w="120"/>
              <w:bottom w:type="dxa" w:w="80"/>
              <w:right w:type="dxa" w:w="120"/>
            </w:tcMar>
          </w:tcPr>
          <w:p>
            <w:r>
              <w:rPr>
                <w:rFonts w:ascii="Calibri" w:cs="Calibri" w:eastAsia="Calibri" w:hAnsi="Calibri"/>
                <w:b w:val="false"/>
                <w:bCs w:val="false"/>
                <w:sz w:val="21"/>
                <w:szCs w:val="21"/>
              </w:rPr>
              <w:t xml:space="preserve">Bitácora append-only de cada operación criptográfica (éxito/fallo)</w:t>
            </w:r>
          </w:p>
        </w:tc>
      </w:tr>
    </w:tbl>
    <w:p>
      <w:pPr>
        <w:spacing w:after="160"/>
      </w:pPr>
    </w:p>
    <w:p>
      <w:pPr>
        <w:pStyle w:val="Heading1"/>
        <w:spacing w:after="160" w:before="360"/>
      </w:pPr>
      <w:r>
        <w:rPr>
          <w:rFonts w:ascii="Calibri" w:cs="Calibri" w:eastAsia="Calibri" w:hAnsi="Calibri"/>
          <w:b/>
          <w:bCs/>
          <w:color w:val="1F3864"/>
          <w:sz w:val="28"/>
          <w:szCs w:val="28"/>
        </w:rPr>
        <w:t xml:space="preserve">4. Demostración práctica</w:t>
      </w:r>
    </w:p>
    <w:p>
      <w:pPr>
        <w:spacing w:after="160"/>
      </w:pPr>
      <w:r>
        <w:rPr>
          <w:rFonts w:ascii="Calibri" w:cs="Calibri" w:eastAsia="Calibri" w:hAnsi="Calibri"/>
          <w:b w:val="false"/>
          <w:bCs w:val="false"/>
          <w:i w:val="false"/>
          <w:iCs w:val="false"/>
          <w:sz w:val="22"/>
          <w:szCs w:val="22"/>
        </w:rPr>
        <w:t xml:space="preserve">La siguiente secuencia reproduce, contra la API interna del servicio, el comportamiento de aislamiento por tenant que ofrece el diseño actual:</w:t>
      </w:r>
    </w:p>
    <w:p>
      <w:pPr>
        <w:pStyle w:val="Heading2"/>
        <w:spacing w:after="120" w:before="240"/>
      </w:pPr>
      <w:r>
        <w:rPr>
          <w:rFonts w:ascii="Calibri" w:cs="Calibri" w:eastAsia="Calibri" w:hAnsi="Calibri"/>
          <w:b/>
          <w:bCs/>
          <w:sz w:val="24"/>
          <w:szCs w:val="24"/>
        </w:rPr>
        <w:t xml:space="preserve">4.1 Cifrar el mismo texto plano para dos organizaciones distintas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POST /internal/v1/crypto/encrypt   (organizationId = ORG_A, purpose = MEDICAL_RECORD)</w:t>
            </w:r>
          </w:p>
          <w:p>
            <w:pPr>
              <w:spacing w:after="0"/>
            </w:pPr>
            <w:r>
              <w:rPr>
                <w:rFonts w:ascii="Consolas" w:cs="Consolas" w:eastAsia="Consolas" w:hAnsi="Consolas"/>
                <w:sz w:val="19"/>
                <w:szCs w:val="19"/>
              </w:rPr>
              <w:t xml:space="preserve">{ "plaintext": "Paciente con hipertensión controlada" }</w:t>
            </w:r>
          </w:p>
          <w:p>
            <w:pPr>
              <w:spacing w:after="0"/>
            </w:pPr>
            <w:r>
              <w:rPr>
                <w:rFonts w:ascii="Consolas" w:cs="Consolas" w:eastAsia="Consolas" w:hAnsi="Consolas"/>
                <w:sz w:val="19"/>
                <w:szCs w:val="19"/>
              </w:rPr>
              <w:t xml:space="preserve">-&gt; ciphertext_A = "QWxpY2U..." (Base64, distinto cada vez por el nonce aleatorio)</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POST /internal/v1/crypto/encrypt   (organizationId = ORG_B, purpose = MEDICAL_RECORD)</w:t>
            </w:r>
          </w:p>
          <w:p>
            <w:pPr>
              <w:spacing w:after="0"/>
            </w:pPr>
            <w:r>
              <w:rPr>
                <w:rFonts w:ascii="Consolas" w:cs="Consolas" w:eastAsia="Consolas" w:hAnsi="Consolas"/>
                <w:sz w:val="19"/>
                <w:szCs w:val="19"/>
              </w:rPr>
              <w:t xml:space="preserve">{ "plaintext": "Paciente con hipertensión controlada" }</w:t>
            </w:r>
          </w:p>
          <w:p>
            <w:pPr>
              <w:spacing w:after="0"/>
            </w:pPr>
            <w:r>
              <w:rPr>
                <w:rFonts w:ascii="Consolas" w:cs="Consolas" w:eastAsia="Consolas" w:hAnsi="Consolas"/>
                <w:sz w:val="19"/>
                <w:szCs w:val="19"/>
              </w:rPr>
              <w:t xml:space="preserve">-&gt; ciphertext_B = "Qm9iQmF..." (distinto de ciphertext_A, aun siendo el mismo texto plano)</w:t>
            </w:r>
          </w:p>
        </w:tc>
      </w:tr>
    </w:tbl>
    <w:p>
      <w:pPr>
        <w:spacing w:after="160"/>
      </w:pPr>
      <w:r>
        <w:rPr>
          <w:rFonts w:ascii="Calibri" w:cs="Calibri" w:eastAsia="Calibri" w:hAnsi="Calibri"/>
          <w:sz w:val="22"/>
          <w:szCs w:val="22"/>
        </w:rPr>
        <w:t xml:space="preserve">Aunque el texto plano es idéntico, </w:t>
      </w:r>
      <w:r>
        <w:rPr>
          <w:rFonts w:ascii="Consolas" w:cs="Consolas" w:eastAsia="Consolas" w:hAnsi="Consolas"/>
          <w:sz w:val="20"/>
          <w:szCs w:val="20"/>
        </w:rPr>
        <w:t xml:space="preserve">ciphertext_A</w:t>
      </w:r>
      <w:r>
        <w:rPr>
          <w:rFonts w:ascii="Calibri" w:cs="Calibri" w:eastAsia="Calibri" w:hAnsi="Calibri"/>
          <w:sz w:val="22"/>
          <w:szCs w:val="22"/>
        </w:rPr>
        <w:t xml:space="preserve"> y </w:t>
      </w:r>
      <w:r>
        <w:rPr>
          <w:rFonts w:ascii="Consolas" w:cs="Consolas" w:eastAsia="Consolas" w:hAnsi="Consolas"/>
          <w:sz w:val="20"/>
          <w:szCs w:val="20"/>
        </w:rPr>
        <w:t xml:space="preserve">ciphertext_B</w:t>
      </w:r>
      <w:r>
        <w:rPr>
          <w:rFonts w:ascii="Calibri" w:cs="Calibri" w:eastAsia="Calibri" w:hAnsi="Calibri"/>
          <w:sz w:val="22"/>
          <w:szCs w:val="22"/>
        </w:rPr>
        <w:t xml:space="preserve"> son distintos: cada organización deriva una DEK distinta (el </w:t>
      </w:r>
      <w:r>
        <w:rPr>
          <w:rFonts w:ascii="Consolas" w:cs="Consolas" w:eastAsia="Consolas" w:hAnsi="Consolas"/>
          <w:sz w:val="20"/>
          <w:szCs w:val="20"/>
        </w:rPr>
        <w:t xml:space="preserve">orgToken</w:t>
      </w:r>
      <w:r>
        <w:rPr>
          <w:rFonts w:ascii="Calibri" w:cs="Calibri" w:eastAsia="Calibri" w:hAnsi="Calibri"/>
          <w:sz w:val="22"/>
          <w:szCs w:val="22"/>
        </w:rPr>
        <w:t xml:space="preserve"> forma parte de la información de derivación) y además cada cifrado usa un nonce aleatorio nuevo.</w:t>
      </w:r>
    </w:p>
    <w:p>
      <w:pPr>
        <w:pStyle w:val="Heading2"/>
        <w:spacing w:after="120" w:before="240"/>
      </w:pPr>
      <w:r>
        <w:rPr>
          <w:rFonts w:ascii="Calibri" w:cs="Calibri" w:eastAsia="Calibri" w:hAnsi="Calibri"/>
          <w:b/>
          <w:bCs/>
          <w:sz w:val="24"/>
          <w:szCs w:val="24"/>
        </w:rPr>
        <w:t xml:space="preserve">4.2 Intentar descifrar el ciphertext de A con el contexto de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POST /internal/v1/crypto/decrypt   (organizationId = ORG_B, purpose = MEDICAL_RECORD)</w:t>
            </w:r>
          </w:p>
          <w:p>
            <w:pPr>
              <w:spacing w:after="0"/>
            </w:pPr>
            <w:r>
              <w:rPr>
                <w:rFonts w:ascii="Consolas" w:cs="Consolas" w:eastAsia="Consolas" w:hAnsi="Consolas"/>
                <w:sz w:val="19"/>
                <w:szCs w:val="19"/>
              </w:rPr>
              <w:t xml:space="preserve">{ "ciphertext": "QWxpY2U..." }   // ciphertext_A, cifrado para ORG_A</w:t>
            </w:r>
          </w:p>
          <w:p>
            <w:pPr>
              <w:spacing w:after="0"/>
            </w:pPr>
            <w:r>
              <w:rPr>
                <w:rFonts w:ascii="Consolas" w:cs="Consolas" w:eastAsia="Consolas" w:hAnsi="Consolas"/>
                <w:sz w:val="19"/>
                <w:szCs w:val="19"/>
              </w:rPr>
              <w:t xml:space="preserve">-&gt; 422 DECRYPT_FAILED</w:t>
            </w:r>
          </w:p>
        </w:tc>
      </w:tr>
    </w:tbl>
    <w:p>
      <w:pPr>
        <w:spacing w:after="160"/>
      </w:pPr>
      <w:r>
        <w:rPr>
          <w:rFonts w:ascii="Calibri" w:cs="Calibri" w:eastAsia="Calibri" w:hAnsi="Calibri"/>
          <w:b w:val="false"/>
          <w:bCs w:val="false"/>
          <w:i w:val="false"/>
          <w:iCs w:val="false"/>
          <w:sz w:val="22"/>
          <w:szCs w:val="22"/>
        </w:rPr>
        <w:t xml:space="preserve">La operación falla: la DEK que ms-criptografia deriva para ORG_B es distinta de la de ORG_A, y aunque no lo fuera, el AAD (que incluye el identificador de organización) no coincidiría con el usado al cifrar, por lo que la verificación de autenticación de AES-GCM rechaza el payload. El fallo queda registrado en key_usage con resultado FAILURE y código DECRYPT_FAILED.</w:t>
      </w:r>
    </w:p>
    <w:p>
      <w:pPr>
        <w:pStyle w:val="Heading2"/>
        <w:spacing w:after="120" w:before="240"/>
      </w:pPr>
      <w:r>
        <w:rPr>
          <w:rFonts w:ascii="Calibri" w:cs="Calibri" w:eastAsia="Calibri" w:hAnsi="Calibri"/>
          <w:b/>
          <w:bCs/>
          <w:sz w:val="24"/>
          <w:szCs w:val="24"/>
        </w:rPr>
        <w:t xml:space="preserve">4.3 Consultar la clave activa de una organización (sin exponer material sensible)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GET /internal/v1/crypto/keys/active?organizationId=ORG_A&amp;purpose=MEDICAL_RECORD</w:t>
            </w:r>
          </w:p>
          <w:p>
            <w:pPr>
              <w:spacing w:after="0"/>
            </w:pPr>
            <w:r>
              <w:rPr>
                <w:rFonts w:ascii="Consolas" w:cs="Consolas" w:eastAsia="Consolas" w:hAnsi="Consolas"/>
                <w:sz w:val="19"/>
                <w:szCs w:val="19"/>
              </w:rPr>
              <w:t xml:space="preserve">200 OK</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"publicId": "...",</w:t>
            </w:r>
          </w:p>
          <w:p>
            <w:pPr>
              <w:spacing w:after="0"/>
            </w:pPr>
            <w:r>
              <w:rPr>
                <w:rFonts w:ascii="Consolas" w:cs="Consolas" w:eastAsia="Consolas" w:hAnsi="Consolas"/>
                <w:sz w:val="19"/>
                <w:szCs w:val="19"/>
              </w:rPr>
              <w:t xml:space="preserve">  "purpose": "MEDICAL_RECORD",</w:t>
            </w:r>
          </w:p>
          <w:p>
            <w:pPr>
              <w:spacing w:after="0"/>
            </w:pPr>
            <w:r>
              <w:rPr>
                <w:rFonts w:ascii="Consolas" w:cs="Consolas" w:eastAsia="Consolas" w:hAnsi="Consolas"/>
                <w:sz w:val="19"/>
                <w:szCs w:val="19"/>
              </w:rPr>
              <w:t xml:space="preserve">  "algorithm": "AES_256_GCM",</w:t>
            </w:r>
          </w:p>
          <w:p>
            <w:pPr>
              <w:spacing w:after="0"/>
            </w:pPr>
            <w:r>
              <w:rPr>
                <w:rFonts w:ascii="Consolas" w:cs="Consolas" w:eastAsia="Consolas" w:hAnsi="Consolas"/>
                <w:sz w:val="19"/>
                <w:szCs w:val="19"/>
              </w:rPr>
              <w:t xml:space="preserve">  "version": 1,</w:t>
            </w:r>
          </w:p>
          <w:p>
            <w:pPr>
              <w:spacing w:after="0"/>
            </w:pPr>
            <w:r>
              <w:rPr>
                <w:rFonts w:ascii="Consolas" w:cs="Consolas" w:eastAsia="Consolas" w:hAnsi="Consolas"/>
                <w:sz w:val="19"/>
                <w:szCs w:val="19"/>
              </w:rPr>
              <w:t xml:space="preserve">  "status": "ACTIVE"</w:t>
            </w:r>
          </w:p>
          <w:p>
            <w:pPr>
              <w:spacing w:after="0"/>
            </w:pPr>
            <w:r>
              <w:rPr>
                <w:rFonts w:ascii="Consolas" w:cs="Consolas" w:eastAsia="Consolas" w:hAnsi="Consolas"/>
                <w:sz w:val="19"/>
                <w:szCs w:val="19"/>
              </w:rPr>
              <w:t xml:space="preserve">}</w:t>
            </w:r>
          </w:p>
        </w:tc>
      </w:tr>
    </w:tbl>
    <w:p>
      <w:pPr>
        <w:spacing w:after="160"/>
      </w:pPr>
      <w:r>
        <w:rPr>
          <w:rFonts w:ascii="Calibri" w:cs="Calibri" w:eastAsia="Calibri" w:hAnsi="Calibri"/>
          <w:sz w:val="22"/>
          <w:szCs w:val="22"/>
        </w:rPr>
        <w:t xml:space="preserve">La respuesta nunca incluye </w:t>
      </w:r>
      <w:r>
        <w:rPr>
          <w:rFonts w:ascii="Consolas" w:cs="Consolas" w:eastAsia="Consolas" w:hAnsi="Consolas"/>
          <w:sz w:val="20"/>
          <w:szCs w:val="20"/>
        </w:rPr>
        <w:t xml:space="preserve">kekReference</w:t>
      </w:r>
      <w:r>
        <w:rPr>
          <w:rFonts w:ascii="Calibri" w:cs="Calibri" w:eastAsia="Calibri" w:hAnsi="Calibri"/>
          <w:sz w:val="22"/>
          <w:szCs w:val="22"/>
        </w:rPr>
        <w:t xml:space="preserve"> ni </w:t>
      </w:r>
      <w:r>
        <w:rPr>
          <w:rFonts w:ascii="Consolas" w:cs="Consolas" w:eastAsia="Consolas" w:hAnsi="Consolas"/>
          <w:sz w:val="20"/>
          <w:szCs w:val="20"/>
        </w:rPr>
        <w:t xml:space="preserve">wrappedDek</w:t>
      </w:r>
      <w:r>
        <w:rPr>
          <w:rFonts w:ascii="Calibri" w:cs="Calibri" w:eastAsia="Calibri" w:hAnsi="Calibri"/>
          <w:sz w:val="22"/>
          <w:szCs w:val="22"/>
        </w:rPr>
        <w:t xml:space="preserve">: por diseño, </w:t>
      </w:r>
      <w:r>
        <w:rPr>
          <w:rFonts w:ascii="Consolas" w:cs="Consolas" w:eastAsia="Consolas" w:hAnsi="Consolas"/>
          <w:sz w:val="20"/>
          <w:szCs w:val="20"/>
        </w:rPr>
        <w:t xml:space="preserve">EncryptionKeyDto</w:t>
      </w:r>
      <w:r>
        <w:rPr>
          <w:rFonts w:ascii="Calibri" w:cs="Calibri" w:eastAsia="Calibri" w:hAnsi="Calibri"/>
          <w:sz w:val="22"/>
          <w:szCs w:val="22"/>
        </w:rPr>
        <w:t xml:space="preserve"> solo expone metadatos de identificación del ciclo de vida de la clave.</w:t>
      </w:r>
    </w:p>
    <w:p>
      <w:pPr>
        <w:pStyle w:val="Heading2"/>
        <w:spacing w:after="120" w:before="240"/>
      </w:pPr>
      <w:r>
        <w:rPr>
          <w:rFonts w:ascii="Calibri" w:cs="Calibri" w:eastAsia="Calibri" w:hAnsi="Calibri"/>
          <w:b/>
          <w:bCs/>
          <w:color w:val="2F5496"/>
          <w:sz w:val="24"/>
          <w:szCs w:val="24"/>
        </w:rPr>
        <w:t xml:space="preserve">4.4 La nota clínica aparece cifrada en la base de datos</w:t>
      </w:r>
    </w:p>
    <w:p>
      <w:pPr>
        <w:spacing w:after="160"/>
      </w:pPr>
      <w:r>
        <w:rPr>
          <w:rFonts w:ascii="Calibri" w:cs="Calibri" w:eastAsia="Calibri" w:hAnsi="Calibri"/>
          <w:sz w:val="22"/>
          <w:szCs w:val="22"/>
        </w:rPr>
        <w:t xml:space="preserve">Las notas del encuentro clínico se guardan en ms-historial como </w:t>
      </w:r>
      <w:r>
        <w:rPr>
          <w:rFonts w:ascii="Consolas" w:cs="Consolas" w:eastAsia="Consolas" w:hAnsi="Consolas"/>
          <w:sz w:val="20"/>
          <w:szCs w:val="20"/>
        </w:rPr>
        <w:t xml:space="preserve">VARBINARY</w:t>
      </w:r>
      <w:r>
        <w:rPr>
          <w:rFonts w:ascii="Calibri" w:cs="Calibri" w:eastAsia="Calibri" w:hAnsi="Calibri"/>
          <w:sz w:val="22"/>
          <w:szCs w:val="22"/>
        </w:rPr>
        <w:t xml:space="preserve"> en </w:t>
      </w:r>
      <w:r>
        <w:rPr>
          <w:rFonts w:ascii="Consolas" w:cs="Consolas" w:eastAsia="Consolas" w:hAnsi="Consolas"/>
          <w:sz w:val="20"/>
          <w:szCs w:val="20"/>
        </w:rPr>
        <w:t xml:space="preserve">clinical_encounter</w:t>
      </w:r>
      <w:r>
        <w:rPr>
          <w:rFonts w:ascii="Calibri" w:cs="Calibri" w:eastAsia="Calibri" w:hAnsi="Calibri"/>
          <w:sz w:val="22"/>
          <w:szCs w:val="22"/>
        </w:rPr>
        <w:t xml:space="preserve"> (</w:t>
      </w:r>
      <w:r>
        <w:rPr>
          <w:rFonts w:ascii="Consolas" w:cs="Consolas" w:eastAsia="Consolas" w:hAnsi="Consolas"/>
          <w:sz w:val="20"/>
          <w:szCs w:val="20"/>
        </w:rPr>
        <w:t xml:space="preserve">encrypted_subjective_notes</w:t>
      </w:r>
      <w:r>
        <w:rPr>
          <w:rFonts w:ascii="Calibri" w:cs="Calibri" w:eastAsia="Calibri" w:hAnsi="Calibri"/>
          <w:sz w:val="22"/>
          <w:szCs w:val="22"/>
        </w:rPr>
        <w:t xml:space="preserve">, </w:t>
      </w:r>
      <w:r>
        <w:rPr>
          <w:rFonts w:ascii="Consolas" w:cs="Consolas" w:eastAsia="Consolas" w:hAnsi="Consolas"/>
          <w:sz w:val="20"/>
          <w:szCs w:val="20"/>
        </w:rPr>
        <w:t xml:space="preserve">encrypted_objective_notes</w:t>
      </w:r>
      <w:r>
        <w:rPr>
          <w:rFonts w:ascii="Calibri" w:cs="Calibri" w:eastAsia="Calibri" w:hAnsi="Calibri"/>
          <w:sz w:val="22"/>
          <w:szCs w:val="22"/>
        </w:rPr>
        <w:t xml:space="preserve">, </w:t>
      </w:r>
      <w:r>
        <w:rPr>
          <w:rFonts w:ascii="Consolas" w:cs="Consolas" w:eastAsia="Consolas" w:hAnsi="Consolas"/>
          <w:sz w:val="20"/>
          <w:szCs w:val="20"/>
        </w:rPr>
        <w:t xml:space="preserve">encrypted_assessment</w:t>
      </w:r>
      <w:r>
        <w:rPr>
          <w:rFonts w:ascii="Calibri" w:cs="Calibri" w:eastAsia="Calibri" w:hAnsi="Calibri"/>
          <w:sz w:val="22"/>
          <w:szCs w:val="22"/>
        </w:rPr>
        <w:t xml:space="preserve">, </w:t>
      </w:r>
      <w:r>
        <w:rPr>
          <w:rFonts w:ascii="Consolas" w:cs="Consolas" w:eastAsia="Consolas" w:hAnsi="Consolas"/>
          <w:sz w:val="20"/>
          <w:szCs w:val="20"/>
        </w:rPr>
        <w:t xml:space="preserve">encrypted_plan</w:t>
      </w:r>
      <w:r>
        <w:rPr>
          <w:rFonts w:ascii="Calibri" w:cs="Calibri" w:eastAsia="Calibri" w:hAnsi="Calibri"/>
          <w:sz w:val="22"/>
          <w:szCs w:val="22"/>
        </w:rPr>
        <w:t xml:space="preserve">), junto con </w:t>
      </w:r>
      <w:r>
        <w:rPr>
          <w:rFonts w:ascii="Consolas" w:cs="Consolas" w:eastAsia="Consolas" w:hAnsi="Consolas"/>
          <w:sz w:val="20"/>
          <w:szCs w:val="20"/>
        </w:rPr>
        <w:t xml:space="preserve">encryption_key_public_id</w:t>
      </w:r>
      <w:r>
        <w:rPr>
          <w:rFonts w:ascii="Calibri" w:cs="Calibri" w:eastAsia="Calibri" w:hAnsi="Calibri"/>
          <w:sz w:val="22"/>
          <w:szCs w:val="22"/>
        </w:rPr>
        <w:t xml:space="preserve">. Consulta SQL de la demo (lectura directa de la base, sin pasar por la aplicación):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SELECT HEX(public_id) AS encuentro,</w:t>
            </w:r>
          </w:p>
          <w:p>
            <w:pPr>
              <w:spacing w:after="0"/>
            </w:pPr>
            <w:r>
              <w:rPr>
                <w:rFonts w:ascii="Consolas" w:cs="Consolas" w:eastAsia="Consolas" w:hAnsi="Consolas"/>
                <w:sz w:val="19"/>
                <w:szCs w:val="19"/>
              </w:rPr>
              <w:t xml:space="preserve">       HEX(SUBSTRING(encrypted_subjective_notes, 1, 24)) AS nota_cifrada,</w:t>
            </w:r>
          </w:p>
          <w:p>
            <w:pPr>
              <w:spacing w:after="0"/>
            </w:pPr>
            <w:r>
              <w:rPr>
                <w:rFonts w:ascii="Consolas" w:cs="Consolas" w:eastAsia="Consolas" w:hAnsi="Consolas"/>
                <w:sz w:val="19"/>
                <w:szCs w:val="19"/>
              </w:rPr>
              <w:t xml:space="preserve">       status, LEFT(content_hash, 16) AS sello</w:t>
            </w:r>
          </w:p>
          <w:p>
            <w:pPr>
              <w:spacing w:after="0"/>
            </w:pPr>
            <w:r>
              <w:rPr>
                <w:rFonts w:ascii="Consolas" w:cs="Consolas" w:eastAsia="Consolas" w:hAnsi="Consolas"/>
                <w:sz w:val="19"/>
                <w:szCs w:val="19"/>
              </w:rPr>
              <w:t xml:space="preserve">  FROM clinical_encounter LIMIT 3;</w:t>
            </w:r>
          </w:p>
        </w:tc>
      </w:tr>
    </w:tbl>
    <w:p>
      <w:pPr>
        <w:spacing w:after="160"/>
      </w:pPr>
      <w:r>
        <w:rPr>
          <w:rFonts w:ascii="Calibri" w:cs="Calibri" w:eastAsia="Calibri" w:hAnsi="Calibri"/>
          <w:sz w:val="22"/>
          <w:szCs w:val="22"/>
        </w:rPr>
        <w:t xml:space="preserve">Resultado esperado: bytes ilegibles (prefijo de versión, nonce de 12 bytes y ciphertext), no texto. La misma nota se ve en claro únicamente en la pantalla de historia clínica de la aplicación, con un usuario autenticado y autorizado, porque el servicio la descifra al responder.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val="clear"/>
            <w:tcMar>
              <w:top w:type="dxa" w:w="120"/>
              <w:left w:type="dxa" w:w="160"/>
              <w:bottom w:type="dxa" w:w="120"/>
              <w:right w:type="dxa" w:w="160"/>
            </w:tcMar>
          </w:tcPr>
          <w:p>
            <w:pPr>
              <w:spacing w:after="0"/>
            </w:pPr>
            <w:r>
              <w:rPr>
                <w:rFonts w:ascii="Consolas" w:cs="Consolas" w:eastAsia="Consolas" w:hAnsi="Consolas"/>
                <w:sz w:val="19"/>
                <w:szCs w:val="19"/>
              </w:rPr>
              <w:t xml:space="preserve">[CAPTURA PENDIENTE: resultado real de la consulta SQL sobre clinical_encounter y, a su lado, la misma nota en la pantalla de la app]</w:t>
            </w:r>
          </w:p>
        </w:tc>
      </w:tr>
    </w:tbl>
    <w:p>
      <w:pPr>
        <w:spacing w:after="160"/>
      </w:pPr>
      <w:r>
        <w:rPr>
          <w:rFonts w:ascii="Calibri" w:cs="Calibri" w:eastAsia="Calibri" w:hAnsi="Calibri"/>
          <w:sz w:val="22"/>
          <w:szCs w:val="22"/>
        </w:rPr>
        <w:t xml:space="preserve">Precisión importante: ms-historial arranca por defecto con </w:t>
      </w:r>
      <w:r>
        <w:rPr>
          <w:rFonts w:ascii="Consolas" w:cs="Consolas" w:eastAsia="Consolas" w:hAnsi="Consolas"/>
          <w:sz w:val="20"/>
          <w:szCs w:val="20"/>
        </w:rPr>
        <w:t xml:space="preserve">CRYPTO_MODE=LOCAL</w:t>
      </w:r>
      <w:r>
        <w:rPr>
          <w:rFonts w:ascii="Calibri" w:cs="Calibri" w:eastAsia="Calibri" w:hAnsi="Calibri"/>
          <w:sz w:val="22"/>
          <w:szCs w:val="22"/>
        </w:rPr>
        <w:t xml:space="preserve">, es decir, cifra en proceso con AES-256-GCM (clase LocalNarrativeCipher) usando la clave de demostración </w:t>
      </w:r>
      <w:r>
        <w:rPr>
          <w:rFonts w:ascii="Consolas" w:cs="Consolas" w:eastAsia="Consolas" w:hAnsi="Consolas"/>
          <w:sz w:val="20"/>
          <w:szCs w:val="20"/>
        </w:rPr>
        <w:t xml:space="preserve">DEMO_MASTER_KEY</w:t>
      </w:r>
      <w:r>
        <w:rPr>
          <w:rFonts w:ascii="Calibri" w:cs="Calibri" w:eastAsia="Calibri" w:hAnsi="Calibri"/>
          <w:sz w:val="22"/>
          <w:szCs w:val="22"/>
        </w:rPr>
        <w:t xml:space="preserve">; con </w:t>
      </w:r>
      <w:r>
        <w:rPr>
          <w:rFonts w:ascii="Consolas" w:cs="Consolas" w:eastAsia="Consolas" w:hAnsi="Consolas"/>
          <w:sz w:val="20"/>
          <w:szCs w:val="20"/>
        </w:rPr>
        <w:t xml:space="preserve">CRYPTO_MODE=REMOTE</w:t>
      </w:r>
      <w:r>
        <w:rPr>
          <w:rFonts w:ascii="Calibri" w:cs="Calibri" w:eastAsia="Calibri" w:hAnsi="Calibri"/>
          <w:sz w:val="22"/>
          <w:szCs w:val="22"/>
        </w:rPr>
        <w:t xml:space="preserve"> delega el cifrado en ms-criptografia. La demo debe declarar en cuál de los dos modos se ejecuta. En ambos casos aplica la limitación de la sección 5.</w:t>
      </w:r>
    </w:p>
    <w:p>
      <w:pPr>
        <w:pStyle w:val="Heading2"/>
        <w:spacing w:after="120" w:before="240"/>
      </w:pPr>
      <w:r>
        <w:rPr>
          <w:rFonts w:ascii="Calibri" w:cs="Calibri" w:eastAsia="Calibri" w:hAnsi="Calibri"/>
          <w:b/>
          <w:bCs/>
          <w:color w:val="2F5496"/>
          <w:sz w:val="24"/>
          <w:szCs w:val="24"/>
        </w:rPr>
        <w:t xml:space="preserve">4.5 Contraseñas con Argon2id</w:t>
      </w:r>
    </w:p>
    <w:p>
      <w:pPr>
        <w:spacing w:after="160"/>
      </w:pPr>
      <w:r>
        <w:rPr>
          <w:rFonts w:ascii="Calibri" w:cs="Calibri" w:eastAsia="Calibri" w:hAnsi="Calibri"/>
          <w:sz w:val="22"/>
          <w:szCs w:val="22"/>
        </w:rPr>
        <w:t xml:space="preserve">Las contraseñas no se guardan en Keycloak: en este repositorio no existe ninguna integración con Keycloak. Las gestiona ms-identidad, que usa </w:t>
      </w:r>
      <w:r>
        <w:rPr>
          <w:rFonts w:ascii="Consolas" w:cs="Consolas" w:eastAsia="Consolas" w:hAnsi="Consolas"/>
          <w:sz w:val="20"/>
          <w:szCs w:val="20"/>
        </w:rPr>
        <w:t xml:space="preserve">Argon2PasswordEncoder.defaultsForSpringSecurity_v5_8()</w:t>
      </w:r>
      <w:r>
        <w:rPr>
          <w:rFonts w:ascii="Calibri" w:cs="Calibri" w:eastAsia="Calibri" w:hAnsi="Calibri"/>
          <w:sz w:val="22"/>
          <w:szCs w:val="22"/>
        </w:rPr>
        <w:t xml:space="preserve"> (Spring Security) y persiste el hash en </w:t>
      </w:r>
      <w:r>
        <w:rPr>
          <w:rFonts w:ascii="Consolas" w:cs="Consolas" w:eastAsia="Consolas" w:hAnsi="Consolas"/>
          <w:sz w:val="20"/>
          <w:szCs w:val="20"/>
        </w:rPr>
        <w:t xml:space="preserve">user_account.password_hash</w:t>
      </w:r>
      <w:r>
        <w:rPr>
          <w:rFonts w:ascii="Calibri" w:cs="Calibri" w:eastAsia="Calibri" w:hAnsi="Calibri"/>
          <w:sz w:val="22"/>
          <w:szCs w:val="22"/>
        </w:rPr>
        <w:t xml:space="preserve"> con </w:t>
      </w:r>
      <w:r>
        <w:rPr>
          <w:rFonts w:ascii="Consolas" w:cs="Consolas" w:eastAsia="Consolas" w:hAnsi="Consolas"/>
          <w:sz w:val="20"/>
          <w:szCs w:val="20"/>
        </w:rPr>
        <w:t xml:space="preserve">hash_algorithm = 'argon2id'</w:t>
      </w:r>
      <w:r>
        <w:rPr>
          <w:rFonts w:ascii="Calibri" w:cs="Calibri" w:eastAsia="Calibri" w:hAnsi="Calibri"/>
          <w:sz w:val="22"/>
          <w:szCs w:val="22"/>
        </w:rPr>
        <w:t xml:space="preserve">. Cualquier texto de la defensa que diga «Argon2id dentro de Keycloak» debe corregirse a «Argon2id en ms-identidad».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SELECT hash_algorithm, LEFT(password_hash, 30) AS hash_parcial</w:t>
            </w:r>
          </w:p>
          <w:p>
            <w:pPr>
              <w:spacing w:after="0"/>
            </w:pPr>
            <w:r>
              <w:rPr>
                <w:rFonts w:ascii="Consolas" w:cs="Consolas" w:eastAsia="Consolas" w:hAnsi="Consolas"/>
                <w:sz w:val="19"/>
                <w:szCs w:val="19"/>
              </w:rPr>
              <w:t xml:space="preserve">  FROM user_account LIMIT 3;</w:t>
            </w:r>
          </w:p>
          <w:p>
            <w:pPr>
              <w:spacing w:after="0"/>
            </w:pPr>
            <w:r>
              <w:rPr>
                <w:rFonts w:ascii="Consolas" w:cs="Consolas" w:eastAsia="Consolas" w:hAnsi="Consolas"/>
                <w:sz w:val="19"/>
                <w:szCs w:val="19"/>
              </w:rPr>
              <w:t xml:space="preserve">-- el prefijo muestra $argon2id$... : parámetros y sal van dentro del propio hash</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val="clear"/>
            <w:tcMar>
              <w:top w:type="dxa" w:w="120"/>
              <w:left w:type="dxa" w:w="160"/>
              <w:bottom w:type="dxa" w:w="120"/>
              <w:right w:type="dxa" w:w="160"/>
            </w:tcMar>
          </w:tcPr>
          <w:p>
            <w:pPr>
              <w:spacing w:after="0"/>
            </w:pPr>
            <w:r>
              <w:rPr>
                <w:rFonts w:ascii="Consolas" w:cs="Consolas" w:eastAsia="Consolas" w:hAnsi="Consolas"/>
                <w:sz w:val="19"/>
                <w:szCs w:val="19"/>
              </w:rPr>
              <w:t xml:space="preserve">[CAPTURA PENDIENTE: resultado real de la consulta sobre user_account]</w:t>
            </w:r>
          </w:p>
        </w:tc>
      </w:tr>
    </w:tbl>
    <w:p>
      <w:pPr>
        <w:pStyle w:val="Heading2"/>
        <w:spacing w:after="120" w:before="240"/>
      </w:pPr>
      <w:r>
        <w:rPr>
          <w:rFonts w:ascii="Calibri" w:cs="Calibri" w:eastAsia="Calibri" w:hAnsi="Calibri"/>
          <w:b/>
          <w:bCs/>
          <w:color w:val="2F5496"/>
          <w:sz w:val="24"/>
          <w:szCs w:val="24"/>
        </w:rPr>
        <w:t xml:space="preserve">4.6 HMAC del webhook de WhatsApp</w:t>
      </w:r>
    </w:p>
    <w:p>
      <w:pPr>
        <w:spacing w:after="160"/>
      </w:pPr>
      <w:r>
        <w:rPr>
          <w:rFonts w:ascii="Calibri" w:cs="Calibri" w:eastAsia="Calibri" w:hAnsi="Calibri"/>
          <w:sz w:val="22"/>
          <w:szCs w:val="22"/>
        </w:rPr>
        <w:t xml:space="preserve">ms-notificaciones valida el encabezado </w:t>
      </w:r>
      <w:r>
        <w:rPr>
          <w:rFonts w:ascii="Consolas" w:cs="Consolas" w:eastAsia="Consolas" w:hAnsi="Consolas"/>
          <w:sz w:val="20"/>
          <w:szCs w:val="20"/>
        </w:rPr>
        <w:t xml:space="preserve">X-Hub-Signature-256</w:t>
      </w:r>
      <w:r>
        <w:rPr>
          <w:rFonts w:ascii="Calibri" w:cs="Calibri" w:eastAsia="Calibri" w:hAnsi="Calibri"/>
          <w:sz w:val="22"/>
          <w:szCs w:val="22"/>
        </w:rPr>
        <w:t xml:space="preserve"> (formato </w:t>
      </w:r>
      <w:r>
        <w:rPr>
          <w:rFonts w:ascii="Consolas" w:cs="Consolas" w:eastAsia="Consolas" w:hAnsi="Consolas"/>
          <w:sz w:val="20"/>
          <w:szCs w:val="20"/>
        </w:rPr>
        <w:t xml:space="preserve">sha256=&lt;hex&gt;</w:t>
      </w:r>
      <w:r>
        <w:rPr>
          <w:rFonts w:ascii="Calibri" w:cs="Calibri" w:eastAsia="Calibri" w:hAnsi="Calibri"/>
          <w:sz w:val="22"/>
          <w:szCs w:val="22"/>
        </w:rPr>
        <w:t xml:space="preserve">) calculando HMAC-SHA256 del cuerpo recibido con el secreto de la aplicación (</w:t>
      </w:r>
      <w:r>
        <w:rPr>
          <w:rFonts w:ascii="Consolas" w:cs="Consolas" w:eastAsia="Consolas" w:hAnsi="Consolas"/>
          <w:sz w:val="20"/>
          <w:szCs w:val="20"/>
        </w:rPr>
        <w:t xml:space="preserve">WHATSAPP_APP_SECRET</w:t>
      </w:r>
      <w:r>
        <w:rPr>
          <w:rFonts w:ascii="Calibri" w:cs="Calibri" w:eastAsia="Calibri" w:hAnsi="Calibri"/>
          <w:sz w:val="22"/>
          <w:szCs w:val="22"/>
        </w:rPr>
        <w:t xml:space="preserve">) y comparándolo en tiempo constante (</w:t>
      </w:r>
      <w:r>
        <w:rPr>
          <w:rFonts w:ascii="Consolas" w:cs="Consolas" w:eastAsia="Consolas" w:hAnsi="Consolas"/>
          <w:sz w:val="20"/>
          <w:szCs w:val="20"/>
        </w:rPr>
        <w:t xml:space="preserve">MessageDigest.isEqual</w:t>
      </w:r>
      <w:r>
        <w:rPr>
          <w:rFonts w:ascii="Calibri" w:cs="Calibri" w:eastAsia="Calibri" w:hAnsi="Calibri"/>
          <w:sz w:val="22"/>
          <w:szCs w:val="22"/>
        </w:rPr>
        <w:t xml:space="preserve">). Una firma ausente o distinta produce 401 </w:t>
      </w:r>
      <w:r>
        <w:rPr>
          <w:rFonts w:ascii="Consolas" w:cs="Consolas" w:eastAsia="Consolas" w:hAnsi="Consolas"/>
          <w:sz w:val="20"/>
          <w:szCs w:val="20"/>
        </w:rPr>
        <w:t xml:space="preserve">INVALID_WEBHOOK_SIGNATURE</w:t>
      </w:r>
      <w:r>
        <w:rPr>
          <w:rFonts w:ascii="Calibri" w:cs="Calibri" w:eastAsia="Calibri" w:hAnsi="Calibri"/>
          <w:sz w:val="22"/>
          <w:szCs w:val="22"/>
        </w:rPr>
        <w:t xml:space="preserve">. Limitación vigente: si </w:t>
      </w:r>
      <w:r>
        <w:rPr>
          <w:rFonts w:ascii="Consolas" w:cs="Consolas" w:eastAsia="Consolas" w:hAnsi="Consolas"/>
          <w:sz w:val="20"/>
          <w:szCs w:val="20"/>
        </w:rPr>
        <w:t xml:space="preserve">WHATSAPP_APP_SECRET</w:t>
      </w:r>
      <w:r>
        <w:rPr>
          <w:rFonts w:ascii="Calibri" w:cs="Calibri" w:eastAsia="Calibri" w:hAnsi="Calibri"/>
          <w:sz w:val="22"/>
          <w:szCs w:val="22"/>
        </w:rPr>
        <w:t xml:space="preserve"> está vacío —y en compose.yaml su valor por defecto es vacío— la verificación se omite; para que la demo muestre el rechazo debe configurarse un secreto.</w:t>
      </w:r>
    </w:p>
    <w:p>
      <w:pPr>
        <w:pStyle w:val="Heading2"/>
        <w:spacing w:after="120" w:before="240"/>
      </w:pPr>
      <w:r>
        <w:rPr>
          <w:rFonts w:ascii="Calibri" w:cs="Calibri" w:eastAsia="Calibri" w:hAnsi="Calibri"/>
          <w:b/>
          <w:bCs/>
          <w:color w:val="2F5496"/>
          <w:sz w:val="24"/>
          <w:szCs w:val="24"/>
        </w:rPr>
        <w:t xml:space="preserve">4.7 Hash de documentos</w:t>
      </w:r>
    </w:p>
    <w:p>
      <w:pPr>
        <w:spacing w:after="160"/>
      </w:pPr>
      <w:r>
        <w:rPr>
          <w:rFonts w:ascii="Calibri" w:cs="Calibri" w:eastAsia="Calibri" w:hAnsi="Calibri"/>
          <w:sz w:val="22"/>
          <w:szCs w:val="22"/>
        </w:rPr>
        <w:t xml:space="preserve">ms-documental calcula SHA-256 del archivo al subirlo y lo guarda en </w:t>
      </w:r>
      <w:r>
        <w:rPr>
          <w:rFonts w:ascii="Consolas" w:cs="Consolas" w:eastAsia="Consolas" w:hAnsi="Consolas"/>
          <w:sz w:val="20"/>
          <w:szCs w:val="20"/>
        </w:rPr>
        <w:t xml:space="preserve">document.sha256_hash</w:t>
      </w:r>
      <w:r>
        <w:rPr>
          <w:rFonts w:ascii="Calibri" w:cs="Calibri" w:eastAsia="Calibri" w:hAnsi="Calibri"/>
          <w:sz w:val="22"/>
          <w:szCs w:val="22"/>
        </w:rPr>
        <w:t xml:space="preserve">; GET /api/v1/documents/{documentId}/integrity lo recalcula sobre el objeto almacenado y devuelve </w:t>
      </w:r>
      <w:r>
        <w:rPr>
          <w:rFonts w:ascii="Consolas" w:cs="Consolas" w:eastAsia="Consolas" w:hAnsi="Consolas"/>
          <w:sz w:val="20"/>
          <w:szCs w:val="20"/>
        </w:rPr>
        <w:t xml:space="preserve">matches</w:t>
      </w:r>
      <w:r>
        <w:rPr>
          <w:rFonts w:ascii="Calibri" w:cs="Calibri" w:eastAsia="Calibri" w:hAnsi="Calibri"/>
          <w:sz w:val="22"/>
          <w:szCs w:val="22"/>
        </w:rPr>
        <w:t xml:space="preserve">, y la descarga responde 409 INTEGRITY_MISMATCH si no coincide (procedimiento completo en PR-05). Además, ms-historial sella cada encuentro firmado con un SHA-256 (</w:t>
      </w:r>
      <w:r>
        <w:rPr>
          <w:rFonts w:ascii="Consolas" w:cs="Consolas" w:eastAsia="Consolas" w:hAnsi="Consolas"/>
          <w:sz w:val="20"/>
          <w:szCs w:val="20"/>
        </w:rPr>
        <w:t xml:space="preserve">content_hash</w:t>
      </w:r>
      <w:r>
        <w:rPr>
          <w:rFonts w:ascii="Calibri" w:cs="Calibri" w:eastAsia="Calibri" w:hAnsi="Calibri"/>
          <w:sz w:val="22"/>
          <w:szCs w:val="22"/>
        </w:rPr>
        <w:t xml:space="preserve">) calculado sobre el ciphertext y los datos estructurales, sin descifrar nada.</w:t>
      </w:r>
    </w:p>
    <w:p>
      <w:pPr>
        <w:pStyle w:val="Heading1"/>
        <w:spacing w:after="160" w:before="360"/>
      </w:pPr>
      <w:r>
        <w:rPr>
          <w:rFonts w:ascii="Calibri" w:cs="Calibri" w:eastAsia="Calibri" w:hAnsi="Calibri"/>
          <w:b/>
          <w:bCs/>
          <w:color w:val="1F3864"/>
          <w:sz w:val="28"/>
          <w:szCs w:val="28"/>
        </w:rPr>
        <w:t xml:space="preserve">5. Limitaciones conocidas (estado MVP) — honestidad requerida por CRY-01</w:t>
      </w:r>
    </w:p>
    <w:p>
      <w:pPr>
        <w:spacing w:after="160"/>
      </w:pPr>
      <w:r>
        <w:rPr>
          <w:rFonts w:ascii="Calibri" w:cs="Calibri" w:eastAsia="Calibri" w:hAnsi="Calibri"/>
          <w:b/>
          <w:bCs/>
          <w:sz w:val="22"/>
          <w:szCs w:val="22"/>
        </w:rPr>
        <w:t xml:space="preserve">Esta sección documenta una brecha real y vigente, no hipotética.</w:t>
      </w:r>
      <w:r>
        <w:rPr>
          <w:rFonts w:ascii="Calibri" w:cs="Calibri" w:eastAsia="Calibri" w:hAnsi="Calibri"/>
          <w:sz w:val="22"/>
          <w:szCs w:val="22"/>
        </w:rPr>
        <w:t xml:space="preserve"> Debe leerse junto con PO-05, sección 4.1.</w:t>
      </w:r>
    </w:p>
    <w:p>
      <w:pPr>
        <w:pStyle w:val="ListParagraph"/>
        <w:numPr>
          <w:ilvl w:val="0"/>
          <w:numId w:val="2"/>
        </w:numPr>
        <w:spacing w:after="100"/>
      </w:pPr>
      <w:r>
        <w:rPr>
          <w:rFonts w:ascii="Calibri" w:cs="Calibri" w:eastAsia="Calibri" w:hAnsi="Calibri"/>
          <w:sz w:val="22"/>
          <w:szCs w:val="22"/>
        </w:rPr>
        <w:t xml:space="preserve">La clave maestra (IKM) usada en la derivación es DEMO_MASTER_KEY, una única variable de entorno del proceso de ms-criptografia, no una KEK gestionada por un KMS/Vault externo.</w:t>
      </w:r>
    </w:p>
    <w:p>
      <w:pPr>
        <w:pStyle w:val="ListParagraph"/>
        <w:numPr>
          <w:ilvl w:val="0"/>
          <w:numId w:val="2"/>
        </w:numPr>
        <w:spacing w:after="100"/>
      </w:pPr>
      <w:r>
        <w:rPr>
          <w:rFonts w:ascii="Calibri" w:cs="Calibri" w:eastAsia="Calibri" w:hAnsi="Calibri"/>
          <w:sz w:val="22"/>
          <w:szCs w:val="22"/>
        </w:rPr>
        <w:t xml:space="preserve">El campo wrapped_dek del modelo de datos existe en el esquema pero no se resuelve en el código actual: la separación entre organizaciones depende del contexto incluido en la derivación (HKDF info) y en el AAD, no de material de clave realmente independiente y envuelto por una KEK distinta por tenant.</w:t>
      </w:r>
    </w:p>
    <w:p>
      <w:pPr>
        <w:pStyle w:val="ListParagraph"/>
        <w:numPr>
          <w:ilvl w:val="0"/>
          <w:numId w:val="2"/>
        </w:numPr>
        <w:spacing w:after="100"/>
      </w:pPr>
      <w:r>
        <w:rPr>
          <w:rFonts w:ascii="Calibri" w:cs="Calibri" w:eastAsia="Calibri" w:hAnsi="Calibri"/>
          <w:sz w:val="22"/>
          <w:szCs w:val="22"/>
        </w:rPr>
        <w:t xml:space="preserve">En consecuencia, quien tenga acceso a DEMO_MASTER_KEY y a los metadatos de la fila encryption_key de cualquier organización puede, en principio, derivar la DEK de esa organización. El aislamiento actual es criptográficamente correcto en su construcción (HKDF + AAD), pero depende de un único secreto compartido en lugar de secretos independientes por tenant envueltos por un KMS.</w:t>
      </w:r>
    </w:p>
    <w:p>
      <w:pPr>
        <w:pStyle w:val="ListParagraph"/>
        <w:numPr>
          <w:ilvl w:val="0"/>
          <w:numId w:val="2"/>
        </w:numPr>
        <w:spacing w:after="100"/>
      </w:pPr>
      <w:r>
        <w:rPr>
          <w:rFonts w:ascii="Calibri" w:cs="Calibri" w:eastAsia="Calibri" w:hAnsi="Calibri"/>
          <w:sz w:val="22"/>
          <w:szCs w:val="22"/>
        </w:rPr>
        <w:t xml:space="preserve">No hay terminación TLS propia verificada en el servicio; las conexiones a MySQL se configuran con useSSL=false en el entorno actual (ver PO-05, sección 7).</w:t>
      </w:r>
    </w:p>
    <w:p>
      <w:pPr>
        <w:pStyle w:val="Heading1"/>
        <w:spacing w:after="160" w:before="360"/>
      </w:pPr>
      <w:r>
        <w:rPr>
          <w:rFonts w:ascii="Calibri" w:cs="Calibri" w:eastAsia="Calibri" w:hAnsi="Calibri"/>
          <w:b/>
          <w:bCs/>
          <w:color w:val="1F3864"/>
          <w:sz w:val="28"/>
          <w:szCs w:val="28"/>
        </w:rPr>
        <w:t xml:space="preserve">6. Plan de remediación hacia producción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D9E2F3" w:val="clear"/>
            <w:tcMar>
              <w:top w:type="dxa" w:w="80"/>
              <w:left w:type="dxa" w:w="120"/>
              <w:bottom w:type="dxa" w:w="80"/>
              <w:right w:type="dxa" w:w="120"/>
            </w:tcMar>
          </w:tcPr>
          <w:p>
            <w:r>
              <w:rPr>
                <w:rFonts w:ascii="Calibri" w:cs="Calibri" w:eastAsia="Calibri" w:hAnsi="Calibri"/>
                <w:b/>
                <w:bCs/>
                <w:sz w:val="21"/>
                <w:szCs w:val="21"/>
              </w:rPr>
              <w:t xml:space="preserve">Acción</w:t>
            </w:r>
          </w:p>
        </w:tc>
        <w:tc>
          <w:tcPr>
            <w:tcW w:type="dxa" w:w="4800"/>
            <w:shd w:fill="D9E2F3" w:val="clear"/>
            <w:tcMar>
              <w:top w:type="dxa" w:w="80"/>
              <w:left w:type="dxa" w:w="120"/>
              <w:bottom w:type="dxa" w:w="80"/>
              <w:right w:type="dxa" w:w="120"/>
            </w:tcMar>
          </w:tcPr>
          <w:p>
            <w:r>
              <w:rPr>
                <w:rFonts w:ascii="Calibri" w:cs="Calibri" w:eastAsia="Calibri" w:hAnsi="Calibri"/>
                <w:b/>
                <w:bCs/>
                <w:sz w:val="21"/>
                <w:szCs w:val="21"/>
              </w:rPr>
              <w:t xml:space="preserve">Resultado esperado</w:t>
            </w:r>
          </w:p>
        </w:tc>
      </w:tr>
      <w:tr>
        <w:tc>
          <w:tcPr>
            <w:tcW w:type="dxa" w:w="4200"/>
            <w:tcMar>
              <w:top w:type="dxa" w:w="80"/>
              <w:left w:type="dxa" w:w="120"/>
              <w:bottom w:type="dxa" w:w="80"/>
              <w:right w:type="dxa" w:w="120"/>
            </w:tcMar>
          </w:tcPr>
          <w:p>
            <w:r>
              <w:rPr>
                <w:rFonts w:ascii="Calibri" w:cs="Calibri" w:eastAsia="Calibri" w:hAnsi="Calibri"/>
                <w:b w:val="false"/>
                <w:bCs w:val="false"/>
                <w:sz w:val="21"/>
                <w:szCs w:val="21"/>
              </w:rPr>
              <w:t xml:space="preserve">Integrar un KMS/Vault real (p. ej. HashiCorp Vault Transit) y poblar kek_reference</w:t>
            </w:r>
          </w:p>
        </w:tc>
        <w:tc>
          <w:tcPr>
            <w:tcW w:type="dxa" w:w="4800"/>
            <w:tcMar>
              <w:top w:type="dxa" w:w="80"/>
              <w:left w:type="dxa" w:w="120"/>
              <w:bottom w:type="dxa" w:w="80"/>
              <w:right w:type="dxa" w:w="120"/>
            </w:tcMar>
          </w:tcPr>
          <w:p>
            <w:r>
              <w:rPr>
                <w:rFonts w:ascii="Calibri" w:cs="Calibri" w:eastAsia="Calibri" w:hAnsi="Calibri"/>
                <w:b w:val="false"/>
                <w:bCs w:val="false"/>
                <w:sz w:val="21"/>
                <w:szCs w:val="21"/>
              </w:rPr>
              <w:t xml:space="preserve">La KEK deja de ser una variable de entorno del proceso</w:t>
            </w:r>
          </w:p>
        </w:tc>
      </w:tr>
      <w:tr>
        <w:tc>
          <w:tcPr>
            <w:tcW w:type="dxa" w:w="4200"/>
            <w:tcMar>
              <w:top w:type="dxa" w:w="80"/>
              <w:left w:type="dxa" w:w="120"/>
              <w:bottom w:type="dxa" w:w="80"/>
              <w:right w:type="dxa" w:w="120"/>
            </w:tcMar>
          </w:tcPr>
          <w:p>
            <w:r>
              <w:rPr>
                <w:rFonts w:ascii="Calibri" w:cs="Calibri" w:eastAsia="Calibri" w:hAnsi="Calibri"/>
                <w:b w:val="false"/>
                <w:bCs w:val="false"/>
                <w:sz w:val="21"/>
                <w:szCs w:val="21"/>
              </w:rPr>
              <w:t xml:space="preserve">Generar una DEK independiente por organización/propósito, envuelta con la KEK, y persistirla en wrapped_dek</w:t>
            </w:r>
          </w:p>
        </w:tc>
        <w:tc>
          <w:tcPr>
            <w:tcW w:type="dxa" w:w="4800"/>
            <w:tcMar>
              <w:top w:type="dxa" w:w="80"/>
              <w:left w:type="dxa" w:w="120"/>
              <w:bottom w:type="dxa" w:w="80"/>
              <w:right w:type="dxa" w:w="120"/>
            </w:tcMar>
          </w:tcPr>
          <w:p>
            <w:r>
              <w:rPr>
                <w:rFonts w:ascii="Calibri" w:cs="Calibri" w:eastAsia="Calibri" w:hAnsi="Calibri"/>
                <w:b w:val="false"/>
                <w:bCs w:val="false"/>
                <w:sz w:val="21"/>
                <w:szCs w:val="21"/>
              </w:rPr>
              <w:t xml:space="preserve">Comprometer la clave de una organización no expone la de otra, incluso si se conoce el algoritmo de derivación</w:t>
            </w:r>
          </w:p>
        </w:tc>
      </w:tr>
      <w:tr>
        <w:tc>
          <w:tcPr>
            <w:tcW w:type="dxa" w:w="4200"/>
            <w:tcMar>
              <w:top w:type="dxa" w:w="80"/>
              <w:left w:type="dxa" w:w="120"/>
              <w:bottom w:type="dxa" w:w="80"/>
              <w:right w:type="dxa" w:w="120"/>
            </w:tcMar>
          </w:tcPr>
          <w:p>
            <w:r>
              <w:rPr>
                <w:rFonts w:ascii="Calibri" w:cs="Calibri" w:eastAsia="Calibri" w:hAnsi="Calibri"/>
                <w:b w:val="false"/>
                <w:bCs w:val="false"/>
                <w:sz w:val="21"/>
                <w:szCs w:val="21"/>
              </w:rPr>
              <w:t xml:space="preserve">Eliminar DEMO_MASTER_KEY del entorno de ejecución en staging/producción</w:t>
            </w:r>
          </w:p>
        </w:tc>
        <w:tc>
          <w:tcPr>
            <w:tcW w:type="dxa" w:w="4800"/>
            <w:tcMar>
              <w:top w:type="dxa" w:w="80"/>
              <w:left w:type="dxa" w:w="120"/>
              <w:bottom w:type="dxa" w:w="80"/>
              <w:right w:type="dxa" w:w="120"/>
            </w:tcMar>
          </w:tcPr>
          <w:p>
            <w:r>
              <w:rPr>
                <w:rFonts w:ascii="Calibri" w:cs="Calibri" w:eastAsia="Calibri" w:hAnsi="Calibri"/>
                <w:b w:val="false"/>
                <w:bCs w:val="false"/>
                <w:sz w:val="21"/>
                <w:szCs w:val="21"/>
              </w:rPr>
              <w:t xml:space="preserve">No queda ningún secreto maestro compartido fuera del KMS</w:t>
            </w:r>
          </w:p>
        </w:tc>
      </w:tr>
      <w:tr>
        <w:tc>
          <w:tcPr>
            <w:tcW w:type="dxa" w:w="4200"/>
            <w:tcMar>
              <w:top w:type="dxa" w:w="80"/>
              <w:left w:type="dxa" w:w="120"/>
              <w:bottom w:type="dxa" w:w="80"/>
              <w:right w:type="dxa" w:w="120"/>
            </w:tcMar>
          </w:tcPr>
          <w:p>
            <w:r>
              <w:rPr>
                <w:rFonts w:ascii="Calibri" w:cs="Calibri" w:eastAsia="Calibri" w:hAnsi="Calibri"/>
                <w:b w:val="false"/>
                <w:bCs w:val="false"/>
                <w:sz w:val="21"/>
                <w:szCs w:val="21"/>
              </w:rPr>
              <w:t xml:space="preserve">Exigir TLS 1.2+ en toda conexión a base de datos y entre servicios en staging/producción</w:t>
            </w:r>
          </w:p>
        </w:tc>
        <w:tc>
          <w:tcPr>
            <w:tcW w:type="dxa" w:w="4800"/>
            <w:tcMar>
              <w:top w:type="dxa" w:w="80"/>
              <w:left w:type="dxa" w:w="120"/>
              <w:bottom w:type="dxa" w:w="80"/>
              <w:right w:type="dxa" w:w="120"/>
            </w:tcMar>
          </w:tcPr>
          <w:p>
            <w:r>
              <w:rPr>
                <w:rFonts w:ascii="Calibri" w:cs="Calibri" w:eastAsia="Calibri" w:hAnsi="Calibri"/>
                <w:b w:val="false"/>
                <w:bCs w:val="false"/>
                <w:sz w:val="21"/>
                <w:szCs w:val="21"/>
              </w:rPr>
              <w:t xml:space="preserve">Cierra la brecha descrita en la sección 5, cuarto punto</w:t>
            </w:r>
          </w:p>
        </w:tc>
      </w:tr>
    </w:tbl>
    <w:p>
      <w:pPr>
        <w:spacing w:after="160"/>
      </w:pPr>
    </w:p>
    <w:p>
      <w:pPr>
        <w:spacing w:after="160"/>
      </w:pPr>
      <w:r>
        <w:rPr>
          <w:rFonts w:ascii="Calibri" w:cs="Calibri" w:eastAsia="Calibri" w:hAnsi="Calibri"/>
          <w:b w:val="false"/>
          <w:bCs w:val="false"/>
          <w:i w:val="false"/>
          <w:iCs w:val="false"/>
          <w:sz w:val="22"/>
          <w:szCs w:val="22"/>
        </w:rPr>
        <w:t xml:space="preserve">Mientras estas acciones no se completen, el riesgo descrito en la sección 5 debe permanecer registrado como hallazgo abierto en el mecanismo de seguimiento vigente del equipo, con el mismo criterio de severidad P0 que usa hoy docs/CORRECCIONES_POST_DEMO.md para CRY-01.</w:t>
      </w:r>
    </w:p>
    <w:p>
      <w:pPr>
        <w:pStyle w:val="Heading1"/>
        <w:spacing w:after="160" w:before="360"/>
      </w:pPr>
      <w:r>
        <w:rPr>
          <w:rFonts w:ascii="Calibri" w:cs="Calibri" w:eastAsia="Calibri" w:hAnsi="Calibri"/>
          <w:b/>
          <w:bCs/>
          <w:color w:val="1F3864"/>
          <w:sz w:val="28"/>
          <w:szCs w:val="28"/>
        </w:rPr>
        <w:t xml:space="preserve">7. Hash, HMAC, cifrado y firma: diferencias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400"/>
        <w:gridCol w:w="3200"/>
      </w:tblGrid>
      <w:tr>
        <w:trPr>
          <w:tblHeader/>
        </w:trPr>
        <w:tc>
          <w:tcPr>
            <w:tcW w:type="dxa" w:w="1700"/>
            <w:shd w:fill="D9E2F3" w:val="clear"/>
            <w:tcMar>
              <w:top w:type="dxa" w:w="80"/>
              <w:left w:type="dxa" w:w="120"/>
              <w:bottom w:type="dxa" w:w="80"/>
              <w:right w:type="dxa" w:w="120"/>
            </w:tcMar>
          </w:tcPr>
          <w:p>
            <w:r>
              <w:rPr>
                <w:rFonts w:ascii="Calibri" w:cs="Calibri" w:eastAsia="Calibri" w:hAnsi="Calibri"/>
                <w:b/>
                <w:bCs/>
                <w:sz w:val="21"/>
                <w:szCs w:val="21"/>
              </w:rPr>
              <w:t xml:space="preserve">Mecanismo</w:t>
            </w:r>
          </w:p>
        </w:tc>
        <w:tc>
          <w:tcPr>
            <w:tcW w:type="dxa" w:w="2700"/>
            <w:shd w:fill="D9E2F3" w:val="clear"/>
            <w:tcMar>
              <w:top w:type="dxa" w:w="80"/>
              <w:left w:type="dxa" w:w="120"/>
              <w:bottom w:type="dxa" w:w="80"/>
              <w:right w:type="dxa" w:w="120"/>
            </w:tcMar>
          </w:tcPr>
          <w:p>
            <w:r>
              <w:rPr>
                <w:rFonts w:ascii="Calibri" w:cs="Calibri" w:eastAsia="Calibri" w:hAnsi="Calibri"/>
                <w:b/>
                <w:bCs/>
                <w:sz w:val="21"/>
                <w:szCs w:val="21"/>
              </w:rPr>
              <w:t xml:space="preserve">Para qué sirve</w:t>
            </w:r>
          </w:p>
        </w:tc>
        <w:tc>
          <w:tcPr>
            <w:tcW w:type="dxa" w:w="1400"/>
            <w:shd w:fill="D9E2F3" w:val="clear"/>
            <w:tcMar>
              <w:top w:type="dxa" w:w="80"/>
              <w:left w:type="dxa" w:w="120"/>
              <w:bottom w:type="dxa" w:w="80"/>
              <w:right w:type="dxa" w:w="120"/>
            </w:tcMar>
          </w:tcPr>
          <w:p>
            <w:r>
              <w:rPr>
                <w:rFonts w:ascii="Calibri" w:cs="Calibri" w:eastAsia="Calibri" w:hAnsi="Calibri"/>
                <w:b/>
                <w:bCs/>
                <w:sz w:val="21"/>
                <w:szCs w:val="21"/>
              </w:rPr>
              <w:t xml:space="preserve">Clave</w:t>
            </w:r>
          </w:p>
        </w:tc>
        <w:tc>
          <w:tcPr>
            <w:tcW w:type="dxa" w:w="3200"/>
            <w:shd w:fill="D9E2F3" w:val="clear"/>
            <w:tcMar>
              <w:top w:type="dxa" w:w="80"/>
              <w:left w:type="dxa" w:w="120"/>
              <w:bottom w:type="dxa" w:w="80"/>
              <w:right w:type="dxa" w:w="120"/>
            </w:tcMar>
          </w:tcPr>
          <w:p>
            <w:r>
              <w:rPr>
                <w:rFonts w:ascii="Calibri" w:cs="Calibri" w:eastAsia="Calibri" w:hAnsi="Calibri"/>
                <w:b/>
                <w:bCs/>
                <w:sz w:val="21"/>
                <w:szCs w:val="21"/>
              </w:rPr>
              <w:t xml:space="preserve">Dónde está en MedicalSys</w:t>
            </w:r>
          </w:p>
        </w:tc>
      </w:tr>
      <w:tr>
        <w:tc>
          <w:tcPr>
            <w:tcW w:type="dxa" w:w="1700"/>
            <w:tcMar>
              <w:top w:type="dxa" w:w="80"/>
              <w:left w:type="dxa" w:w="120"/>
              <w:bottom w:type="dxa" w:w="80"/>
              <w:right w:type="dxa" w:w="120"/>
            </w:tcMar>
          </w:tcPr>
          <w:p>
            <w:r>
              <w:rPr>
                <w:rFonts w:ascii="Calibri" w:cs="Calibri" w:eastAsia="Calibri" w:hAnsi="Calibri"/>
                <w:sz w:val="21"/>
                <w:szCs w:val="21"/>
              </w:rPr>
              <w:t xml:space="preserve">Hash (SHA-256)</w:t>
            </w:r>
          </w:p>
        </w:tc>
        <w:tc>
          <w:tcPr>
            <w:tcW w:type="dxa" w:w="2700"/>
            <w:tcMar>
              <w:top w:type="dxa" w:w="80"/>
              <w:left w:type="dxa" w:w="120"/>
              <w:bottom w:type="dxa" w:w="80"/>
              <w:right w:type="dxa" w:w="120"/>
            </w:tcMar>
          </w:tcPr>
          <w:p>
            <w:r>
              <w:rPr>
                <w:rFonts w:ascii="Calibri" w:cs="Calibri" w:eastAsia="Calibri" w:hAnsi="Calibri"/>
                <w:sz w:val="21"/>
                <w:szCs w:val="21"/>
              </w:rPr>
              <w:t xml:space="preserve">Detectar cambios: huella de longitud fija, no reversible</w:t>
            </w:r>
          </w:p>
        </w:tc>
        <w:tc>
          <w:tcPr>
            <w:tcW w:type="dxa" w:w="1400"/>
            <w:tcMar>
              <w:top w:type="dxa" w:w="80"/>
              <w:left w:type="dxa" w:w="120"/>
              <w:bottom w:type="dxa" w:w="80"/>
              <w:right w:type="dxa" w:w="120"/>
            </w:tcMar>
          </w:tcPr>
          <w:p>
            <w:r>
              <w:rPr>
                <w:rFonts w:ascii="Calibri" w:cs="Calibri" w:eastAsia="Calibri" w:hAnsi="Calibri"/>
                <w:sz w:val="21"/>
                <w:szCs w:val="21"/>
              </w:rPr>
              <w:t xml:space="preserve">No usa</w:t>
            </w:r>
          </w:p>
        </w:tc>
        <w:tc>
          <w:tcPr>
            <w:tcW w:type="dxa" w:w="3200"/>
            <w:tcMar>
              <w:top w:type="dxa" w:w="80"/>
              <w:left w:type="dxa" w:w="120"/>
              <w:bottom w:type="dxa" w:w="80"/>
              <w:right w:type="dxa" w:w="120"/>
            </w:tcMar>
          </w:tcPr>
          <w:p>
            <w:r>
              <w:rPr>
                <w:rFonts w:ascii="Calibri" w:cs="Calibri" w:eastAsia="Calibri" w:hAnsi="Calibri"/>
                <w:sz w:val="21"/>
                <w:szCs w:val="21"/>
              </w:rPr>
              <w:t xml:space="preserve">Integridad de documentos (PR-05), cadena de la bitácora (PO-06), sello </w:t>
            </w:r>
            <w:r>
              <w:rPr>
                <w:rFonts w:ascii="Consolas" w:cs="Consolas" w:eastAsia="Consolas" w:hAnsi="Consolas"/>
                <w:sz w:val="20"/>
                <w:szCs w:val="20"/>
              </w:rPr>
              <w:t xml:space="preserve">content_hash</w:t>
            </w:r>
            <w:r>
              <w:rPr>
                <w:rFonts w:ascii="Calibri" w:cs="Calibri" w:eastAsia="Calibri" w:hAnsi="Calibri"/>
                <w:sz w:val="21"/>
                <w:szCs w:val="21"/>
              </w:rPr>
              <w:t xml:space="preserve"> del encuentro</w:t>
            </w:r>
          </w:p>
        </w:tc>
      </w:tr>
      <w:tr>
        <w:tc>
          <w:tcPr>
            <w:tcW w:type="dxa" w:w="1700"/>
            <w:tcMar>
              <w:top w:type="dxa" w:w="80"/>
              <w:left w:type="dxa" w:w="120"/>
              <w:bottom w:type="dxa" w:w="80"/>
              <w:right w:type="dxa" w:w="120"/>
            </w:tcMar>
          </w:tcPr>
          <w:p>
            <w:r>
              <w:rPr>
                <w:rFonts w:ascii="Calibri" w:cs="Calibri" w:eastAsia="Calibri" w:hAnsi="Calibri"/>
                <w:sz w:val="21"/>
                <w:szCs w:val="21"/>
              </w:rPr>
              <w:t xml:space="preserve">HMAC (HMAC-SHA256)</w:t>
            </w:r>
          </w:p>
        </w:tc>
        <w:tc>
          <w:tcPr>
            <w:tcW w:type="dxa" w:w="2700"/>
            <w:tcMar>
              <w:top w:type="dxa" w:w="80"/>
              <w:left w:type="dxa" w:w="120"/>
              <w:bottom w:type="dxa" w:w="80"/>
              <w:right w:type="dxa" w:w="120"/>
            </w:tcMar>
          </w:tcPr>
          <w:p>
            <w:r>
              <w:rPr>
                <w:rFonts w:ascii="Calibri" w:cs="Calibri" w:eastAsia="Calibri" w:hAnsi="Calibri"/>
                <w:sz w:val="21"/>
                <w:szCs w:val="21"/>
              </w:rPr>
              <w:t xml:space="preserve">Integridad y autenticidad del emisor: solo quien tiene el secreto compartido puede producir la etiqueta</w:t>
            </w:r>
          </w:p>
        </w:tc>
        <w:tc>
          <w:tcPr>
            <w:tcW w:type="dxa" w:w="1400"/>
            <w:tcMar>
              <w:top w:type="dxa" w:w="80"/>
              <w:left w:type="dxa" w:w="120"/>
              <w:bottom w:type="dxa" w:w="80"/>
              <w:right w:type="dxa" w:w="120"/>
            </w:tcMar>
          </w:tcPr>
          <w:p>
            <w:r>
              <w:rPr>
                <w:rFonts w:ascii="Calibri" w:cs="Calibri" w:eastAsia="Calibri" w:hAnsi="Calibri"/>
                <w:sz w:val="21"/>
                <w:szCs w:val="21"/>
              </w:rPr>
              <w:t xml:space="preserve">Secreto compartido</w:t>
            </w:r>
          </w:p>
        </w:tc>
        <w:tc>
          <w:tcPr>
            <w:tcW w:type="dxa" w:w="3200"/>
            <w:tcMar>
              <w:top w:type="dxa" w:w="80"/>
              <w:left w:type="dxa" w:w="120"/>
              <w:bottom w:type="dxa" w:w="80"/>
              <w:right w:type="dxa" w:w="120"/>
            </w:tcMar>
          </w:tcPr>
          <w:p>
            <w:r>
              <w:rPr>
                <w:rFonts w:ascii="Calibri" w:cs="Calibri" w:eastAsia="Calibri" w:hAnsi="Calibri"/>
                <w:sz w:val="21"/>
                <w:szCs w:val="21"/>
              </w:rPr>
              <w:t xml:space="preserve">Verificación del webhook de WhatsApp; derivación de la DEK tipo HKDF</w:t>
            </w:r>
          </w:p>
        </w:tc>
      </w:tr>
      <w:tr>
        <w:tc>
          <w:tcPr>
            <w:tcW w:type="dxa" w:w="1700"/>
            <w:tcMar>
              <w:top w:type="dxa" w:w="80"/>
              <w:left w:type="dxa" w:w="120"/>
              <w:bottom w:type="dxa" w:w="80"/>
              <w:right w:type="dxa" w:w="120"/>
            </w:tcMar>
          </w:tcPr>
          <w:p>
            <w:r>
              <w:rPr>
                <w:rFonts w:ascii="Calibri" w:cs="Calibri" w:eastAsia="Calibri" w:hAnsi="Calibri"/>
                <w:sz w:val="21"/>
                <w:szCs w:val="21"/>
              </w:rPr>
              <w:t xml:space="preserve">Cifrado (AES-256-GCM)</w:t>
            </w:r>
          </w:p>
        </w:tc>
        <w:tc>
          <w:tcPr>
            <w:tcW w:type="dxa" w:w="2700"/>
            <w:tcMar>
              <w:top w:type="dxa" w:w="80"/>
              <w:left w:type="dxa" w:w="120"/>
              <w:bottom w:type="dxa" w:w="80"/>
              <w:right w:type="dxa" w:w="120"/>
            </w:tcMar>
          </w:tcPr>
          <w:p>
            <w:r>
              <w:rPr>
                <w:rFonts w:ascii="Calibri" w:cs="Calibri" w:eastAsia="Calibri" w:hAnsi="Calibri"/>
                <w:sz w:val="21"/>
                <w:szCs w:val="21"/>
              </w:rPr>
              <w:t xml:space="preserve">Confidencialidad (y, con GCM, autenticidad del ciphertext); es reversible con la clave</w:t>
            </w:r>
          </w:p>
        </w:tc>
        <w:tc>
          <w:tcPr>
            <w:tcW w:type="dxa" w:w="1400"/>
            <w:tcMar>
              <w:top w:type="dxa" w:w="80"/>
              <w:left w:type="dxa" w:w="120"/>
              <w:bottom w:type="dxa" w:w="80"/>
              <w:right w:type="dxa" w:w="120"/>
            </w:tcMar>
          </w:tcPr>
          <w:p>
            <w:r>
              <w:rPr>
                <w:rFonts w:ascii="Calibri" w:cs="Calibri" w:eastAsia="Calibri" w:hAnsi="Calibri"/>
                <w:sz w:val="21"/>
                <w:szCs w:val="21"/>
              </w:rPr>
              <w:t xml:space="preserve">Clave simétrica</w:t>
            </w:r>
          </w:p>
        </w:tc>
        <w:tc>
          <w:tcPr>
            <w:tcW w:type="dxa" w:w="3200"/>
            <w:tcMar>
              <w:top w:type="dxa" w:w="80"/>
              <w:left w:type="dxa" w:w="120"/>
              <w:bottom w:type="dxa" w:w="80"/>
              <w:right w:type="dxa" w:w="120"/>
            </w:tcMar>
          </w:tcPr>
          <w:p>
            <w:r>
              <w:rPr>
                <w:rFonts w:ascii="Calibri" w:cs="Calibri" w:eastAsia="Calibri" w:hAnsi="Calibri"/>
                <w:sz w:val="21"/>
                <w:szCs w:val="21"/>
              </w:rPr>
              <w:t xml:space="preserve">Notas clínicas (ms-historial / ms-criptografia)</w:t>
            </w:r>
          </w:p>
        </w:tc>
      </w:tr>
      <w:tr>
        <w:tc>
          <w:tcPr>
            <w:tcW w:type="dxa" w:w="1700"/>
            <w:tcMar>
              <w:top w:type="dxa" w:w="80"/>
              <w:left w:type="dxa" w:w="120"/>
              <w:bottom w:type="dxa" w:w="80"/>
              <w:right w:type="dxa" w:w="120"/>
            </w:tcMar>
          </w:tcPr>
          <w:p>
            <w:r>
              <w:rPr>
                <w:rFonts w:ascii="Calibri" w:cs="Calibri" w:eastAsia="Calibri" w:hAnsi="Calibri"/>
                <w:sz w:val="21"/>
                <w:szCs w:val="21"/>
              </w:rPr>
              <w:t xml:space="preserve">Firma digital</w:t>
            </w:r>
          </w:p>
        </w:tc>
        <w:tc>
          <w:tcPr>
            <w:tcW w:type="dxa" w:w="2700"/>
            <w:tcMar>
              <w:top w:type="dxa" w:w="80"/>
              <w:left w:type="dxa" w:w="120"/>
              <w:bottom w:type="dxa" w:w="80"/>
              <w:right w:type="dxa" w:w="120"/>
            </w:tcMar>
          </w:tcPr>
          <w:p>
            <w:r>
              <w:rPr>
                <w:rFonts w:ascii="Calibri" w:cs="Calibri" w:eastAsia="Calibri" w:hAnsi="Calibri"/>
                <w:sz w:val="21"/>
                <w:szCs w:val="21"/>
              </w:rPr>
              <w:t xml:space="preserve">No repudio: la firma con clave privada la verifica cualquiera con la clave pública</w:t>
            </w:r>
          </w:p>
        </w:tc>
        <w:tc>
          <w:tcPr>
            <w:tcW w:type="dxa" w:w="1400"/>
            <w:tcMar>
              <w:top w:type="dxa" w:w="80"/>
              <w:left w:type="dxa" w:w="120"/>
              <w:bottom w:type="dxa" w:w="80"/>
              <w:right w:type="dxa" w:w="120"/>
            </w:tcMar>
          </w:tcPr>
          <w:p>
            <w:r>
              <w:rPr>
                <w:rFonts w:ascii="Calibri" w:cs="Calibri" w:eastAsia="Calibri" w:hAnsi="Calibri"/>
                <w:sz w:val="21"/>
                <w:szCs w:val="21"/>
              </w:rPr>
              <w:t xml:space="preserve">Par de claves</w:t>
            </w:r>
          </w:p>
        </w:tc>
        <w:tc>
          <w:tcPr>
            <w:tcW w:type="dxa" w:w="3200"/>
            <w:tcMar>
              <w:top w:type="dxa" w:w="80"/>
              <w:left w:type="dxa" w:w="120"/>
              <w:bottom w:type="dxa" w:w="80"/>
              <w:right w:type="dxa" w:w="120"/>
            </w:tcMar>
          </w:tcPr>
          <w:p>
            <w:r>
              <w:rPr>
                <w:rFonts w:ascii="Calibri" w:cs="Calibri" w:eastAsia="Calibri" w:hAnsi="Calibri"/>
                <w:sz w:val="21"/>
                <w:szCs w:val="21"/>
              </w:rPr>
              <w:t xml:space="preserve">Hay columnas </w:t>
            </w:r>
            <w:r>
              <w:rPr>
                <w:rFonts w:ascii="Consolas" w:cs="Consolas" w:eastAsia="Consolas" w:hAnsi="Consolas"/>
                <w:sz w:val="20"/>
                <w:szCs w:val="20"/>
              </w:rPr>
              <w:t xml:space="preserve">digital_signature</w:t>
            </w:r>
            <w:r>
              <w:rPr>
                <w:rFonts w:ascii="Calibri" w:cs="Calibri" w:eastAsia="Calibri" w:hAnsi="Calibri"/>
                <w:sz w:val="21"/>
                <w:szCs w:val="21"/>
              </w:rPr>
              <w:t xml:space="preserve"> y </w:t>
            </w:r>
            <w:r>
              <w:rPr>
                <w:rFonts w:ascii="Consolas" w:cs="Consolas" w:eastAsia="Consolas" w:hAnsi="Consolas"/>
                <w:sz w:val="20"/>
                <w:szCs w:val="20"/>
              </w:rPr>
              <w:t xml:space="preserve">digital_certificate_public_id</w:t>
            </w:r>
            <w:r>
              <w:rPr>
                <w:rFonts w:ascii="Calibri" w:cs="Calibri" w:eastAsia="Calibri" w:hAnsi="Calibri"/>
                <w:sz w:val="21"/>
                <w:szCs w:val="21"/>
              </w:rPr>
              <w:t xml:space="preserve"> en el esquema, pero el código actual firma pasando null: solo existe el sello hash, no una firma criptográfica</w:t>
            </w:r>
          </w:p>
        </w:tc>
      </w:tr>
    </w:tbl>
    <w:p>
      <w:pPr>
        <w:spacing w:after="160"/>
      </w:pPr>
      <w:r>
        <w:rPr>
          <w:rFonts w:ascii="Calibri" w:cs="Calibri" w:eastAsia="Calibri" w:hAnsi="Calibri"/>
          <w:sz w:val="22"/>
          <w:szCs w:val="22"/>
        </w:rPr>
        <w:t xml:space="preserve">Las contraseñas usan un hash lento con sal (Argon2id), distinto de SHA-256: ese está diseñado para ser rápido, y para contraseñas la lentitud es una propiedad deseada.</w:t>
      </w:r>
    </w:p>
    <w:p>
      <w:pPr>
        <w:pStyle w:val="Heading1"/>
        <w:spacing w:after="160" w:before="360"/>
      </w:pPr>
      <w:r>
        <w:rPr>
          <w:rFonts w:ascii="Calibri" w:cs="Calibri" w:eastAsia="Calibri" w:hAnsi="Calibri"/>
          <w:b/>
          <w:bCs/>
          <w:color w:val="1F3864"/>
          <w:sz w:val="28"/>
          <w:szCs w:val="28"/>
        </w:rPr>
        <w:t xml:space="preserve">8. Guion de demo (objetivo: menos de 3 minutos)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00"/>
      </w:tblGrid>
      <w:tr>
        <w:trPr>
          <w:tblHeader/>
        </w:trPr>
        <w:tc>
          <w:tcPr>
            <w:tcW w:type="dxa" w:w="800"/>
            <w:shd w:fill="D9E2F3" w:val="clear"/>
            <w:tcMar>
              <w:top w:type="dxa" w:w="80"/>
              <w:left w:type="dxa" w:w="120"/>
              <w:bottom w:type="dxa" w:w="80"/>
              <w:right w:type="dxa" w:w="120"/>
            </w:tcMar>
          </w:tcPr>
          <w:p>
            <w:r>
              <w:rPr>
                <w:rFonts w:ascii="Calibri" w:cs="Calibri" w:eastAsia="Calibri" w:hAnsi="Calibri"/>
                <w:b/>
                <w:bCs/>
                <w:sz w:val="21"/>
                <w:szCs w:val="21"/>
              </w:rPr>
              <w:t xml:space="preserve">Min</w:t>
            </w:r>
          </w:p>
        </w:tc>
        <w:tc>
          <w:tcPr>
            <w:tcW w:type="dxa" w:w="2200"/>
            <w:shd w:fill="D9E2F3" w:val="clear"/>
            <w:tcMar>
              <w:top w:type="dxa" w:w="80"/>
              <w:left w:type="dxa" w:w="120"/>
              <w:bottom w:type="dxa" w:w="80"/>
              <w:right w:type="dxa" w:w="120"/>
            </w:tcMar>
          </w:tcPr>
          <w:p>
            <w:r>
              <w:rPr>
                <w:rFonts w:ascii="Calibri" w:cs="Calibri" w:eastAsia="Calibri" w:hAnsi="Calibri"/>
                <w:b/>
                <w:bCs/>
                <w:sz w:val="21"/>
                <w:szCs w:val="21"/>
              </w:rPr>
              <w:t xml:space="preserve">Paso</w:t>
            </w:r>
          </w:p>
        </w:tc>
        <w:tc>
          <w:tcPr>
            <w:tcW w:type="dxa" w:w="6000"/>
            <w:shd w:fill="D9E2F3" w:val="clear"/>
            <w:tcMar>
              <w:top w:type="dxa" w:w="80"/>
              <w:left w:type="dxa" w:w="120"/>
              <w:bottom w:type="dxa" w:w="80"/>
              <w:right w:type="dxa" w:w="120"/>
            </w:tcMar>
          </w:tcPr>
          <w:p>
            <w:r>
              <w:rPr>
                <w:rFonts w:ascii="Calibri" w:cs="Calibri" w:eastAsia="Calibri" w:hAnsi="Calibri"/>
                <w:b/>
                <w:bCs/>
                <w:sz w:val="21"/>
                <w:szCs w:val="21"/>
              </w:rPr>
              <w:t xml:space="preserve">Qué se muestra</w:t>
            </w:r>
          </w:p>
        </w:tc>
      </w:tr>
      <w:tr>
        <w:tc>
          <w:tcPr>
            <w:tcW w:type="dxa" w:w="800"/>
            <w:tcMar>
              <w:top w:type="dxa" w:w="80"/>
              <w:left w:type="dxa" w:w="120"/>
              <w:bottom w:type="dxa" w:w="80"/>
              <w:right w:type="dxa" w:w="120"/>
            </w:tcMar>
          </w:tcPr>
          <w:p>
            <w:r>
              <w:rPr>
                <w:rFonts w:ascii="Calibri" w:cs="Calibri" w:eastAsia="Calibri" w:hAnsi="Calibri"/>
                <w:sz w:val="21"/>
                <w:szCs w:val="21"/>
              </w:rPr>
              <w:t xml:space="preserve">0:00</w:t>
            </w:r>
          </w:p>
        </w:tc>
        <w:tc>
          <w:tcPr>
            <w:tcW w:type="dxa" w:w="2200"/>
            <w:tcMar>
              <w:top w:type="dxa" w:w="80"/>
              <w:left w:type="dxa" w:w="120"/>
              <w:bottom w:type="dxa" w:w="80"/>
              <w:right w:type="dxa" w:w="120"/>
            </w:tcMar>
          </w:tcPr>
          <w:p>
            <w:r>
              <w:rPr>
                <w:rFonts w:ascii="Calibri" w:cs="Calibri" w:eastAsia="Calibri" w:hAnsi="Calibri"/>
                <w:sz w:val="21"/>
                <w:szCs w:val="21"/>
              </w:rPr>
              <w:t xml:space="preserve">Cifrado en reposo</w:t>
            </w:r>
          </w:p>
        </w:tc>
        <w:tc>
          <w:tcPr>
            <w:tcW w:type="dxa" w:w="6000"/>
            <w:tcMar>
              <w:top w:type="dxa" w:w="80"/>
              <w:left w:type="dxa" w:w="120"/>
              <w:bottom w:type="dxa" w:w="80"/>
              <w:right w:type="dxa" w:w="120"/>
            </w:tcMar>
          </w:tcPr>
          <w:p>
            <w:r>
              <w:rPr>
                <w:rFonts w:ascii="Calibri" w:cs="Calibri" w:eastAsia="Calibri" w:hAnsi="Calibri"/>
                <w:sz w:val="21"/>
                <w:szCs w:val="21"/>
              </w:rPr>
              <w:t xml:space="preserve">Consulta SQL de 4.4: bytes ilegibles; luego la misma nota en la app</w:t>
            </w:r>
          </w:p>
        </w:tc>
      </w:tr>
      <w:tr>
        <w:tc>
          <w:tcPr>
            <w:tcW w:type="dxa" w:w="800"/>
            <w:tcMar>
              <w:top w:type="dxa" w:w="80"/>
              <w:left w:type="dxa" w:w="120"/>
              <w:bottom w:type="dxa" w:w="80"/>
              <w:right w:type="dxa" w:w="120"/>
            </w:tcMar>
          </w:tcPr>
          <w:p>
            <w:r>
              <w:rPr>
                <w:rFonts w:ascii="Calibri" w:cs="Calibri" w:eastAsia="Calibri" w:hAnsi="Calibri"/>
                <w:sz w:val="21"/>
                <w:szCs w:val="21"/>
              </w:rPr>
              <w:t xml:space="preserve">0:50</w:t>
            </w:r>
          </w:p>
        </w:tc>
        <w:tc>
          <w:tcPr>
            <w:tcW w:type="dxa" w:w="2200"/>
            <w:tcMar>
              <w:top w:type="dxa" w:w="80"/>
              <w:left w:type="dxa" w:w="120"/>
              <w:bottom w:type="dxa" w:w="80"/>
              <w:right w:type="dxa" w:w="120"/>
            </w:tcMar>
          </w:tcPr>
          <w:p>
            <w:r>
              <w:rPr>
                <w:rFonts w:ascii="Calibri" w:cs="Calibri" w:eastAsia="Calibri" w:hAnsi="Calibri"/>
                <w:sz w:val="21"/>
                <w:szCs w:val="21"/>
              </w:rPr>
              <w:t xml:space="preserve">Aislamiento por tenant</w:t>
            </w:r>
          </w:p>
        </w:tc>
        <w:tc>
          <w:tcPr>
            <w:tcW w:type="dxa" w:w="6000"/>
            <w:tcMar>
              <w:top w:type="dxa" w:w="80"/>
              <w:left w:type="dxa" w:w="120"/>
              <w:bottom w:type="dxa" w:w="80"/>
              <w:right w:type="dxa" w:w="120"/>
            </w:tcMar>
          </w:tcPr>
          <w:p>
            <w:r>
              <w:rPr>
                <w:rFonts w:ascii="Calibri" w:cs="Calibri" w:eastAsia="Calibri" w:hAnsi="Calibri"/>
                <w:sz w:val="21"/>
                <w:szCs w:val="21"/>
              </w:rPr>
              <w:t xml:space="preserve">4.1 y 4.2: mismo texto en ORG_A y ORG_B da ciphertext distinto; descifrar con ORG_B devuelve 422 DECRYPT_FAILED</w:t>
            </w:r>
          </w:p>
        </w:tc>
      </w:tr>
      <w:tr>
        <w:tc>
          <w:tcPr>
            <w:tcW w:type="dxa" w:w="800"/>
            <w:tcMar>
              <w:top w:type="dxa" w:w="80"/>
              <w:left w:type="dxa" w:w="120"/>
              <w:bottom w:type="dxa" w:w="80"/>
              <w:right w:type="dxa" w:w="120"/>
            </w:tcMar>
          </w:tcPr>
          <w:p>
            <w:r>
              <w:rPr>
                <w:rFonts w:ascii="Calibri" w:cs="Calibri" w:eastAsia="Calibri" w:hAnsi="Calibri"/>
                <w:sz w:val="21"/>
                <w:szCs w:val="21"/>
              </w:rPr>
              <w:t xml:space="preserve">1:40</w:t>
            </w:r>
          </w:p>
        </w:tc>
        <w:tc>
          <w:tcPr>
            <w:tcW w:type="dxa" w:w="2200"/>
            <w:tcMar>
              <w:top w:type="dxa" w:w="80"/>
              <w:left w:type="dxa" w:w="120"/>
              <w:bottom w:type="dxa" w:w="80"/>
              <w:right w:type="dxa" w:w="120"/>
            </w:tcMar>
          </w:tcPr>
          <w:p>
            <w:r>
              <w:rPr>
                <w:rFonts w:ascii="Calibri" w:cs="Calibri" w:eastAsia="Calibri" w:hAnsi="Calibri"/>
                <w:sz w:val="21"/>
                <w:szCs w:val="21"/>
              </w:rPr>
              <w:t xml:space="preserve">Contraseñas</w:t>
            </w:r>
          </w:p>
        </w:tc>
        <w:tc>
          <w:tcPr>
            <w:tcW w:type="dxa" w:w="6000"/>
            <w:tcMar>
              <w:top w:type="dxa" w:w="80"/>
              <w:left w:type="dxa" w:w="120"/>
              <w:bottom w:type="dxa" w:w="80"/>
              <w:right w:type="dxa" w:w="120"/>
            </w:tcMar>
          </w:tcPr>
          <w:p>
            <w:r>
              <w:rPr>
                <w:rFonts w:ascii="Calibri" w:cs="Calibri" w:eastAsia="Calibri" w:hAnsi="Calibri"/>
                <w:sz w:val="21"/>
                <w:szCs w:val="21"/>
              </w:rPr>
              <w:t xml:space="preserve">Consulta de 4.5: prefijo </w:t>
            </w:r>
            <w:r>
              <w:rPr>
                <w:rFonts w:ascii="Consolas" w:cs="Consolas" w:eastAsia="Consolas" w:hAnsi="Consolas"/>
                <w:sz w:val="20"/>
                <w:szCs w:val="20"/>
              </w:rPr>
              <w:t xml:space="preserve">$argon2id$</w:t>
            </w:r>
            <w:r>
              <w:rPr>
                <w:rFonts w:ascii="Calibri" w:cs="Calibri" w:eastAsia="Calibri" w:hAnsi="Calibri"/>
                <w:sz w:val="21"/>
                <w:szCs w:val="21"/>
              </w:rPr>
              <w:t xml:space="preserve"> en user_account</w:t>
            </w:r>
          </w:p>
        </w:tc>
      </w:tr>
      <w:tr>
        <w:tc>
          <w:tcPr>
            <w:tcW w:type="dxa" w:w="800"/>
            <w:tcMar>
              <w:top w:type="dxa" w:w="80"/>
              <w:left w:type="dxa" w:w="120"/>
              <w:bottom w:type="dxa" w:w="80"/>
              <w:right w:type="dxa" w:w="120"/>
            </w:tcMar>
          </w:tcPr>
          <w:p>
            <w:r>
              <w:rPr>
                <w:rFonts w:ascii="Calibri" w:cs="Calibri" w:eastAsia="Calibri" w:hAnsi="Calibri"/>
                <w:sz w:val="21"/>
                <w:szCs w:val="21"/>
              </w:rPr>
              <w:t xml:space="preserve">2:00</w:t>
            </w:r>
          </w:p>
        </w:tc>
        <w:tc>
          <w:tcPr>
            <w:tcW w:type="dxa" w:w="2200"/>
            <w:tcMar>
              <w:top w:type="dxa" w:w="80"/>
              <w:left w:type="dxa" w:w="120"/>
              <w:bottom w:type="dxa" w:w="80"/>
              <w:right w:type="dxa" w:w="120"/>
            </w:tcMar>
          </w:tcPr>
          <w:p>
            <w:r>
              <w:rPr>
                <w:rFonts w:ascii="Calibri" w:cs="Calibri" w:eastAsia="Calibri" w:hAnsi="Calibri"/>
                <w:sz w:val="21"/>
                <w:szCs w:val="21"/>
              </w:rPr>
              <w:t xml:space="preserve">Webhook</w:t>
            </w:r>
          </w:p>
        </w:tc>
        <w:tc>
          <w:tcPr>
            <w:tcW w:type="dxa" w:w="6000"/>
            <w:tcMar>
              <w:top w:type="dxa" w:w="80"/>
              <w:left w:type="dxa" w:w="120"/>
              <w:bottom w:type="dxa" w:w="80"/>
              <w:right w:type="dxa" w:w="120"/>
            </w:tcMar>
          </w:tcPr>
          <w:p>
            <w:r>
              <w:rPr>
                <w:rFonts w:ascii="Calibri" w:cs="Calibri" w:eastAsia="Calibri" w:hAnsi="Calibri"/>
                <w:sz w:val="21"/>
                <w:szCs w:val="21"/>
              </w:rPr>
              <w:t xml:space="preserve">Petición con firma inválida: 401 INVALID_WEBHOOK_SIGNATURE (con secreto configurado)</w:t>
            </w:r>
          </w:p>
        </w:tc>
      </w:tr>
      <w:tr>
        <w:tc>
          <w:tcPr>
            <w:tcW w:type="dxa" w:w="800"/>
            <w:tcMar>
              <w:top w:type="dxa" w:w="80"/>
              <w:left w:type="dxa" w:w="120"/>
              <w:bottom w:type="dxa" w:w="80"/>
              <w:right w:type="dxa" w:w="120"/>
            </w:tcMar>
          </w:tcPr>
          <w:p>
            <w:r>
              <w:rPr>
                <w:rFonts w:ascii="Calibri" w:cs="Calibri" w:eastAsia="Calibri" w:hAnsi="Calibri"/>
                <w:sz w:val="21"/>
                <w:szCs w:val="21"/>
              </w:rPr>
              <w:t xml:space="preserve">2:20</w:t>
            </w:r>
          </w:p>
        </w:tc>
        <w:tc>
          <w:tcPr>
            <w:tcW w:type="dxa" w:w="2200"/>
            <w:tcMar>
              <w:top w:type="dxa" w:w="80"/>
              <w:left w:type="dxa" w:w="120"/>
              <w:bottom w:type="dxa" w:w="80"/>
              <w:right w:type="dxa" w:w="120"/>
            </w:tcMar>
          </w:tcPr>
          <w:p>
            <w:r>
              <w:rPr>
                <w:rFonts w:ascii="Calibri" w:cs="Calibri" w:eastAsia="Calibri" w:hAnsi="Calibri"/>
                <w:sz w:val="21"/>
                <w:szCs w:val="21"/>
              </w:rPr>
              <w:t xml:space="preserve">Integridad de documentos</w:t>
            </w:r>
          </w:p>
        </w:tc>
        <w:tc>
          <w:tcPr>
            <w:tcW w:type="dxa" w:w="6000"/>
            <w:tcMar>
              <w:top w:type="dxa" w:w="80"/>
              <w:left w:type="dxa" w:w="120"/>
              <w:bottom w:type="dxa" w:w="80"/>
              <w:right w:type="dxa" w:w="120"/>
            </w:tcMar>
          </w:tcPr>
          <w:p>
            <w:r>
              <w:rPr>
                <w:rFonts w:ascii="Calibri" w:cs="Calibri" w:eastAsia="Calibri" w:hAnsi="Calibri"/>
                <w:sz w:val="21"/>
                <w:szCs w:val="21"/>
              </w:rPr>
              <w:t xml:space="preserve">GET /integrity con </w:t>
            </w:r>
            <w:r>
              <w:rPr>
                <w:rFonts w:ascii="Consolas" w:cs="Consolas" w:eastAsia="Consolas" w:hAnsi="Consolas"/>
                <w:sz w:val="20"/>
                <w:szCs w:val="20"/>
              </w:rPr>
              <w:t xml:space="preserve">matches: true</w:t>
            </w:r>
            <w:r>
              <w:rPr>
                <w:rFonts w:ascii="Calibri" w:cs="Calibri" w:eastAsia="Calibri" w:hAnsi="Calibri"/>
                <w:sz w:val="21"/>
                <w:szCs w:val="21"/>
              </w:rPr>
              <w:t xml:space="preserve"> y la tabla de diferencias hash/HMAC/cifrado/firma</w:t>
            </w:r>
          </w:p>
        </w:tc>
      </w:tr>
      <w:tr>
        <w:tc>
          <w:tcPr>
            <w:tcW w:type="dxa" w:w="800"/>
            <w:tcMar>
              <w:top w:type="dxa" w:w="80"/>
              <w:left w:type="dxa" w:w="120"/>
              <w:bottom w:type="dxa" w:w="80"/>
              <w:right w:type="dxa" w:w="120"/>
            </w:tcMar>
          </w:tcPr>
          <w:p>
            <w:r>
              <w:rPr>
                <w:rFonts w:ascii="Calibri" w:cs="Calibri" w:eastAsia="Calibri" w:hAnsi="Calibri"/>
                <w:sz w:val="21"/>
                <w:szCs w:val="21"/>
              </w:rPr>
              <w:t xml:space="preserve">2:45</w:t>
            </w:r>
          </w:p>
        </w:tc>
        <w:tc>
          <w:tcPr>
            <w:tcW w:type="dxa" w:w="2200"/>
            <w:tcMar>
              <w:top w:type="dxa" w:w="80"/>
              <w:left w:type="dxa" w:w="120"/>
              <w:bottom w:type="dxa" w:w="80"/>
              <w:right w:type="dxa" w:w="120"/>
            </w:tcMar>
          </w:tcPr>
          <w:p>
            <w:r>
              <w:rPr>
                <w:rFonts w:ascii="Calibri" w:cs="Calibri" w:eastAsia="Calibri" w:hAnsi="Calibri"/>
                <w:sz w:val="21"/>
                <w:szCs w:val="21"/>
              </w:rPr>
              <w:t xml:space="preserve">Cierre</w:t>
            </w:r>
          </w:p>
        </w:tc>
        <w:tc>
          <w:tcPr>
            <w:tcW w:type="dxa" w:w="6000"/>
            <w:tcMar>
              <w:top w:type="dxa" w:w="80"/>
              <w:left w:type="dxa" w:w="120"/>
              <w:bottom w:type="dxa" w:w="80"/>
              <w:right w:type="dxa" w:w="120"/>
            </w:tcMar>
          </w:tcPr>
          <w:p>
            <w:r>
              <w:rPr>
                <w:rFonts w:ascii="Calibri" w:cs="Calibri" w:eastAsia="Calibri" w:hAnsi="Calibri"/>
                <w:sz w:val="21"/>
                <w:szCs w:val="21"/>
              </w:rPr>
              <w:t xml:space="preserve">Declarar la limitación de la sección 5 antes de que pregunten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val="clear"/>
            <w:tcMar>
              <w:top w:type="dxa" w:w="120"/>
              <w:left w:type="dxa" w:w="160"/>
              <w:bottom w:type="dxa" w:w="120"/>
              <w:right w:type="dxa" w:w="160"/>
            </w:tcMar>
          </w:tcPr>
          <w:p>
            <w:pPr>
              <w:spacing w:after="0"/>
            </w:pPr>
            <w:r>
              <w:rPr>
                <w:rFonts w:ascii="Consolas" w:cs="Consolas" w:eastAsia="Consolas" w:hAnsi="Consolas"/>
                <w:sz w:val="19"/>
                <w:szCs w:val="19"/>
              </w:rPr>
              <w:t xml:space="preserve">[ENSAYO PENDIENTE: cronometrar la demo completa; el criterio de aceptación exige menos de 3 minutos. Los tiempos de la tabla son objetivo, no medición.]</w:t>
            </w:r>
          </w:p>
        </w:tc>
      </w:tr>
    </w:tbl>
    <w:p>
      <w:pPr>
        <w:pStyle w:val="Heading1"/>
        <w:spacing w:after="160" w:before="360"/>
      </w:pPr>
      <w:r>
        <w:rPr>
          <w:rFonts w:ascii="Calibri" w:cs="Calibri" w:eastAsia="Calibri" w:hAnsi="Calibri"/>
          <w:b/>
          <w:bCs/>
          <w:color w:val="1F3864"/>
          <w:sz w:val="28"/>
          <w:szCs w:val="28"/>
        </w:rPr>
        <w:t xml:space="preserve">9. Párrafo para la sección 9.3 del informe (protocolo de encriptación)</w:t>
      </w:r>
    </w:p>
    <w:p>
      <w:pPr>
        <w:spacing w:after="160"/>
      </w:pPr>
      <w:r>
        <w:rPr>
          <w:rFonts w:ascii="Calibri" w:cs="Calibri" w:eastAsia="Calibri" w:hAnsi="Calibri"/>
          <w:sz w:val="22"/>
          <w:szCs w:val="22"/>
        </w:rPr>
        <w:t xml:space="preserve">MedicalSys cifra los datos clínicos sensibles con AES-256-GCM: cada operación usa un nonce aleatorio de 12 bytes y produce una etiqueta de autenticación de 128 bits. La clave de datos se deriva por organización, propósito y versión mediante un esquema tipo HKDF basado en HMAC-SHA256, y ese mismo contexto se incorpora como datos adicionales autenticados, de modo que un ciphertext de una organización no puede descifrarse en el contexto de otra. Las contraseñas se almacenan con Argon2id en ms-identidad, nunca en claro. La integridad de los documentos y de la bitácora de auditoría se garantiza con SHA-256 (verificación por documento y cadena de hashes encadenados), y los webhooks entrantes se autentican con HMAC-SHA256. Limitación declarada: en el estado actual (MVP) la clave maestra es una variable de entorno de proceso y no una clave envuelta por un KMS, por lo que el aislamiento entre organizaciones depende de la derivación y del contexto autenticado y no de claves independientes; la remediación está descrita en la sección 6 y en PO-05.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val="clear"/>
            <w:tcMar>
              <w:top w:type="dxa" w:w="120"/>
              <w:left w:type="dxa" w:w="160"/>
              <w:bottom w:type="dxa" w:w="120"/>
              <w:right w:type="dxa" w:w="160"/>
            </w:tcMar>
          </w:tcPr>
          <w:p>
            <w:pPr>
              <w:spacing w:after="0"/>
            </w:pPr>
            <w:r>
              <w:rPr>
                <w:rFonts w:ascii="Consolas" w:cs="Consolas" w:eastAsia="Consolas" w:hAnsi="Consolas"/>
                <w:sz w:val="19"/>
                <w:szCs w:val="19"/>
              </w:rPr>
              <w:t xml:space="preserve">[PENDIENTE: pegar este anexo y el párrafo en el informe (sección 9.3 y anexo); la tarea se da por cumplida solo cuando estén en el informe]</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2026-10-12T11:46:03.680Z</dcterms:created>
  <dcterms:modified xsi:type="dcterms:W3CDTF">2026-10-12T11:46:03.681Z</dcterms:modified>
</cp:coreProperties>
</file>

<file path=docProps/custom.xml><?xml version="1.0" encoding="utf-8"?>
<Properties xmlns="http://schemas.openxmlformats.org/officeDocument/2006/custom-properties" xmlns:vt="http://schemas.openxmlformats.org/officeDocument/2006/docPropsVTypes"/>
</file>