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INF-07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Sección 12: logs de aplicación y de usuario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MedicalSys Platform — Gobierno de Riesgos y Cumplimiento (GRC)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Código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INF-07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1.0 (borrador)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emisión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12 de octubre de 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 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LOG-02, LOG-03, LOG-04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Coherente con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PO-06, PR-06, PR-05, CRY-04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Alcance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Logs de aplicación (stdout de cada servicio) y bitácora de auditoría de ms-auditoria (tabla audit_event)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Propietario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Equipo de Seguridad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Borrador: faltan las capturas reales de la bitácora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Describir los dos tipos de registro que produce MedicalSys Platform, qué eventos se registran en cada uno, cómo se protege la integridad de la bitácora, cómo se consulta y qué datos no se registran nunca. Es la sección 12 del informe y se apoya en PO-06 (política), PR-06 (revisión y respuesta), PR-05 (integridad de archivos) y CRY-04 (criptografía).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Logs de aplicación y logs de usuario (seguridad)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Aspecto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 de aplicación</w:t>
            </w:r>
          </w:p>
        </w:tc>
        <w:tc>
          <w:tcPr>
            <w:tcW w:type="dxa" w:w="3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Bitácora de seguridad (usuario)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Qué 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Salida técnica de cada microservicio (arranque, errores, advertencias)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negocio de «quién hizo qué, sobre qué y con qué resultado»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Dónde vive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stdout del contenedor, formato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logback-spring.xml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audit_event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ms-auditoria (base de datos)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Línea de texto con fecha UTC, nivel,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[servicio]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[corr=...]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[org=...]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mensaje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estructurado con categoría, severidad, resultado, actor, recurso, IP, correlationId y motivo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Retención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Driver Docker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10 MB por archivo, 3 archivos rotados (ancla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x-logging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compose.yaml)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datos; sin rotación automática (política de archivado no definida)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Quién lo lee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Quien tenga acceso de operación a la infraestructura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Solo ADMINISTRATOR y PLATFORM_ADMIN, por API o pantalla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Garantía de integridad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Ninguna: es texto rotativo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Cadena de hashes SHA-256 verificable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Propósito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Diagnóstico y operación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Auditoría, investigación de incidentes y cumplimiento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Ambos tipos se correlacionan con el mismo </w:t>
      </w:r>
      <w:r>
        <w:rPr>
          <w:rFonts w:ascii="Consolas" w:cs="Consolas" w:eastAsia="Consolas" w:hAnsi="Consolas"/>
          <w:sz w:val="20"/>
          <w:szCs w:val="20"/>
        </w:rPr>
        <w:t xml:space="preserve">correlationId</w:t>
      </w:r>
      <w:r>
        <w:rPr>
          <w:rFonts w:ascii="Calibri" w:cs="Calibri" w:eastAsia="Calibri" w:hAnsi="Calibri"/>
          <w:sz w:val="22"/>
          <w:szCs w:val="22"/>
        </w:rPr>
        <w:t xml:space="preserve">: el log de aplicación lo imprime como </w:t>
      </w:r>
      <w:r>
        <w:rPr>
          <w:rFonts w:ascii="Consolas" w:cs="Consolas" w:eastAsia="Consolas" w:hAnsi="Consolas"/>
          <w:sz w:val="20"/>
          <w:szCs w:val="20"/>
        </w:rPr>
        <w:t xml:space="preserve">[corr=...]</w:t>
      </w:r>
      <w:r>
        <w:rPr>
          <w:rFonts w:ascii="Calibri" w:cs="Calibri" w:eastAsia="Calibri" w:hAnsi="Calibri"/>
          <w:sz w:val="22"/>
          <w:szCs w:val="22"/>
        </w:rPr>
        <w:t xml:space="preserve"> y la bitácora lo guarda en cada evento, de modo que una acción puede seguirse de un lado al otro.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Eventos registrados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Cada evento de la bitácora pertenece a una categoría: AUTHENTICATION, AUTHORIZATION, PATIENT_DATA, CLINICAL_RECORD, DOCUMENT, SCHEDULING, BILLING, CONFIGURATION, SECURITY o SYSTEM. Acciones implementadas hoy en ms-identidad: </w:t>
      </w:r>
      <w:r>
        <w:rPr>
          <w:rFonts w:ascii="Consolas" w:cs="Consolas" w:eastAsia="Consolas" w:hAnsi="Consolas"/>
          <w:sz w:val="20"/>
          <w:szCs w:val="20"/>
        </w:rPr>
        <w:t xml:space="preserve">LOGIN_SUCCESS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LOGIN_FAILED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ACCOUNT_LOCKED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LOGOUT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USER_CREATED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USER_UPDATED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USER_DISABLED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PASSWORD_CHANGED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ROLE_ASSIGNED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ROLE_REVOKED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ACCESS_DENIED</w:t>
      </w:r>
      <w:r>
        <w:rPr>
          <w:rFonts w:ascii="Calibri" w:cs="Calibri" w:eastAsia="Calibri" w:hAnsi="Calibri"/>
          <w:sz w:val="22"/>
          <w:szCs w:val="22"/>
        </w:rPr>
        <w:t xml:space="preserve">. ms-documental emite </w:t>
      </w:r>
      <w:r>
        <w:rPr>
          <w:rFonts w:ascii="Consolas" w:cs="Consolas" w:eastAsia="Consolas" w:hAnsi="Consolas"/>
          <w:sz w:val="20"/>
          <w:szCs w:val="20"/>
        </w:rPr>
        <w:t xml:space="preserve">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(DOCUMENT, CRITICAL, FAILURE) cuando un documento no pasa la verificación de integridad. Otros servicios (ms-pacientes, ms-historial, ms-marketing, ms-tenencia) también publican eventos hacia ms-auditoria.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Cada evento incluye como mínimo: acción, categoría, severidad, resultado (SUCCESS, DENIED o FAILURE), actor (usuario, nombre, roles, IP), recurso afectado, paciente asociado si aplica, organización, método y ruta de la petición, código HTTP, motivo, correlationId y metadatos de negocio. Los servicios emisores escriben por la ruta interna </w:t>
      </w:r>
      <w:r>
        <w:rPr>
          <w:rFonts w:ascii="Consolas" w:cs="Consolas" w:eastAsia="Consolas" w:hAnsi="Consolas"/>
          <w:sz w:val="20"/>
          <w:szCs w:val="20"/>
        </w:rPr>
        <w:t xml:space="preserve">/internal/v1/audit-events</w:t>
      </w:r>
      <w:r>
        <w:rPr>
          <w:rFonts w:ascii="Calibri" w:cs="Calibri" w:eastAsia="Calibri" w:hAnsi="Calibri"/>
          <w:sz w:val="22"/>
          <w:szCs w:val="22"/>
        </w:rPr>
        <w:t xml:space="preserve">, que el gateway no publica.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[CAPTURA PENDIENTE: tabla de eventos de la pantalla de auditoría con eventos reales (LOGIN_SUCCESS, LOGIN_FAILED y ACCESS_DENIED), mostrando columnas Cuándo, Acción, Actor, Recurso, Resultado, IP y Origen]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[CAPTURA PENDIENTE: detalle de un evento (drawer o fila expandida) con su correlationId]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Integridad de la bitácora: cadena de hash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audit_event</w:t>
      </w:r>
      <w:r>
        <w:rPr>
          <w:rFonts w:ascii="Calibri" w:cs="Calibri" w:eastAsia="Calibri" w:hAnsi="Calibri"/>
          <w:sz w:val="22"/>
          <w:szCs w:val="22"/>
        </w:rPr>
        <w:t xml:space="preserve"> es de solo agregado y cada asiento se encadena con el anterior de la misma organización: </w:t>
      </w:r>
      <w:r>
        <w:rPr>
          <w:rFonts w:ascii="Consolas" w:cs="Consolas" w:eastAsia="Consolas" w:hAnsi="Consolas"/>
          <w:sz w:val="20"/>
          <w:szCs w:val="20"/>
        </w:rPr>
        <w:t xml:space="preserve">recordHash[n] = SHA-256(previousHash[n] || campo_1 || ... || campo_25)</w:t>
      </w:r>
      <w:r>
        <w:rPr>
          <w:rFonts w:ascii="Calibri" w:cs="Calibri" w:eastAsia="Calibri" w:hAnsi="Calibri"/>
          <w:sz w:val="22"/>
          <w:szCs w:val="22"/>
        </w:rPr>
        <w:t xml:space="preserve">, con </w:t>
      </w:r>
      <w:r>
        <w:rPr>
          <w:rFonts w:ascii="Consolas" w:cs="Consolas" w:eastAsia="Consolas" w:hAnsi="Consolas"/>
          <w:sz w:val="20"/>
          <w:szCs w:val="20"/>
        </w:rPr>
        <w:t xml:space="preserve">previousHash[n] = recordHash[n-1]</w:t>
      </w:r>
      <w:r>
        <w:rPr>
          <w:rFonts w:ascii="Calibri" w:cs="Calibri" w:eastAsia="Calibri" w:hAnsi="Calibri"/>
          <w:sz w:val="22"/>
          <w:szCs w:val="22"/>
        </w:rPr>
        <w:t xml:space="preserve"> y número de secuencia por organización. La representación canónica usa el separador 0x1F, distingue nulos de cadena vacía y expresa las fechas en microsegundos desde epoch, para que el cálculo sea reproducible byte a byte.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GET /api/v1/audit/integrity recorre los eventos en orden de secuencia (por defecto los últimos 500; máximo 5000) y comprueba que la secuencia no salte (detecta borrados), que </w:t>
      </w:r>
      <w:r>
        <w:rPr>
          <w:rFonts w:ascii="Consolas" w:cs="Consolas" w:eastAsia="Consolas" w:hAnsi="Consolas"/>
          <w:sz w:val="20"/>
          <w:szCs w:val="20"/>
        </w:rPr>
        <w:t xml:space="preserve">previousHash</w:t>
      </w:r>
      <w:r>
        <w:rPr>
          <w:rFonts w:ascii="Calibri" w:cs="Calibri" w:eastAsia="Calibri" w:hAnsi="Calibri"/>
          <w:sz w:val="22"/>
          <w:szCs w:val="22"/>
        </w:rPr>
        <w:t xml:space="preserve"> apunte al hash real del anterior (detecta reordenamientos) y que </w:t>
      </w:r>
      <w:r>
        <w:rPr>
          <w:rFonts w:ascii="Consolas" w:cs="Consolas" w:eastAsia="Consolas" w:hAnsi="Consolas"/>
          <w:sz w:val="20"/>
          <w:szCs w:val="20"/>
        </w:rPr>
        <w:t xml:space="preserve">recordHash</w:t>
      </w:r>
      <w:r>
        <w:rPr>
          <w:rFonts w:ascii="Calibri" w:cs="Calibri" w:eastAsia="Calibri" w:hAnsi="Calibri"/>
          <w:sz w:val="22"/>
          <w:szCs w:val="22"/>
        </w:rPr>
        <w:t xml:space="preserve"> reproduzca el contenido (detecta ediciones). La respuesta indica </w:t>
      </w:r>
      <w:r>
        <w:rPr>
          <w:rFonts w:ascii="Consolas" w:cs="Consolas" w:eastAsia="Consolas" w:hAnsi="Consolas"/>
          <w:sz w:val="20"/>
          <w:szCs w:val="20"/>
        </w:rPr>
        <w:t xml:space="preserve">intact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verifiedCount</w:t>
      </w:r>
      <w:r>
        <w:rPr>
          <w:rFonts w:ascii="Calibri" w:cs="Calibri" w:eastAsia="Calibri" w:hAnsi="Calibri"/>
          <w:sz w:val="22"/>
          <w:szCs w:val="22"/>
        </w:rPr>
        <w:t xml:space="preserve"> y, si falla, </w:t>
      </w:r>
      <w:r>
        <w:rPr>
          <w:rFonts w:ascii="Consolas" w:cs="Consolas" w:eastAsia="Consolas" w:hAnsi="Consolas"/>
          <w:sz w:val="20"/>
          <w:szCs w:val="20"/>
        </w:rPr>
        <w:t xml:space="preserve">brokenAtSequence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brokenEventId</w:t>
      </w:r>
      <w:r>
        <w:rPr>
          <w:rFonts w:ascii="Calibri" w:cs="Calibri" w:eastAsia="Calibri" w:hAnsi="Calibri"/>
          <w:sz w:val="22"/>
          <w:szCs w:val="22"/>
        </w:rPr>
        <w:t xml:space="preserve">. Alcance y límites: es un hash sin clave y verifica una ventana, no toda la historia (ver PO-06, sección 4.1).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[CAPTURA PENDIENTE: panel «Integridad de la cadena» de la pantalla de auditoría con resultado intacta, y una segunda captura con una cadena alterada de prueba en un entorno de demostración, mostrando la secuencia donde se rompe]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Pantalla de consulta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frontend ofrece la pantalla «Bitácora de auditoría» en la ruta </w:t>
      </w:r>
      <w:r>
        <w:rPr>
          <w:rFonts w:ascii="Consolas" w:cs="Consolas" w:eastAsia="Consolas" w:hAnsi="Consolas"/>
          <w:sz w:val="20"/>
          <w:szCs w:val="20"/>
        </w:rPr>
        <w:t xml:space="preserve">/auditoria</w:t>
      </w:r>
      <w:r>
        <w:rPr>
          <w:rFonts w:ascii="Calibri" w:cs="Calibri" w:eastAsia="Calibri" w:hAnsi="Calibri"/>
          <w:sz w:val="22"/>
          <w:szCs w:val="22"/>
        </w:rPr>
        <w:t xml:space="preserve">, visible solo con el permiso </w:t>
      </w:r>
      <w:r>
        <w:rPr>
          <w:rFonts w:ascii="Consolas" w:cs="Consolas" w:eastAsia="Consolas" w:hAnsi="Consolas"/>
          <w:sz w:val="20"/>
          <w:szCs w:val="20"/>
        </w:rPr>
        <w:t xml:space="preserve">audit.log.read</w:t>
      </w:r>
      <w:r>
        <w:rPr>
          <w:rFonts w:ascii="Calibri" w:cs="Calibri" w:eastAsia="Calibri" w:hAnsi="Calibri"/>
          <w:sz w:val="22"/>
          <w:szCs w:val="22"/>
        </w:rPr>
        <w:t xml:space="preserve"> (ADMINISTRATOR y PLATFORM_ADMIN). Contiene: el panel de integridad de la cadena con botón de verificación, el resumen de la ventana (eventos, intentos denegados, operaciones con error y eventos críticos), el formulario de filtros (desde, hasta, categoría, resultado, relevancia, microservicio, acción, usuario, paciente, correlation ID y búsqueda libre), la tabla de eventos con detalle y la exportación CSV. Consume únicamente las rutas </w:t>
      </w:r>
      <w:r>
        <w:rPr>
          <w:rFonts w:ascii="Consolas" w:cs="Consolas" w:eastAsia="Consolas" w:hAnsi="Consolas"/>
          <w:sz w:val="20"/>
          <w:szCs w:val="20"/>
        </w:rPr>
        <w:t xml:space="preserve">/api/v1/audit/**</w:t>
      </w:r>
      <w:r>
        <w:rPr>
          <w:rFonts w:ascii="Calibri" w:cs="Calibri" w:eastAsia="Calibri" w:hAnsi="Calibri"/>
          <w:sz w:val="22"/>
          <w:szCs w:val="22"/>
        </w:rPr>
        <w:t xml:space="preserve"> del gateway.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[CAPTURA PENDIENTE: pantalla completa de /auditoria con resumen, filtros aplicados (por ejemplo categoría AUTHENTICATION y resultado DENIED) y resultados]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[CAPTURA PENDIENTE: archivo CSV exportado abierto en una hoja de cálculo, sin datos personales reales]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Datos que no se registran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Ningún log de aplicación ni evento de auditoría contiene: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Contraseñas, en ningún formato.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Tokens de sesión, JWT u OTP.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Contenido clínico (diagnósticos, notas, resultados): se registra qué ocurrió, sobre qué recurso y quién lo hizo, no el contenido.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 regla figura como comentario obligatorio en la cabecera del </w:t>
      </w:r>
      <w:r>
        <w:rPr>
          <w:rFonts w:ascii="Consolas" w:cs="Consolas" w:eastAsia="Consolas" w:hAnsi="Consolas"/>
          <w:sz w:val="20"/>
          <w:szCs w:val="20"/>
        </w:rPr>
        <w:t xml:space="preserve">logback-spring.xml</w:t>
      </w:r>
      <w:r>
        <w:rPr>
          <w:rFonts w:ascii="Calibri" w:cs="Calibri" w:eastAsia="Calibri" w:hAnsi="Calibri"/>
          <w:sz w:val="22"/>
          <w:szCs w:val="22"/>
        </w:rPr>
        <w:t xml:space="preserve"> de cada servicio y en el campo </w:t>
      </w:r>
      <w:r>
        <w:rPr>
          <w:rFonts w:ascii="Consolas" w:cs="Consolas" w:eastAsia="Consolas" w:hAnsi="Consolas"/>
          <w:sz w:val="20"/>
          <w:szCs w:val="20"/>
        </w:rPr>
        <w:t xml:space="preserve">metadata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AuditEventDraft</w:t>
      </w:r>
      <w:r>
        <w:rPr>
          <w:rFonts w:ascii="Calibri" w:cs="Calibri" w:eastAsia="Calibri" w:hAnsi="Calibri"/>
          <w:sz w:val="22"/>
          <w:szCs w:val="22"/>
        </w:rPr>
        <w:t xml:space="preserve"> («contexto adicional; nunca contraseñas ni tokens»). El evento </w:t>
      </w:r>
      <w:r>
        <w:rPr>
          <w:rFonts w:ascii="Consolas" w:cs="Consolas" w:eastAsia="Consolas" w:hAnsi="Consolas"/>
          <w:sz w:val="20"/>
          <w:szCs w:val="20"/>
        </w:rPr>
        <w:t xml:space="preserve">DOCUMENT_INTEGRITY_MISMATCH</w:t>
      </w:r>
      <w:r>
        <w:rPr>
          <w:rFonts w:ascii="Calibri" w:cs="Calibri" w:eastAsia="Calibri" w:hAnsi="Calibri"/>
          <w:sz w:val="22"/>
          <w:szCs w:val="22"/>
        </w:rPr>
        <w:t xml:space="preserve"> guarda solo los dos hashes SHA-256, no el documento. Es una regla de diseño y de revisión de código; no existe un filtro automático que la haga cumplir en tiempo de ejecución.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Limitaciones conocidas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bitácora usa SHA-256 sin clave: no protege frente a quien pueda reescribir toda la cadena en la base. No hay anclaje externo del último hash.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envío de eventos desde ms-documental es de mejor esfuerzo (sin reintento); un fallo deja solo una advertencia en el log de aplicación.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retención de la bitácora en base de datos no tiene política de archivado definida (PO-06, sección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umbrales cuantitativos de PR-06 son provisionales hasta que RSK-01 defina los KRIs.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Coherencia con otros documentos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Documento</w:t>
            </w:r>
          </w:p>
        </w:tc>
        <w:tc>
          <w:tcPr>
            <w:tcW w:type="dxa" w:w="7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Relación con esta sección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PO-06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Fija qué se registra, qué no, integridad, retención y acceso; esta sección lo describe tal como está implementado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PR-06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Frecuencia de revisión, filtros, umbrales y escalamiento sobre la pantalla y la API descritas en la sección 5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PR-05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Origen del evento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DOCUMENT_INTEGRITY_MISMATCH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verificación de archivos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CRY-04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Cifrado, hash y HMAC; el SHA-256 de la cadena de auditoría es el mismo tipo de mecanismo que se compara con HMAC, cifrado y firma en su sección 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2026-10-12T11:47:37.188Z</dcterms:created>
  <dcterms:modified xsi:type="dcterms:W3CDTF">2026-10-12T11:47:37.191Z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