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Calibri" w:cs="Calibri" w:eastAsia="Calibri" w:hAnsi="Calibri"/>
          <w:b/>
          <w:bCs/>
          <w:color w:val="1F3864"/>
          <w:sz w:val="32"/>
          <w:szCs w:val="32"/>
        </w:rPr>
        <w:t xml:space="preserve">PO-06</w:t>
      </w:r>
    </w:p>
    <w:p>
      <w:pPr>
        <w:spacing w:after="100" w:before="200"/>
        <w:jc w:val="center"/>
      </w:pPr>
      <w:r>
        <w:rPr>
          <w:rFonts w:ascii="Calibri" w:cs="Calibri" w:eastAsia="Calibri" w:hAnsi="Calibri"/>
          <w:b/>
          <w:bCs/>
          <w:sz w:val="44"/>
          <w:szCs w:val="44"/>
        </w:rPr>
        <w:t xml:space="preserve">Política de registro y monitoreo (logs)</w:t>
      </w:r>
    </w:p>
    <w:p>
      <w:pPr>
        <w:spacing w:after="600"/>
        <w:jc w:val="center"/>
      </w:pPr>
      <w:r>
        <w:rPr>
          <w:rFonts w:ascii="Calibri" w:cs="Calibri" w:eastAsia="Calibri" w:hAnsi="Calibri"/>
          <w:i/>
          <w:iCs/>
          <w:color w:val="595959"/>
          <w:sz w:val="24"/>
          <w:szCs w:val="24"/>
        </w:rPr>
        <w:t xml:space="preserve">MedicalSys Platform — Gobierno de Riesgos y Cumplimiento (GRC)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D9E2F3" w:val="clear"/>
            <w:tcMar>
              <w:top w:type="dxa" w:w="80"/>
              <w:left w:type="dxa" w:w="120"/>
              <w:bottom w:type="dxa" w:w="80"/>
              <w:right w:type="dxa" w:w="120"/>
            </w:tcMar>
          </w:tcPr>
          <w:p>
            <w:r>
              <w:rPr>
                <w:rFonts w:ascii="Calibri" w:cs="Calibri" w:eastAsia="Calibri" w:hAnsi="Calibri"/>
                <w:b/>
                <w:bCs/>
                <w:sz w:val="21"/>
                <w:szCs w:val="21"/>
              </w:rPr>
              <w:t xml:space="preserve">Código</w:t>
            </w:r>
          </w:p>
        </w:tc>
        <w:tc>
          <w:tcPr>
            <w:tcW w:type="dxa" w:w="6600"/>
            <w:tcMar>
              <w:top w:type="dxa" w:w="80"/>
              <w:left w:type="dxa" w:w="120"/>
              <w:bottom w:type="dxa" w:w="80"/>
              <w:right w:type="dxa" w:w="120"/>
            </w:tcMar>
          </w:tcPr>
          <w:p>
            <w:r>
              <w:rPr>
                <w:rFonts w:ascii="Calibri" w:cs="Calibri" w:eastAsia="Calibri" w:hAnsi="Calibri"/>
                <w:b w:val="false"/>
                <w:bCs w:val="false"/>
                <w:sz w:val="21"/>
                <w:szCs w:val="21"/>
              </w:rPr>
              <w:t xml:space="preserve">PO-06</w:t>
            </w:r>
          </w:p>
        </w:tc>
      </w:tr>
      <w:tr>
        <w:tc>
          <w:tcPr>
            <w:tcW w:type="dxa" w:w="2400"/>
            <w:shd w:fill="D9E2F3" w:val="clear"/>
            <w:tcMar>
              <w:top w:type="dxa" w:w="80"/>
              <w:left w:type="dxa" w:w="120"/>
              <w:bottom w:type="dxa" w:w="80"/>
              <w:right w:type="dxa" w:w="120"/>
            </w:tcMar>
          </w:tcPr>
          <w:p>
            <w:r>
              <w:rPr>
                <w:rFonts w:ascii="Calibri" w:cs="Calibri" w:eastAsia="Calibri" w:hAnsi="Calibri"/>
                <w:b/>
                <w:bCs/>
                <w:sz w:val="21"/>
                <w:szCs w:val="21"/>
              </w:rPr>
              <w:t xml:space="preserve">Versión</w:t>
            </w:r>
          </w:p>
        </w:tc>
        <w:tc>
          <w:tcPr>
            <w:tcW w:type="dxa" w:w="6600"/>
            <w:tcMar>
              <w:top w:type="dxa" w:w="80"/>
              <w:left w:type="dxa" w:w="120"/>
              <w:bottom w:type="dxa" w:w="80"/>
              <w:right w:type="dxa" w:w="120"/>
            </w:tcMar>
          </w:tcPr>
          <w:p>
            <w:r>
              <w:rPr>
                <w:rFonts w:ascii="Calibri" w:cs="Calibri" w:eastAsia="Calibri" w:hAnsi="Calibri"/>
                <w:b w:val="false"/>
                <w:bCs w:val="false"/>
                <w:sz w:val="21"/>
                <w:szCs w:val="21"/>
              </w:rPr>
              <w:t xml:space="preserve">1.0</w:t>
            </w:r>
          </w:p>
        </w:tc>
      </w:tr>
      <w:tr>
        <w:tc>
          <w:tcPr>
            <w:tcW w:type="dxa" w:w="2400"/>
            <w:shd w:fill="D9E2F3" w:val="clear"/>
            <w:tcMar>
              <w:top w:type="dxa" w:w="80"/>
              <w:left w:type="dxa" w:w="120"/>
              <w:bottom w:type="dxa" w:w="80"/>
              <w:right w:type="dxa" w:w="120"/>
            </w:tcMar>
          </w:tcPr>
          <w:p>
            <w:r>
              <w:rPr>
                <w:rFonts w:ascii="Calibri" w:cs="Calibri" w:eastAsia="Calibri" w:hAnsi="Calibri"/>
                <w:b/>
                <w:bCs/>
                <w:sz w:val="21"/>
                <w:szCs w:val="21"/>
              </w:rPr>
              <w:t xml:space="preserve">Fecha de emisión</w:t>
            </w:r>
          </w:p>
        </w:tc>
        <w:tc>
          <w:tcPr>
            <w:tcW w:type="dxa" w:w="6600"/>
            <w:tcMar>
              <w:top w:type="dxa" w:w="80"/>
              <w:left w:type="dxa" w:w="120"/>
              <w:bottom w:type="dxa" w:w="80"/>
              <w:right w:type="dxa" w:w="120"/>
            </w:tcMar>
          </w:tcPr>
          <w:p>
            <w:r>
              <w:rPr>
                <w:rFonts w:ascii="Calibri" w:cs="Calibri" w:eastAsia="Calibri" w:hAnsi="Calibri"/>
                <w:b w:val="false"/>
                <w:bCs w:val="false"/>
                <w:sz w:val="21"/>
                <w:szCs w:val="21"/>
              </w:rPr>
              <w:t xml:space="preserve">11 de octubre de 2026</w:t>
            </w:r>
          </w:p>
        </w:tc>
      </w:tr>
      <w:tr>
        <w:tc>
          <w:tcPr>
            <w:tcW w:type="dxa" w:w="2400"/>
            <w:shd w:fill="D9E2F3" w:val="clear"/>
            <w:tcMar>
              <w:top w:type="dxa" w:w="80"/>
              <w:left w:type="dxa" w:w="120"/>
              <w:bottom w:type="dxa" w:w="80"/>
              <w:right w:type="dxa" w:w="120"/>
            </w:tcMar>
          </w:tcPr>
          <w:p>
            <w:r>
              <w:rPr>
                <w:rFonts w:ascii="Calibri" w:cs="Calibri" w:eastAsia="Calibri" w:hAnsi="Calibri"/>
                <w:b/>
                <w:bCs/>
                <w:sz w:val="21"/>
                <w:szCs w:val="21"/>
              </w:rPr>
              <w:t xml:space="preserve">Depende de</w:t>
            </w:r>
          </w:p>
        </w:tc>
        <w:tc>
          <w:tcPr>
            <w:tcW w:type="dxa" w:w="6600"/>
            <w:tcMar>
              <w:top w:type="dxa" w:w="80"/>
              <w:left w:type="dxa" w:w="120"/>
              <w:bottom w:type="dxa" w:w="80"/>
              <w:right w:type="dxa" w:w="120"/>
            </w:tcMar>
          </w:tcPr>
          <w:p>
            <w:r>
              <w:rPr>
                <w:rFonts w:ascii="Calibri" w:cs="Calibri" w:eastAsia="Calibri" w:hAnsi="Calibri"/>
                <w:b w:val="false"/>
                <w:bCs w:val="false"/>
                <w:sz w:val="21"/>
                <w:szCs w:val="21"/>
              </w:rPr>
              <w:t xml:space="preserve">GRC-00 (marco de gobierno)</w:t>
            </w:r>
          </w:p>
        </w:tc>
      </w:tr>
      <w:tr>
        <w:tc>
          <w:tcPr>
            <w:tcW w:type="dxa" w:w="2400"/>
            <w:shd w:fill="D9E2F3" w:val="clear"/>
            <w:tcMar>
              <w:top w:type="dxa" w:w="80"/>
              <w:left w:type="dxa" w:w="120"/>
              <w:bottom w:type="dxa" w:w="80"/>
              <w:right w:type="dxa" w:w="120"/>
            </w:tcMar>
          </w:tcPr>
          <w:p>
            <w:r>
              <w:rPr>
                <w:rFonts w:ascii="Calibri" w:cs="Calibri" w:eastAsia="Calibri" w:hAnsi="Calibri"/>
                <w:b/>
                <w:bCs/>
                <w:sz w:val="21"/>
                <w:szCs w:val="21"/>
              </w:rPr>
              <w:t xml:space="preserve">Coherente con</w:t>
            </w:r>
          </w:p>
        </w:tc>
        <w:tc>
          <w:tcPr>
            <w:tcW w:type="dxa" w:w="6600"/>
            <w:tcMar>
              <w:top w:type="dxa" w:w="80"/>
              <w:left w:type="dxa" w:w="120"/>
              <w:bottom w:type="dxa" w:w="80"/>
              <w:right w:type="dxa" w:w="120"/>
            </w:tcMar>
          </w:tcPr>
          <w:p>
            <w:r>
              <w:rPr>
                <w:rFonts w:ascii="Calibri" w:cs="Calibri" w:eastAsia="Calibri" w:hAnsi="Calibri"/>
                <w:b w:val="false"/>
                <w:bCs w:val="false"/>
                <w:sz w:val="21"/>
                <w:szCs w:val="21"/>
              </w:rPr>
              <w:t xml:space="preserve">LOG-01 a LOG-04 (control técnico implementado en ms-auditoria y ms-identidad)</w:t>
            </w:r>
          </w:p>
        </w:tc>
      </w:tr>
      <w:tr>
        <w:tc>
          <w:tcPr>
            <w:tcW w:type="dxa" w:w="2400"/>
            <w:shd w:fill="D9E2F3" w:val="clear"/>
            <w:tcMar>
              <w:top w:type="dxa" w:w="80"/>
              <w:left w:type="dxa" w:w="120"/>
              <w:bottom w:type="dxa" w:w="80"/>
              <w:right w:type="dxa" w:w="120"/>
            </w:tcMar>
          </w:tcPr>
          <w:p>
            <w:r>
              <w:rPr>
                <w:rFonts w:ascii="Calibri" w:cs="Calibri" w:eastAsia="Calibri" w:hAnsi="Calibri"/>
                <w:b/>
                <w:bCs/>
                <w:sz w:val="21"/>
                <w:szCs w:val="21"/>
              </w:rPr>
              <w:t xml:space="preserve">Alcance</w:t>
            </w:r>
          </w:p>
        </w:tc>
        <w:tc>
          <w:tcPr>
            <w:tcW w:type="dxa" w:w="6600"/>
            <w:tcMar>
              <w:top w:type="dxa" w:w="80"/>
              <w:left w:type="dxa" w:w="120"/>
              <w:bottom w:type="dxa" w:w="80"/>
              <w:right w:type="dxa" w:w="120"/>
            </w:tcMar>
          </w:tcPr>
          <w:p>
            <w:r>
              <w:rPr>
                <w:rFonts w:ascii="Calibri" w:cs="Calibri" w:eastAsia="Calibri" w:hAnsi="Calibri"/>
                <w:b w:val="false"/>
                <w:bCs w:val="false"/>
                <w:sz w:val="21"/>
                <w:szCs w:val="21"/>
              </w:rPr>
              <w:t xml:space="preserve">ms-auditoria y todos los microservicios que publican eventos hacia él</w:t>
            </w:r>
          </w:p>
        </w:tc>
      </w:tr>
      <w:tr>
        <w:tc>
          <w:tcPr>
            <w:tcW w:type="dxa" w:w="2400"/>
            <w:shd w:fill="D9E2F3" w:val="clear"/>
            <w:tcMar>
              <w:top w:type="dxa" w:w="80"/>
              <w:left w:type="dxa" w:w="120"/>
              <w:bottom w:type="dxa" w:w="80"/>
              <w:right w:type="dxa" w:w="120"/>
            </w:tcMar>
          </w:tcPr>
          <w:p>
            <w:r>
              <w:rPr>
                <w:rFonts w:ascii="Calibri" w:cs="Calibri" w:eastAsia="Calibri" w:hAnsi="Calibri"/>
                <w:b/>
                <w:bCs/>
                <w:sz w:val="21"/>
                <w:szCs w:val="21"/>
              </w:rPr>
              <w:t xml:space="preserve">Propietario</w:t>
            </w:r>
          </w:p>
        </w:tc>
        <w:tc>
          <w:tcPr>
            <w:tcW w:type="dxa" w:w="6600"/>
            <w:tcMar>
              <w:top w:type="dxa" w:w="80"/>
              <w:left w:type="dxa" w:w="120"/>
              <w:bottom w:type="dxa" w:w="80"/>
              <w:right w:type="dxa" w:w="120"/>
            </w:tcMar>
          </w:tcPr>
          <w:p>
            <w:r>
              <w:rPr>
                <w:rFonts w:ascii="Calibri" w:cs="Calibri" w:eastAsia="Calibri" w:hAnsi="Calibri"/>
                <w:b w:val="false"/>
                <w:bCs w:val="false"/>
                <w:sz w:val="21"/>
                <w:szCs w:val="21"/>
              </w:rPr>
              <w:t xml:space="preserve">Equipo de Seguridad / Arquitectura</w:t>
            </w:r>
          </w:p>
        </w:tc>
      </w:tr>
      <w:tr>
        <w:tc>
          <w:tcPr>
            <w:tcW w:type="dxa" w:w="2400"/>
            <w:shd w:fill="D9E2F3" w:val="clear"/>
            <w:tcMar>
              <w:top w:type="dxa" w:w="80"/>
              <w:left w:type="dxa" w:w="120"/>
              <w:bottom w:type="dxa" w:w="80"/>
              <w:right w:type="dxa" w:w="120"/>
            </w:tcMar>
          </w:tcPr>
          <w:p>
            <w:r>
              <w:rPr>
                <w:rFonts w:ascii="Calibri" w:cs="Calibri" w:eastAsia="Calibri" w:hAnsi="Calibri"/>
                <w:b/>
                <w:bCs/>
                <w:sz w:val="21"/>
                <w:szCs w:val="21"/>
              </w:rPr>
              <w:t xml:space="preserve">Estado</w:t>
            </w:r>
          </w:p>
        </w:tc>
        <w:tc>
          <w:tcPr>
            <w:tcW w:type="dxa" w:w="6600"/>
            <w:tcMar>
              <w:top w:type="dxa" w:w="80"/>
              <w:left w:type="dxa" w:w="120"/>
              <w:bottom w:type="dxa" w:w="80"/>
              <w:right w:type="dxa" w:w="120"/>
            </w:tcMar>
          </w:tcPr>
          <w:p>
            <w:r>
              <w:rPr>
                <w:rFonts w:ascii="Calibri" w:cs="Calibri" w:eastAsia="Calibri" w:hAnsi="Calibri"/>
                <w:b w:val="false"/>
                <w:bCs w:val="false"/>
                <w:sz w:val="21"/>
                <w:szCs w:val="21"/>
              </w:rPr>
              <w:t xml:space="preserve">Vigente</w:t>
            </w:r>
          </w:p>
        </w:tc>
      </w:tr>
    </w:tbl>
    <w:p>
      <w:r>
        <w:br w:type="page"/>
      </w:r>
    </w:p>
    <w:p>
      <w:pPr>
        <w:pStyle w:val="Heading1"/>
        <w:spacing w:after="160" w:before="360"/>
      </w:pPr>
      <w:r>
        <w:rPr>
          <w:rFonts w:ascii="Calibri" w:cs="Calibri" w:eastAsia="Calibri" w:hAnsi="Calibri"/>
          <w:b/>
          <w:bCs/>
          <w:color w:val="1F3864"/>
          <w:sz w:val="28"/>
          <w:szCs w:val="28"/>
        </w:rPr>
        <w:t xml:space="preserve">1. Objetivo</w:t>
      </w:r>
    </w:p>
    <w:p>
      <w:pPr>
        <w:spacing w:after="160"/>
      </w:pPr>
      <w:r>
        <w:rPr>
          <w:rFonts w:ascii="Calibri" w:cs="Calibri" w:eastAsia="Calibri" w:hAnsi="Calibri"/>
          <w:b w:val="false"/>
          <w:bCs w:val="false"/>
          <w:i w:val="false"/>
          <w:iCs w:val="false"/>
          <w:sz w:val="22"/>
          <w:szCs w:val="22"/>
        </w:rPr>
        <w:t xml:space="preserve">Definir qué eventos del sistema se registran en la bitácora de auditoría, qué información nunca debe quedar registrada, cómo se garantiza que esa bitácora no pueda alterarse sin detección, durante cuánto tiempo se conservan los registros, y quién puede acceder a ellos. Esta política formaliza el comportamiento ya implementado por ms-auditoria (encadenamiento de hashes, control de acceso por rol) y por los servicios emisores de eventos como ms-identidad (LOG-01, LOG-02).</w:t>
      </w:r>
    </w:p>
    <w:p>
      <w:pPr>
        <w:pStyle w:val="Heading1"/>
        <w:spacing w:after="160" w:before="360"/>
      </w:pPr>
      <w:r>
        <w:rPr>
          <w:rFonts w:ascii="Calibri" w:cs="Calibri" w:eastAsia="Calibri" w:hAnsi="Calibri"/>
          <w:b/>
          <w:bCs/>
          <w:color w:val="1F3864"/>
          <w:sz w:val="28"/>
          <w:szCs w:val="28"/>
        </w:rPr>
        <w:t xml:space="preserve">2. Qué eventos se registran</w:t>
      </w:r>
    </w:p>
    <w:p>
      <w:pPr>
        <w:spacing w:after="160"/>
      </w:pPr>
      <w:r>
        <w:rPr>
          <w:rFonts w:ascii="Calibri" w:cs="Calibri" w:eastAsia="Calibri" w:hAnsi="Calibri"/>
          <w:sz w:val="22"/>
          <w:szCs w:val="22"/>
        </w:rPr>
        <w:t xml:space="preserve">Cada evento de auditoría pertenece a una de las siguientes categorías (</w:t>
      </w:r>
      <w:r>
        <w:rPr>
          <w:rFonts w:ascii="Consolas" w:cs="Consolas" w:eastAsia="Consolas" w:hAnsi="Consolas"/>
          <w:sz w:val="20"/>
          <w:szCs w:val="20"/>
        </w:rPr>
        <w:t xml:space="preserve">AuditCategory</w:t>
      </w:r>
      <w:r>
        <w:rPr>
          <w:rFonts w:ascii="Calibri" w:cs="Calibri" w:eastAsia="Calibri" w:hAnsi="Calibri"/>
          <w:sz w:val="22"/>
          <w:szCs w:val="22"/>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D9E2F3" w:val="clear"/>
            <w:tcMar>
              <w:top w:type="dxa" w:w="80"/>
              <w:left w:type="dxa" w:w="120"/>
              <w:bottom w:type="dxa" w:w="80"/>
              <w:right w:type="dxa" w:w="120"/>
            </w:tcMar>
          </w:tcPr>
          <w:p>
            <w:r>
              <w:rPr>
                <w:rFonts w:ascii="Calibri" w:cs="Calibri" w:eastAsia="Calibri" w:hAnsi="Calibri"/>
                <w:b/>
                <w:bCs/>
                <w:sz w:val="21"/>
                <w:szCs w:val="21"/>
              </w:rPr>
              <w:t xml:space="preserve">Categoría</w:t>
            </w:r>
          </w:p>
        </w:tc>
        <w:tc>
          <w:tcPr>
            <w:tcW w:type="dxa" w:w="6400"/>
            <w:shd w:fill="D9E2F3" w:val="clear"/>
            <w:tcMar>
              <w:top w:type="dxa" w:w="80"/>
              <w:left w:type="dxa" w:w="120"/>
              <w:bottom w:type="dxa" w:w="80"/>
              <w:right w:type="dxa" w:w="120"/>
            </w:tcMar>
          </w:tcPr>
          <w:p>
            <w:r>
              <w:rPr>
                <w:rFonts w:ascii="Calibri" w:cs="Calibri" w:eastAsia="Calibri" w:hAnsi="Calibri"/>
                <w:b/>
                <w:bCs/>
                <w:sz w:val="21"/>
                <w:szCs w:val="21"/>
              </w:rPr>
              <w:t xml:space="preserve">Qué cubre</w:t>
            </w:r>
          </w:p>
        </w:tc>
      </w:tr>
      <w:tr>
        <w:tc>
          <w:tcPr>
            <w:tcW w:type="dxa" w:w="2600"/>
            <w:tcMar>
              <w:top w:type="dxa" w:w="80"/>
              <w:left w:type="dxa" w:w="120"/>
              <w:bottom w:type="dxa" w:w="80"/>
              <w:right w:type="dxa" w:w="120"/>
            </w:tcMar>
          </w:tcPr>
          <w:p>
            <w:r>
              <w:rPr>
                <w:rFonts w:ascii="Calibri" w:cs="Calibri" w:eastAsia="Calibri" w:hAnsi="Calibri"/>
                <w:b w:val="false"/>
                <w:bCs w:val="false"/>
                <w:sz w:val="21"/>
                <w:szCs w:val="21"/>
              </w:rPr>
              <w:t xml:space="preserve">AUTHENTICATION</w:t>
            </w:r>
          </w:p>
        </w:tc>
        <w:tc>
          <w:tcPr>
            <w:tcW w:type="dxa" w:w="6400"/>
            <w:tcMar>
              <w:top w:type="dxa" w:w="80"/>
              <w:left w:type="dxa" w:w="120"/>
              <w:bottom w:type="dxa" w:w="80"/>
              <w:right w:type="dxa" w:w="120"/>
            </w:tcMar>
          </w:tcPr>
          <w:p>
            <w:r>
              <w:rPr>
                <w:rFonts w:ascii="Calibri" w:cs="Calibri" w:eastAsia="Calibri" w:hAnsi="Calibri"/>
                <w:b w:val="false"/>
                <w:bCs w:val="false"/>
                <w:sz w:val="21"/>
                <w:szCs w:val="21"/>
              </w:rPr>
              <w:t xml:space="preserve">Inicio y cierre de sesión, bloqueo de cuenta, fallos de credenciales (ms-identidad)</w:t>
            </w:r>
          </w:p>
        </w:tc>
      </w:tr>
      <w:tr>
        <w:tc>
          <w:tcPr>
            <w:tcW w:type="dxa" w:w="2600"/>
            <w:tcMar>
              <w:top w:type="dxa" w:w="80"/>
              <w:left w:type="dxa" w:w="120"/>
              <w:bottom w:type="dxa" w:w="80"/>
              <w:right w:type="dxa" w:w="120"/>
            </w:tcMar>
          </w:tcPr>
          <w:p>
            <w:r>
              <w:rPr>
                <w:rFonts w:ascii="Calibri" w:cs="Calibri" w:eastAsia="Calibri" w:hAnsi="Calibri"/>
                <w:b w:val="false"/>
                <w:bCs w:val="false"/>
                <w:sz w:val="21"/>
                <w:szCs w:val="21"/>
              </w:rPr>
              <w:t xml:space="preserve">AUTHORIZATION</w:t>
            </w:r>
          </w:p>
        </w:tc>
        <w:tc>
          <w:tcPr>
            <w:tcW w:type="dxa" w:w="6400"/>
            <w:tcMar>
              <w:top w:type="dxa" w:w="80"/>
              <w:left w:type="dxa" w:w="120"/>
              <w:bottom w:type="dxa" w:w="80"/>
              <w:right w:type="dxa" w:w="120"/>
            </w:tcMar>
          </w:tcPr>
          <w:p>
            <w:r>
              <w:rPr>
                <w:rFonts w:ascii="Calibri" w:cs="Calibri" w:eastAsia="Calibri" w:hAnsi="Calibri"/>
                <w:b w:val="false"/>
                <w:bCs w:val="false"/>
                <w:sz w:val="21"/>
                <w:szCs w:val="21"/>
              </w:rPr>
              <w:t xml:space="preserve">Denegaciones de rol o de organización detectadas por un servicio</w:t>
            </w:r>
          </w:p>
        </w:tc>
      </w:tr>
      <w:tr>
        <w:tc>
          <w:tcPr>
            <w:tcW w:type="dxa" w:w="2600"/>
            <w:tcMar>
              <w:top w:type="dxa" w:w="80"/>
              <w:left w:type="dxa" w:w="120"/>
              <w:bottom w:type="dxa" w:w="80"/>
              <w:right w:type="dxa" w:w="120"/>
            </w:tcMar>
          </w:tcPr>
          <w:p>
            <w:r>
              <w:rPr>
                <w:rFonts w:ascii="Calibri" w:cs="Calibri" w:eastAsia="Calibri" w:hAnsi="Calibri"/>
                <w:b w:val="false"/>
                <w:bCs w:val="false"/>
                <w:sz w:val="21"/>
                <w:szCs w:val="21"/>
              </w:rPr>
              <w:t xml:space="preserve">PATIENT_DATA</w:t>
            </w:r>
          </w:p>
        </w:tc>
        <w:tc>
          <w:tcPr>
            <w:tcW w:type="dxa" w:w="6400"/>
            <w:tcMar>
              <w:top w:type="dxa" w:w="80"/>
              <w:left w:type="dxa" w:w="120"/>
              <w:bottom w:type="dxa" w:w="80"/>
              <w:right w:type="dxa" w:w="120"/>
            </w:tcMar>
          </w:tcPr>
          <w:p>
            <w:r>
              <w:rPr>
                <w:rFonts w:ascii="Calibri" w:cs="Calibri" w:eastAsia="Calibri" w:hAnsi="Calibri"/>
                <w:b w:val="false"/>
                <w:bCs w:val="false"/>
                <w:sz w:val="21"/>
                <w:szCs w:val="21"/>
              </w:rPr>
              <w:t xml:space="preserve">Alta, modificación, búsqueda y fusión del registro administrativo del paciente</w:t>
            </w:r>
          </w:p>
        </w:tc>
      </w:tr>
      <w:tr>
        <w:tc>
          <w:tcPr>
            <w:tcW w:type="dxa" w:w="2600"/>
            <w:tcMar>
              <w:top w:type="dxa" w:w="80"/>
              <w:left w:type="dxa" w:w="120"/>
              <w:bottom w:type="dxa" w:w="80"/>
              <w:right w:type="dxa" w:w="120"/>
            </w:tcMar>
          </w:tcPr>
          <w:p>
            <w:r>
              <w:rPr>
                <w:rFonts w:ascii="Calibri" w:cs="Calibri" w:eastAsia="Calibri" w:hAnsi="Calibri"/>
                <w:b w:val="false"/>
                <w:bCs w:val="false"/>
                <w:sz w:val="21"/>
                <w:szCs w:val="21"/>
              </w:rPr>
              <w:t xml:space="preserve">CLINICAL_RECORD</w:t>
            </w:r>
          </w:p>
        </w:tc>
        <w:tc>
          <w:tcPr>
            <w:tcW w:type="dxa" w:w="6400"/>
            <w:tcMar>
              <w:top w:type="dxa" w:w="80"/>
              <w:left w:type="dxa" w:w="120"/>
              <w:bottom w:type="dxa" w:w="80"/>
              <w:right w:type="dxa" w:w="120"/>
            </w:tcMar>
          </w:tcPr>
          <w:p>
            <w:r>
              <w:rPr>
                <w:rFonts w:ascii="Calibri" w:cs="Calibri" w:eastAsia="Calibri" w:hAnsi="Calibri"/>
                <w:b w:val="false"/>
                <w:bCs w:val="false"/>
                <w:sz w:val="21"/>
                <w:szCs w:val="21"/>
              </w:rPr>
              <w:t xml:space="preserve">Acceso o escritura sobre expediente, encuentro, diagnóstico y receta</w:t>
            </w:r>
          </w:p>
        </w:tc>
      </w:tr>
      <w:tr>
        <w:tc>
          <w:tcPr>
            <w:tcW w:type="dxa" w:w="2600"/>
            <w:tcMar>
              <w:top w:type="dxa" w:w="80"/>
              <w:left w:type="dxa" w:w="120"/>
              <w:bottom w:type="dxa" w:w="80"/>
              <w:right w:type="dxa" w:w="120"/>
            </w:tcMar>
          </w:tcPr>
          <w:p>
            <w:r>
              <w:rPr>
                <w:rFonts w:ascii="Calibri" w:cs="Calibri" w:eastAsia="Calibri" w:hAnsi="Calibri"/>
                <w:b w:val="false"/>
                <w:bCs w:val="false"/>
                <w:sz w:val="21"/>
                <w:szCs w:val="21"/>
              </w:rPr>
              <w:t xml:space="preserve">DOCUMENT</w:t>
            </w:r>
          </w:p>
        </w:tc>
        <w:tc>
          <w:tcPr>
            <w:tcW w:type="dxa" w:w="6400"/>
            <w:tcMar>
              <w:top w:type="dxa" w:w="80"/>
              <w:left w:type="dxa" w:w="120"/>
              <w:bottom w:type="dxa" w:w="80"/>
              <w:right w:type="dxa" w:w="120"/>
            </w:tcMar>
          </w:tcPr>
          <w:p>
            <w:r>
              <w:rPr>
                <w:rFonts w:ascii="Calibri" w:cs="Calibri" w:eastAsia="Calibri" w:hAnsi="Calibri"/>
                <w:b w:val="false"/>
                <w:bCs w:val="false"/>
                <w:sz w:val="21"/>
                <w:szCs w:val="21"/>
              </w:rPr>
              <w:t xml:space="preserve">Carga, descarga y borrado lógico de documentos clínicos</w:t>
            </w:r>
          </w:p>
        </w:tc>
      </w:tr>
      <w:tr>
        <w:tc>
          <w:tcPr>
            <w:tcW w:type="dxa" w:w="2600"/>
            <w:tcMar>
              <w:top w:type="dxa" w:w="80"/>
              <w:left w:type="dxa" w:w="120"/>
              <w:bottom w:type="dxa" w:w="80"/>
              <w:right w:type="dxa" w:w="120"/>
            </w:tcMar>
          </w:tcPr>
          <w:p>
            <w:r>
              <w:rPr>
                <w:rFonts w:ascii="Calibri" w:cs="Calibri" w:eastAsia="Calibri" w:hAnsi="Calibri"/>
                <w:b w:val="false"/>
                <w:bCs w:val="false"/>
                <w:sz w:val="21"/>
                <w:szCs w:val="21"/>
              </w:rPr>
              <w:t xml:space="preserve">SCHEDULING</w:t>
            </w:r>
          </w:p>
        </w:tc>
        <w:tc>
          <w:tcPr>
            <w:tcW w:type="dxa" w:w="6400"/>
            <w:tcMar>
              <w:top w:type="dxa" w:w="80"/>
              <w:left w:type="dxa" w:w="120"/>
              <w:bottom w:type="dxa" w:w="80"/>
              <w:right w:type="dxa" w:w="120"/>
            </w:tcMar>
          </w:tcPr>
          <w:p>
            <w:r>
              <w:rPr>
                <w:rFonts w:ascii="Calibri" w:cs="Calibri" w:eastAsia="Calibri" w:hAnsi="Calibri"/>
                <w:b w:val="false"/>
                <w:bCs w:val="false"/>
                <w:sz w:val="21"/>
                <w:szCs w:val="21"/>
              </w:rPr>
              <w:t xml:space="preserve">Citas, disponibilidad y bloqueos de agenda</w:t>
            </w:r>
          </w:p>
        </w:tc>
      </w:tr>
      <w:tr>
        <w:tc>
          <w:tcPr>
            <w:tcW w:type="dxa" w:w="2600"/>
            <w:tcMar>
              <w:top w:type="dxa" w:w="80"/>
              <w:left w:type="dxa" w:w="120"/>
              <w:bottom w:type="dxa" w:w="80"/>
              <w:right w:type="dxa" w:w="120"/>
            </w:tcMar>
          </w:tcPr>
          <w:p>
            <w:r>
              <w:rPr>
                <w:rFonts w:ascii="Calibri" w:cs="Calibri" w:eastAsia="Calibri" w:hAnsi="Calibri"/>
                <w:b w:val="false"/>
                <w:bCs w:val="false"/>
                <w:sz w:val="21"/>
                <w:szCs w:val="21"/>
              </w:rPr>
              <w:t xml:space="preserve">BILLING</w:t>
            </w:r>
          </w:p>
        </w:tc>
        <w:tc>
          <w:tcPr>
            <w:tcW w:type="dxa" w:w="6400"/>
            <w:tcMar>
              <w:top w:type="dxa" w:w="80"/>
              <w:left w:type="dxa" w:w="120"/>
              <w:bottom w:type="dxa" w:w="80"/>
              <w:right w:type="dxa" w:w="120"/>
            </w:tcMar>
          </w:tcPr>
          <w:p>
            <w:r>
              <w:rPr>
                <w:rFonts w:ascii="Calibri" w:cs="Calibri" w:eastAsia="Calibri" w:hAnsi="Calibri"/>
                <w:b w:val="false"/>
                <w:bCs w:val="false"/>
                <w:sz w:val="21"/>
                <w:szCs w:val="21"/>
              </w:rPr>
              <w:t xml:space="preserve">Emisión y anulación de comprobantes</w:t>
            </w:r>
          </w:p>
        </w:tc>
      </w:tr>
      <w:tr>
        <w:tc>
          <w:tcPr>
            <w:tcW w:type="dxa" w:w="2600"/>
            <w:tcMar>
              <w:top w:type="dxa" w:w="80"/>
              <w:left w:type="dxa" w:w="120"/>
              <w:bottom w:type="dxa" w:w="80"/>
              <w:right w:type="dxa" w:w="120"/>
            </w:tcMar>
          </w:tcPr>
          <w:p>
            <w:r>
              <w:rPr>
                <w:rFonts w:ascii="Calibri" w:cs="Calibri" w:eastAsia="Calibri" w:hAnsi="Calibri"/>
                <w:b w:val="false"/>
                <w:bCs w:val="false"/>
                <w:sz w:val="21"/>
                <w:szCs w:val="21"/>
              </w:rPr>
              <w:t xml:space="preserve">CONFIGURATION</w:t>
            </w:r>
          </w:p>
        </w:tc>
        <w:tc>
          <w:tcPr>
            <w:tcW w:type="dxa" w:w="6400"/>
            <w:tcMar>
              <w:top w:type="dxa" w:w="80"/>
              <w:left w:type="dxa" w:w="120"/>
              <w:bottom w:type="dxa" w:w="80"/>
              <w:right w:type="dxa" w:w="120"/>
            </w:tcMar>
          </w:tcPr>
          <w:p>
            <w:r>
              <w:rPr>
                <w:rFonts w:ascii="Calibri" w:cs="Calibri" w:eastAsia="Calibri" w:hAnsi="Calibri"/>
                <w:b w:val="false"/>
                <w:bCs w:val="false"/>
                <w:sz w:val="21"/>
                <w:szCs w:val="21"/>
              </w:rPr>
              <w:t xml:space="preserve">Cambios de organización, sucursal, plan, catálogos y claves de cifrado</w:t>
            </w:r>
          </w:p>
        </w:tc>
      </w:tr>
      <w:tr>
        <w:tc>
          <w:tcPr>
            <w:tcW w:type="dxa" w:w="2600"/>
            <w:tcMar>
              <w:top w:type="dxa" w:w="80"/>
              <w:left w:type="dxa" w:w="120"/>
              <w:bottom w:type="dxa" w:w="80"/>
              <w:right w:type="dxa" w:w="120"/>
            </w:tcMar>
          </w:tcPr>
          <w:p>
            <w:r>
              <w:rPr>
                <w:rFonts w:ascii="Calibri" w:cs="Calibri" w:eastAsia="Calibri" w:hAnsi="Calibri"/>
                <w:b w:val="false"/>
                <w:bCs w:val="false"/>
                <w:sz w:val="21"/>
                <w:szCs w:val="21"/>
              </w:rPr>
              <w:t xml:space="preserve">SECURITY</w:t>
            </w:r>
          </w:p>
        </w:tc>
        <w:tc>
          <w:tcPr>
            <w:tcW w:type="dxa" w:w="6400"/>
            <w:tcMar>
              <w:top w:type="dxa" w:w="80"/>
              <w:left w:type="dxa" w:w="120"/>
              <w:bottom w:type="dxa" w:w="80"/>
              <w:right w:type="dxa" w:w="120"/>
            </w:tcMar>
          </w:tcPr>
          <w:p>
            <w:r>
              <w:rPr>
                <w:rFonts w:ascii="Calibri" w:cs="Calibri" w:eastAsia="Calibri" w:hAnsi="Calibri"/>
                <w:b w:val="false"/>
                <w:bCs w:val="false"/>
                <w:sz w:val="21"/>
                <w:szCs w:val="21"/>
              </w:rPr>
              <w:t xml:space="preserve">Señales de seguridad: exportación masiva, acceso fuera de horario, uso anómalo</w:t>
            </w:r>
          </w:p>
        </w:tc>
      </w:tr>
      <w:tr>
        <w:tc>
          <w:tcPr>
            <w:tcW w:type="dxa" w:w="2600"/>
            <w:tcMar>
              <w:top w:type="dxa" w:w="80"/>
              <w:left w:type="dxa" w:w="120"/>
              <w:bottom w:type="dxa" w:w="80"/>
              <w:right w:type="dxa" w:w="120"/>
            </w:tcMar>
          </w:tcPr>
          <w:p>
            <w:r>
              <w:rPr>
                <w:rFonts w:ascii="Calibri" w:cs="Calibri" w:eastAsia="Calibri" w:hAnsi="Calibri"/>
                <w:b w:val="false"/>
                <w:bCs w:val="false"/>
                <w:sz w:val="21"/>
                <w:szCs w:val="21"/>
              </w:rPr>
              <w:t xml:space="preserve">SYSTEM</w:t>
            </w:r>
          </w:p>
        </w:tc>
        <w:tc>
          <w:tcPr>
            <w:tcW w:type="dxa" w:w="6400"/>
            <w:tcMar>
              <w:top w:type="dxa" w:w="80"/>
              <w:left w:type="dxa" w:w="120"/>
              <w:bottom w:type="dxa" w:w="80"/>
              <w:right w:type="dxa" w:w="120"/>
            </w:tcMar>
          </w:tcPr>
          <w:p>
            <w:r>
              <w:rPr>
                <w:rFonts w:ascii="Calibri" w:cs="Calibri" w:eastAsia="Calibri" w:hAnsi="Calibri"/>
                <w:b w:val="false"/>
                <w:bCs w:val="false"/>
                <w:sz w:val="21"/>
                <w:szCs w:val="21"/>
              </w:rPr>
              <w:t xml:space="preserve">Actividad propia de la plataforma que no origina una persona</w:t>
            </w:r>
          </w:p>
        </w:tc>
      </w:tr>
    </w:tbl>
    <w:p>
      <w:pPr>
        <w:spacing w:after="160"/>
      </w:pPr>
    </w:p>
    <w:p>
      <w:pPr>
        <w:spacing w:after="160"/>
      </w:pPr>
      <w:r>
        <w:rPr>
          <w:rFonts w:ascii="Calibri" w:cs="Calibri" w:eastAsia="Calibri" w:hAnsi="Calibri"/>
          <w:sz w:val="22"/>
          <w:szCs w:val="22"/>
        </w:rPr>
        <w:t xml:space="preserve">Acciones concretas ya implementadas en ms-identidad (catálogo </w:t>
      </w:r>
      <w:r>
        <w:rPr>
          <w:rFonts w:ascii="Consolas" w:cs="Consolas" w:eastAsia="Consolas" w:hAnsi="Consolas"/>
          <w:sz w:val="20"/>
          <w:szCs w:val="20"/>
        </w:rPr>
        <w:t xml:space="preserve">action</w:t>
      </w:r>
      <w:r>
        <w:rPr>
          <w:rFonts w:ascii="Calibri" w:cs="Calibri" w:eastAsia="Calibri" w:hAnsi="Calibri"/>
          <w:sz w:val="22"/>
          <w:szCs w:val="22"/>
        </w:rPr>
        <w:t xml:space="preserve">), que sirven de ejemplo de referencia para el resto de servicios:</w:t>
      </w:r>
    </w:p>
    <w:p>
      <w:pPr>
        <w:pStyle w:val="ListParagraph"/>
        <w:numPr>
          <w:ilvl w:val="0"/>
          <w:numId w:val="2"/>
        </w:numPr>
        <w:spacing w:after="100"/>
      </w:pPr>
      <w:r>
        <w:rPr>
          <w:rFonts w:ascii="Calibri" w:cs="Calibri" w:eastAsia="Calibri" w:hAnsi="Calibri"/>
          <w:sz w:val="22"/>
          <w:szCs w:val="22"/>
        </w:rPr>
        <w:t xml:space="preserve">LOGIN_SUCCESS, LOGIN_FAILED, ACCOUNT_LOCKED, LOGOUT — autenticación (LOG-01).</w:t>
      </w:r>
    </w:p>
    <w:p>
      <w:pPr>
        <w:pStyle w:val="ListParagraph"/>
        <w:numPr>
          <w:ilvl w:val="0"/>
          <w:numId w:val="2"/>
        </w:numPr>
        <w:spacing w:after="100"/>
      </w:pPr>
      <w:r>
        <w:rPr>
          <w:rFonts w:ascii="Calibri" w:cs="Calibri" w:eastAsia="Calibri" w:hAnsi="Calibri"/>
          <w:sz w:val="22"/>
          <w:szCs w:val="22"/>
        </w:rPr>
        <w:t xml:space="preserve">USER_CREATED, USER_UPDATED, PASSWORD_CHANGED, ROLE_ASSIGNED, ROLE_REVOKED — administración de cuentas y roles (LOG-02).</w:t>
      </w:r>
    </w:p>
    <w:p>
      <w:pPr>
        <w:pStyle w:val="ListParagraph"/>
        <w:numPr>
          <w:ilvl w:val="0"/>
          <w:numId w:val="2"/>
        </w:numPr>
        <w:spacing w:after="100"/>
      </w:pPr>
      <w:r>
        <w:rPr>
          <w:rFonts w:ascii="Calibri" w:cs="Calibri" w:eastAsia="Calibri" w:hAnsi="Calibri"/>
          <w:sz w:val="22"/>
          <w:szCs w:val="22"/>
        </w:rPr>
        <w:t xml:space="preserve">ACCESS_DENIED — denegación detectada por el filtro de autorización.</w:t>
      </w:r>
    </w:p>
    <w:p>
      <w:pPr>
        <w:pStyle w:val="ListParagraph"/>
        <w:numPr>
          <w:ilvl w:val="0"/>
          <w:numId w:val="2"/>
        </w:numPr>
        <w:spacing w:after="100"/>
      </w:pPr>
      <w:r>
        <w:rPr>
          <w:rFonts w:ascii="Consolas" w:cs="Consolas" w:eastAsia="Consolas" w:hAnsi="Consolas"/>
          <w:sz w:val="20"/>
          <w:szCs w:val="20"/>
        </w:rPr>
        <w:t xml:space="preserve">USER_DISABLED</w:t>
      </w:r>
      <w:r>
        <w:rPr>
          <w:rFonts w:ascii="Calibri" w:cs="Calibri" w:eastAsia="Calibri" w:hAnsi="Calibri"/>
          <w:sz w:val="22"/>
          <w:szCs w:val="22"/>
        </w:rPr>
        <w:t xml:space="preserve"> — deshabilitación de cuenta (ms-identidad).</w:t>
      </w:r>
    </w:p>
    <w:p>
      <w:pPr>
        <w:pStyle w:val="ListParagraph"/>
        <w:numPr>
          <w:ilvl w:val="0"/>
          <w:numId w:val="2"/>
        </w:numPr>
        <w:spacing w:after="100"/>
      </w:pPr>
      <w:r>
        <w:rPr>
          <w:rFonts w:ascii="Consolas" w:cs="Consolas" w:eastAsia="Consolas" w:hAnsi="Consolas"/>
          <w:sz w:val="20"/>
          <w:szCs w:val="20"/>
        </w:rPr>
        <w:t xml:space="preserve">DOCUMENT_INTEGRITY_MISMATCH</w:t>
      </w:r>
      <w:r>
        <w:rPr>
          <w:rFonts w:ascii="Calibri" w:cs="Calibri" w:eastAsia="Calibri" w:hAnsi="Calibri"/>
          <w:sz w:val="22"/>
          <w:szCs w:val="22"/>
        </w:rPr>
        <w:t xml:space="preserve"> — categoría DOCUMENT, severidad CRITICAL, desenlace FAILURE: ms-documental lo emite cuando el SHA-256 recalculado de un documento no coincide con el registrado al subirlo (PR-05). Su metadata contiene únicamente los dos hashes (</w:t>
      </w:r>
      <w:r>
        <w:rPr>
          <w:rFonts w:ascii="Consolas" w:cs="Consolas" w:eastAsia="Consolas" w:hAnsi="Consolas"/>
          <w:sz w:val="20"/>
          <w:szCs w:val="20"/>
        </w:rPr>
        <w:t xml:space="preserve">expectedSha256</w:t>
      </w:r>
      <w:r>
        <w:rPr>
          <w:rFonts w:ascii="Calibri" w:cs="Calibri" w:eastAsia="Calibri" w:hAnsi="Calibri"/>
          <w:sz w:val="22"/>
          <w:szCs w:val="22"/>
        </w:rPr>
        <w:t xml:space="preserve">, </w:t>
      </w:r>
      <w:r>
        <w:rPr>
          <w:rFonts w:ascii="Consolas" w:cs="Consolas" w:eastAsia="Consolas" w:hAnsi="Consolas"/>
          <w:sz w:val="20"/>
          <w:szCs w:val="20"/>
        </w:rPr>
        <w:t xml:space="preserve">actualSha256</w:t>
      </w:r>
      <w:r>
        <w:rPr>
          <w:rFonts w:ascii="Calibri" w:cs="Calibri" w:eastAsia="Calibri" w:hAnsi="Calibri"/>
          <w:sz w:val="22"/>
          <w:szCs w:val="22"/>
        </w:rPr>
        <w:t xml:space="preserve">), nunca el contenido del documento.</w:t>
      </w:r>
    </w:p>
    <w:p>
      <w:pPr>
        <w:spacing w:after="160"/>
      </w:pPr>
      <w:r>
        <w:rPr>
          <w:rFonts w:ascii="Calibri" w:cs="Calibri" w:eastAsia="Calibri" w:hAnsi="Calibri"/>
          <w:b w:val="false"/>
          <w:bCs w:val="false"/>
          <w:i w:val="false"/>
          <w:iCs w:val="false"/>
          <w:sz w:val="22"/>
          <w:szCs w:val="22"/>
        </w:rPr>
        <w:t xml:space="preserve">Cada evento registra, como mínimo: acción, categoría, severidad, desenlace (SUCCESS/DENIED/FAILURE), actor (usuario, rol), recurso afectado, organización, código de respuesta HTTP, motivo y metadatos de negocio adicionales.</w:t>
      </w:r>
    </w:p>
    <w:p>
      <w:pPr>
        <w:pStyle w:val="Heading1"/>
        <w:spacing w:after="160" w:before="360"/>
      </w:pPr>
      <w:r>
        <w:rPr>
          <w:rFonts w:ascii="Calibri" w:cs="Calibri" w:eastAsia="Calibri" w:hAnsi="Calibri"/>
          <w:b/>
          <w:bCs/>
          <w:color w:val="1F3864"/>
          <w:sz w:val="28"/>
          <w:szCs w:val="28"/>
        </w:rPr>
        <w:t xml:space="preserve">3. Qué datos NUNCA se registran</w:t>
      </w:r>
    </w:p>
    <w:p>
      <w:pPr>
        <w:spacing w:after="160"/>
      </w:pPr>
      <w:r>
        <w:rPr>
          <w:rFonts w:ascii="Calibri" w:cs="Calibri" w:eastAsia="Calibri" w:hAnsi="Calibri"/>
          <w:b w:val="false"/>
          <w:bCs w:val="false"/>
          <w:i w:val="false"/>
          <w:iCs w:val="false"/>
          <w:sz w:val="22"/>
          <w:szCs w:val="22"/>
        </w:rPr>
        <w:t xml:space="preserve">Por regla explícita de diseño, ningún log de aplicación ni ningún evento de auditoría puede contener:</w:t>
      </w:r>
    </w:p>
    <w:p>
      <w:pPr>
        <w:pStyle w:val="ListParagraph"/>
        <w:numPr>
          <w:ilvl w:val="0"/>
          <w:numId w:val="2"/>
        </w:numPr>
        <w:spacing w:after="100"/>
      </w:pPr>
      <w:r>
        <w:rPr>
          <w:rFonts w:ascii="Calibri" w:cs="Calibri" w:eastAsia="Calibri" w:hAnsi="Calibri"/>
          <w:sz w:val="22"/>
          <w:szCs w:val="22"/>
        </w:rPr>
        <w:t xml:space="preserve">Contraseñas, en ningún formato (ni siquiera parcial u ofuscado).</w:t>
      </w:r>
    </w:p>
    <w:p>
      <w:pPr>
        <w:pStyle w:val="ListParagraph"/>
        <w:numPr>
          <w:ilvl w:val="0"/>
          <w:numId w:val="2"/>
        </w:numPr>
        <w:spacing w:after="100"/>
      </w:pPr>
      <w:r>
        <w:rPr>
          <w:rFonts w:ascii="Calibri" w:cs="Calibri" w:eastAsia="Calibri" w:hAnsi="Calibri"/>
          <w:sz w:val="22"/>
          <w:szCs w:val="22"/>
        </w:rPr>
        <w:t xml:space="preserve">Tokens de sesión, JWT u OTP.</w:t>
      </w:r>
    </w:p>
    <w:p>
      <w:pPr>
        <w:pStyle w:val="ListParagraph"/>
        <w:numPr>
          <w:ilvl w:val="0"/>
          <w:numId w:val="2"/>
        </w:numPr>
        <w:spacing w:after="100"/>
      </w:pPr>
      <w:r>
        <w:rPr>
          <w:rFonts w:ascii="Calibri" w:cs="Calibri" w:eastAsia="Calibri" w:hAnsi="Calibri"/>
          <w:sz w:val="22"/>
          <w:szCs w:val="22"/>
        </w:rPr>
        <w:t xml:space="preserve">Contenido clínico (diagnósticos, notas médicas, resultados de estudios): la bitácora registra qué ocurrió, sobre qué recurso y quién lo hizo, nunca el contenido clínico en sí.</w:t>
      </w:r>
    </w:p>
    <w:p>
      <w:pPr>
        <w:spacing w:after="160"/>
      </w:pPr>
      <w:r>
        <w:rPr>
          <w:rFonts w:ascii="Calibri" w:cs="Calibri" w:eastAsia="Calibri" w:hAnsi="Calibri"/>
          <w:sz w:val="22"/>
          <w:szCs w:val="22"/>
        </w:rPr>
        <w:t xml:space="preserve">Esta restricción está codificada como comentario obligatorio en la cabecera de </w:t>
      </w:r>
      <w:r>
        <w:rPr>
          <w:rFonts w:ascii="Consolas" w:cs="Consolas" w:eastAsia="Consolas" w:hAnsi="Consolas"/>
          <w:sz w:val="20"/>
          <w:szCs w:val="20"/>
        </w:rPr>
        <w:t xml:space="preserve">logback-spring.xml</w:t>
      </w:r>
      <w:r>
        <w:rPr>
          <w:rFonts w:ascii="Calibri" w:cs="Calibri" w:eastAsia="Calibri" w:hAnsi="Calibri"/>
          <w:sz w:val="22"/>
          <w:szCs w:val="22"/>
        </w:rPr>
        <w:t xml:space="preserve"> de cada servicio (</w:t>
      </w:r>
      <w:r>
        <w:rPr>
          <w:rFonts w:ascii="Calibri" w:cs="Calibri" w:eastAsia="Calibri" w:hAnsi="Calibri"/>
          <w:b/>
          <w:bCs/>
          <w:sz w:val="22"/>
          <w:szCs w:val="22"/>
        </w:rPr>
        <w:t xml:space="preserve">"Nunca se registra una contraseña, un token/JWT ni un dato clínico"</w:t>
      </w:r>
      <w:r>
        <w:rPr>
          <w:rFonts w:ascii="Calibri" w:cs="Calibri" w:eastAsia="Calibri" w:hAnsi="Calibri"/>
          <w:sz w:val="22"/>
          <w:szCs w:val="22"/>
        </w:rPr>
        <w:t xml:space="preserve">) y en el campo </w:t>
      </w:r>
      <w:r>
        <w:rPr>
          <w:rFonts w:ascii="Consolas" w:cs="Consolas" w:eastAsia="Consolas" w:hAnsi="Consolas"/>
          <w:sz w:val="20"/>
          <w:szCs w:val="20"/>
        </w:rPr>
        <w:t xml:space="preserve">metadata</w:t>
      </w:r>
      <w:r>
        <w:rPr>
          <w:rFonts w:ascii="Calibri" w:cs="Calibri" w:eastAsia="Calibri" w:hAnsi="Calibri"/>
          <w:sz w:val="22"/>
          <w:szCs w:val="22"/>
        </w:rPr>
        <w:t xml:space="preserve"> de </w:t>
      </w:r>
      <w:r>
        <w:rPr>
          <w:rFonts w:ascii="Consolas" w:cs="Consolas" w:eastAsia="Consolas" w:hAnsi="Consolas"/>
          <w:sz w:val="20"/>
          <w:szCs w:val="20"/>
        </w:rPr>
        <w:t xml:space="preserve">AuditEventDraft</w:t>
      </w:r>
      <w:r>
        <w:rPr>
          <w:rFonts w:ascii="Calibri" w:cs="Calibri" w:eastAsia="Calibri" w:hAnsi="Calibri"/>
          <w:sz w:val="22"/>
          <w:szCs w:val="22"/>
        </w:rPr>
        <w:t xml:space="preserve">, documentado como "contexto adicional; nunca contraseñas ni tokens".</w:t>
      </w:r>
    </w:p>
    <w:p>
      <w:pPr>
        <w:pStyle w:val="Heading1"/>
        <w:spacing w:after="160" w:before="360"/>
      </w:pPr>
      <w:r>
        <w:rPr>
          <w:rFonts w:ascii="Calibri" w:cs="Calibri" w:eastAsia="Calibri" w:hAnsi="Calibri"/>
          <w:b/>
          <w:bCs/>
          <w:color w:val="1F3864"/>
          <w:sz w:val="28"/>
          <w:szCs w:val="28"/>
        </w:rPr>
        <w:t xml:space="preserve">4. Integridad de la bitácora</w:t>
      </w:r>
    </w:p>
    <w:p>
      <w:pPr>
        <w:spacing w:after="160"/>
      </w:pPr>
      <w:r>
        <w:rPr>
          <w:rFonts w:ascii="Calibri" w:cs="Calibri" w:eastAsia="Calibri" w:hAnsi="Calibri"/>
          <w:b w:val="false"/>
          <w:bCs w:val="false"/>
          <w:i w:val="false"/>
          <w:iCs w:val="false"/>
          <w:sz w:val="22"/>
          <w:szCs w:val="22"/>
        </w:rPr>
        <w:t xml:space="preserve">La tabla audit_event es append-only (sin UPDATE ni DELETE) y cada asiento se encadena criptográficamente con el anterior: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val="clear"/>
            <w:tcMar>
              <w:top w:type="dxa" w:w="120"/>
              <w:left w:type="dxa" w:w="160"/>
              <w:bottom w:type="dxa" w:w="120"/>
              <w:right w:type="dxa" w:w="160"/>
            </w:tcMar>
          </w:tcPr>
          <w:p>
            <w:pPr>
              <w:spacing w:after="0"/>
            </w:pPr>
            <w:r>
              <w:rPr>
                <w:rFonts w:ascii="Consolas" w:cs="Consolas" w:eastAsia="Consolas" w:hAnsi="Consolas"/>
                <w:sz w:val="19"/>
                <w:szCs w:val="19"/>
              </w:rPr>
              <w:t xml:space="preserve">recordHash[n] = SHA-256( previousHash[n] || campo_1 || ... || campo_25 )</w:t>
            </w:r>
          </w:p>
          <w:p>
            <w:pPr>
              <w:spacing w:after="0"/>
            </w:pPr>
            <w:r>
              <w:rPr>
                <w:rFonts w:ascii="Consolas" w:cs="Consolas" w:eastAsia="Consolas" w:hAnsi="Consolas"/>
                <w:sz w:val="19"/>
                <w:szCs w:val="19"/>
              </w:rPr>
              <w:t xml:space="preserve">previousHash[n] = recordHash[n-1]   (por organización, con numeración secuencial)</w:t>
            </w:r>
          </w:p>
        </w:tc>
      </w:tr>
    </w:tbl>
    <w:p>
      <w:pPr>
        <w:spacing w:after="160"/>
      </w:pPr>
      <w:r>
        <w:rPr>
          <w:rFonts w:ascii="Calibri" w:cs="Calibri" w:eastAsia="Calibri" w:hAnsi="Calibri"/>
          <w:b w:val="false"/>
          <w:bCs w:val="false"/>
          <w:i w:val="false"/>
          <w:iCs w:val="false"/>
          <w:sz w:val="22"/>
          <w:szCs w:val="22"/>
        </w:rPr>
        <w:t xml:space="preserve">La representación canónica usa un separador de campo que no puede aparecer en el contenido (Unit Separator, 0x1F), distingue valores nulos de cadena vacía y expresa las fechas en microsegundos desde epoch, para que el cálculo sea reproducible byte a byte entre el momento de escritura y el de verificación.</w:t>
      </w:r>
    </w:p>
    <w:p>
      <w:pPr>
        <w:spacing w:after="160"/>
      </w:pPr>
      <w:r>
        <w:rPr>
          <w:rFonts w:ascii="Calibri" w:cs="Calibri" w:eastAsia="Calibri" w:hAnsi="Calibri"/>
          <w:b w:val="false"/>
          <w:bCs w:val="false"/>
          <w:i w:val="false"/>
          <w:iCs w:val="false"/>
          <w:sz w:val="22"/>
          <w:szCs w:val="22"/>
        </w:rPr>
        <w:t xml:space="preserve">Modificar un evento ya escrito, reordenarlo o borrarlo deja de reproducir el hash de todos los eventos posteriores, por lo que la manipulación queda expuesta sin necesidad de una copia externa de la bitácora. El procedimiento de verificación de esta cadena se detalla en PR-06.</w:t>
      </w:r>
    </w:p>
    <w:p>
      <w:pPr>
        <w:pStyle w:val="Heading2"/>
        <w:spacing w:after="120" w:before="240"/>
      </w:pPr>
      <w:r>
        <w:rPr>
          <w:rFonts w:ascii="Calibri" w:cs="Calibri" w:eastAsia="Calibri" w:hAnsi="Calibri"/>
          <w:b/>
          <w:bCs/>
          <w:color w:val="2F5496"/>
          <w:sz w:val="24"/>
          <w:szCs w:val="24"/>
        </w:rPr>
        <w:t xml:space="preserve">4.1 Alcance y límites de la garantía</w:t>
      </w:r>
    </w:p>
    <w:p>
      <w:pPr>
        <w:pStyle w:val="ListParagraph"/>
        <w:numPr>
          <w:ilvl w:val="0"/>
          <w:numId w:val="2"/>
        </w:numPr>
        <w:spacing w:after="100"/>
      </w:pPr>
      <w:r>
        <w:rPr>
          <w:rFonts w:ascii="Calibri" w:cs="Calibri" w:eastAsia="Calibri" w:hAnsi="Calibri"/>
          <w:sz w:val="22"/>
          <w:szCs w:val="22"/>
        </w:rPr>
        <w:t xml:space="preserve">La cadena detecta ediciones, reordenamientos y borrados dentro del tramo verificado; GET /api/v1/audit/integrity recalcula por defecto los últimos 500 eventos de la organización (máximo 5000), no toda la historia en cada llamada.</w:t>
      </w:r>
    </w:p>
    <w:p>
      <w:pPr>
        <w:pStyle w:val="ListParagraph"/>
        <w:numPr>
          <w:ilvl w:val="0"/>
          <w:numId w:val="2"/>
        </w:numPr>
        <w:spacing w:after="100"/>
      </w:pPr>
      <w:r>
        <w:rPr>
          <w:rFonts w:ascii="Calibri" w:cs="Calibri" w:eastAsia="Calibri" w:hAnsi="Calibri"/>
          <w:sz w:val="22"/>
          <w:szCs w:val="22"/>
        </w:rPr>
        <w:t xml:space="preserve">Es un SHA-256 sin clave (no un HMAC ni una firma): un atacante con permiso de escritura directa en la base de datos podría, en teoría, recalcular toda la cadena posterior. La mitigación vigente es la restricción de acceso a la base y que la tabla sea append-only a nivel de aplicación; anclar periódicamente el último recordHash fuera de la base queda como mejora, no implementada.</w:t>
      </w:r>
    </w:p>
    <w:p>
      <w:pPr>
        <w:pStyle w:val="ListParagraph"/>
        <w:numPr>
          <w:ilvl w:val="0"/>
          <w:numId w:val="2"/>
        </w:numPr>
        <w:spacing w:after="100"/>
      </w:pPr>
      <w:r>
        <w:rPr>
          <w:rFonts w:ascii="Calibri" w:cs="Calibri" w:eastAsia="Calibri" w:hAnsi="Calibri"/>
          <w:sz w:val="22"/>
          <w:szCs w:val="22"/>
        </w:rPr>
        <w:t xml:space="preserve">El envío de eventos desde los servicios emisores es de mejor esfuerzo en ms-documental (timeout 2 s/5 s, sin reintento; si falla se deja una advertencia en el log de aplicación). La ausencia de un evento no prueba que la acción no ocurrió; el log de aplicación del contenedor es el respaldo.</w:t>
      </w:r>
    </w:p>
    <w:p>
      <w:pPr>
        <w:pStyle w:val="Heading1"/>
        <w:spacing w:after="160" w:before="360"/>
      </w:pPr>
      <w:r>
        <w:rPr>
          <w:rFonts w:ascii="Calibri" w:cs="Calibri" w:eastAsia="Calibri" w:hAnsi="Calibri"/>
          <w:b/>
          <w:bCs/>
          <w:color w:val="1F3864"/>
          <w:sz w:val="28"/>
          <w:szCs w:val="28"/>
        </w:rPr>
        <w:t xml:space="preserve">5. Retención</w:t>
      </w:r>
    </w:p>
    <w:p>
      <w:pPr>
        <w:spacing w:after="160"/>
      </w:pPr>
      <w:r>
        <w:rPr>
          <w:rFonts w:ascii="Calibri" w:cs="Calibri" w:eastAsia="Calibri" w:hAnsi="Calibri"/>
          <w:sz w:val="22"/>
          <w:szCs w:val="22"/>
        </w:rPr>
        <w:t xml:space="preserve">La retención efectiva de los logs de aplicación (stdout de cada contenedor) se configura a nivel del driver de logging de Docker, mediante el ancla </w:t>
      </w:r>
      <w:r>
        <w:rPr>
          <w:rFonts w:ascii="Consolas" w:cs="Consolas" w:eastAsia="Consolas" w:hAnsi="Consolas"/>
          <w:sz w:val="20"/>
          <w:szCs w:val="20"/>
        </w:rPr>
        <w:t xml:space="preserve">x-logging</w:t>
      </w:r>
      <w:r>
        <w:rPr>
          <w:rFonts w:ascii="Calibri" w:cs="Calibri" w:eastAsia="Calibri" w:hAnsi="Calibri"/>
          <w:sz w:val="22"/>
          <w:szCs w:val="22"/>
        </w:rPr>
        <w:t xml:space="preserve"> de </w:t>
      </w:r>
      <w:r>
        <w:rPr>
          <w:rFonts w:ascii="Consolas" w:cs="Consolas" w:eastAsia="Consolas" w:hAnsi="Consolas"/>
          <w:sz w:val="20"/>
          <w:szCs w:val="20"/>
        </w:rPr>
        <w:t xml:space="preserve">compose.yaml</w:t>
      </w:r>
      <w:r>
        <w:rPr>
          <w:rFonts w:ascii="Calibri" w:cs="Calibri" w:eastAsia="Calibri" w:hAnsi="Calibri"/>
          <w:sz w:val="22"/>
          <w:szCs w:val="22"/>
        </w:rPr>
        <w:t xml:space="preserve">, aplicada a los ~20 servicios de la plataforma: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val="clear"/>
            <w:tcMar>
              <w:top w:type="dxa" w:w="120"/>
              <w:left w:type="dxa" w:w="160"/>
              <w:bottom w:type="dxa" w:w="120"/>
              <w:right w:type="dxa" w:w="160"/>
            </w:tcMar>
          </w:tcPr>
          <w:p>
            <w:pPr>
              <w:spacing w:after="0"/>
            </w:pPr>
            <w:r>
              <w:rPr>
                <w:rFonts w:ascii="Consolas" w:cs="Consolas" w:eastAsia="Consolas" w:hAnsi="Consolas"/>
                <w:sz w:val="19"/>
                <w:szCs w:val="19"/>
              </w:rPr>
              <w:t xml:space="preserve">x-logging: &amp;medicalsys-logging</w:t>
            </w:r>
          </w:p>
          <w:p>
            <w:pPr>
              <w:spacing w:after="0"/>
            </w:pPr>
            <w:r>
              <w:rPr>
                <w:rFonts w:ascii="Consolas" w:cs="Consolas" w:eastAsia="Consolas" w:hAnsi="Consolas"/>
                <w:sz w:val="19"/>
                <w:szCs w:val="19"/>
              </w:rPr>
              <w:t xml:space="preserve">  driver: local</w:t>
            </w:r>
          </w:p>
          <w:p>
            <w:pPr>
              <w:spacing w:after="0"/>
            </w:pPr>
            <w:r>
              <w:rPr>
                <w:rFonts w:ascii="Consolas" w:cs="Consolas" w:eastAsia="Consolas" w:hAnsi="Consolas"/>
                <w:sz w:val="19"/>
                <w:szCs w:val="19"/>
              </w:rPr>
              <w:t xml:space="preserve">  options:</w:t>
            </w:r>
          </w:p>
          <w:p>
            <w:pPr>
              <w:spacing w:after="0"/>
            </w:pPr>
            <w:r>
              <w:rPr>
                <w:rFonts w:ascii="Consolas" w:cs="Consolas" w:eastAsia="Consolas" w:hAnsi="Consolas"/>
                <w:sz w:val="19"/>
                <w:szCs w:val="19"/>
              </w:rPr>
              <w:t xml:space="preserve">    max-size: "10m"</w:t>
            </w:r>
          </w:p>
          <w:p>
            <w:pPr>
              <w:spacing w:after="0"/>
            </w:pPr>
            <w:r>
              <w:rPr>
                <w:rFonts w:ascii="Consolas" w:cs="Consolas" w:eastAsia="Consolas" w:hAnsi="Consolas"/>
                <w:sz w:val="19"/>
                <w:szCs w:val="19"/>
              </w:rPr>
              <w:t xml:space="preserve">    max-file: "3"</w:t>
            </w:r>
          </w:p>
        </w:tc>
      </w:tr>
    </w:tbl>
    <w:p>
      <w:pPr>
        <w:spacing w:after="160"/>
      </w:pPr>
      <w:r>
        <w:rPr>
          <w:rFonts w:ascii="Calibri" w:cs="Calibri" w:eastAsia="Calibri" w:hAnsi="Calibri"/>
          <w:sz w:val="22"/>
          <w:szCs w:val="22"/>
        </w:rPr>
        <w:t xml:space="preserve">Esto da un tope de 10 MB por archivo de log y un máximo de 3 archivos rotados por contenedor (~30 MB por servicio). Los </w:t>
      </w:r>
      <w:r>
        <w:rPr>
          <w:rFonts w:ascii="Consolas" w:cs="Consolas" w:eastAsia="Consolas" w:hAnsi="Consolas"/>
          <w:sz w:val="20"/>
          <w:szCs w:val="20"/>
        </w:rPr>
        <w:t xml:space="preserve">logback-spring.xml</w:t>
      </w:r>
      <w:r>
        <w:rPr>
          <w:rFonts w:ascii="Calibri" w:cs="Calibri" w:eastAsia="Calibri" w:hAnsi="Calibri"/>
          <w:sz w:val="22"/>
          <w:szCs w:val="22"/>
        </w:rPr>
        <w:t xml:space="preserve"> de cada microservicio escriben únicamente a consola (sin </w:t>
      </w:r>
      <w:r>
        <w:rPr>
          <w:rFonts w:ascii="Consolas" w:cs="Consolas" w:eastAsia="Consolas" w:hAnsi="Consolas"/>
          <w:sz w:val="20"/>
          <w:szCs w:val="20"/>
        </w:rPr>
        <w:t xml:space="preserve">RollingFileAppender</w:t>
      </w:r>
      <w:r>
        <w:rPr>
          <w:rFonts w:ascii="Calibri" w:cs="Calibri" w:eastAsia="Calibri" w:hAnsi="Calibri"/>
          <w:sz w:val="22"/>
          <w:szCs w:val="22"/>
        </w:rPr>
        <w:t xml:space="preserve"> propio): la retención y rotación real recae en el driver de contenedor, no en la configuración de logback. La bitácora de auditoría de negocio (tabla </w:t>
      </w:r>
      <w:r>
        <w:rPr>
          <w:rFonts w:ascii="Consolas" w:cs="Consolas" w:eastAsia="Consolas" w:hAnsi="Consolas"/>
          <w:sz w:val="20"/>
          <w:szCs w:val="20"/>
        </w:rPr>
        <w:t xml:space="preserve">audit_event</w:t>
      </w:r>
      <w:r>
        <w:rPr>
          <w:rFonts w:ascii="Calibri" w:cs="Calibri" w:eastAsia="Calibri" w:hAnsi="Calibri"/>
          <w:sz w:val="22"/>
          <w:szCs w:val="22"/>
        </w:rPr>
        <w:t xml:space="preserve">) no está sujeta a esta rotación: es un registro en base de datos, de retención indefinida salvo política de archivado que se defina aparte.</w:t>
      </w:r>
    </w:p>
    <w:p>
      <w:pPr>
        <w:pStyle w:val="Heading1"/>
        <w:spacing w:after="160" w:before="360"/>
      </w:pPr>
      <w:r>
        <w:rPr>
          <w:rFonts w:ascii="Calibri" w:cs="Calibri" w:eastAsia="Calibri" w:hAnsi="Calibri"/>
          <w:b/>
          <w:bCs/>
          <w:color w:val="1F3864"/>
          <w:sz w:val="28"/>
          <w:szCs w:val="28"/>
        </w:rPr>
        <w:t xml:space="preserve">6. Acceso a los logs</w:t>
      </w:r>
    </w:p>
    <w:p>
      <w:pPr>
        <w:spacing w:after="160"/>
      </w:pPr>
      <w:r>
        <w:rPr>
          <w:rFonts w:ascii="Calibri" w:cs="Calibri" w:eastAsia="Calibri" w:hAnsi="Calibri"/>
          <w:sz w:val="22"/>
          <w:szCs w:val="22"/>
        </w:rPr>
        <w:t xml:space="preserve">El acceso de lectura a la bitácora de auditoría (</w:t>
      </w:r>
      <w:r>
        <w:rPr>
          <w:rFonts w:ascii="Consolas" w:cs="Consolas" w:eastAsia="Consolas" w:hAnsi="Consolas"/>
          <w:sz w:val="20"/>
          <w:szCs w:val="20"/>
        </w:rPr>
        <w:t xml:space="preserve">GET /api/v1/audit/events</w:t>
      </w:r>
      <w:r>
        <w:rPr>
          <w:rFonts w:ascii="Calibri" w:cs="Calibri" w:eastAsia="Calibri" w:hAnsi="Calibri"/>
          <w:sz w:val="22"/>
          <w:szCs w:val="22"/>
        </w:rPr>
        <w:t xml:space="preserve">, </w:t>
      </w:r>
      <w:r>
        <w:rPr>
          <w:rFonts w:ascii="Consolas" w:cs="Consolas" w:eastAsia="Consolas" w:hAnsi="Consolas"/>
          <w:sz w:val="20"/>
          <w:szCs w:val="20"/>
        </w:rPr>
        <w:t xml:space="preserve">/summary</w:t>
      </w:r>
      <w:r>
        <w:rPr>
          <w:rFonts w:ascii="Calibri" w:cs="Calibri" w:eastAsia="Calibri" w:hAnsi="Calibri"/>
          <w:sz w:val="22"/>
          <w:szCs w:val="22"/>
        </w:rPr>
        <w:t xml:space="preserve">, </w:t>
      </w:r>
      <w:r>
        <w:rPr>
          <w:rFonts w:ascii="Consolas" w:cs="Consolas" w:eastAsia="Consolas" w:hAnsi="Consolas"/>
          <w:sz w:val="20"/>
          <w:szCs w:val="20"/>
        </w:rPr>
        <w:t xml:space="preserve">/integrity</w:t>
      </w:r>
      <w:r>
        <w:rPr>
          <w:rFonts w:ascii="Calibri" w:cs="Calibri" w:eastAsia="Calibri" w:hAnsi="Calibri"/>
          <w:sz w:val="22"/>
          <w:szCs w:val="22"/>
        </w:rPr>
        <w:t xml:space="preserve"> y la exportación CSV) está restringido por rol a </w:t>
      </w:r>
      <w:r>
        <w:rPr>
          <w:rFonts w:ascii="Calibri" w:cs="Calibri" w:eastAsia="Calibri" w:hAnsi="Calibri"/>
          <w:b/>
          <w:bCs/>
          <w:sz w:val="22"/>
          <w:szCs w:val="22"/>
        </w:rPr>
        <w:t xml:space="preserve">ADMINISTRATOR</w:t>
      </w:r>
      <w:r>
        <w:rPr>
          <w:rFonts w:ascii="Calibri" w:cs="Calibri" w:eastAsia="Calibri" w:hAnsi="Calibri"/>
          <w:sz w:val="22"/>
          <w:szCs w:val="22"/>
        </w:rPr>
        <w:t xml:space="preserve"> y </w:t>
      </w:r>
      <w:r>
        <w:rPr>
          <w:rFonts w:ascii="Calibri" w:cs="Calibri" w:eastAsia="Calibri" w:hAnsi="Calibri"/>
          <w:b/>
          <w:bCs/>
          <w:sz w:val="22"/>
          <w:szCs w:val="22"/>
        </w:rPr>
        <w:t xml:space="preserve">PLATFORM_ADMIN</w:t>
      </w:r>
      <w:r>
        <w:rPr>
          <w:rFonts w:ascii="Calibri" w:cs="Calibri" w:eastAsia="Calibri" w:hAnsi="Calibri"/>
          <w:sz w:val="22"/>
          <w:szCs w:val="22"/>
        </w:rPr>
        <w:t xml:space="preserve"> exclusivamente. Un médico o una recepcionista no tienen ninguna ruta para ver quién más accedió a un expediente.</w:t>
      </w:r>
    </w:p>
    <w:p>
      <w:pPr>
        <w:pStyle w:val="ListParagraph"/>
        <w:numPr>
          <w:ilvl w:val="0"/>
          <w:numId w:val="2"/>
        </w:numPr>
        <w:spacing w:after="100"/>
      </w:pPr>
      <w:r>
        <w:rPr>
          <w:rFonts w:ascii="Calibri" w:cs="Calibri" w:eastAsia="Calibri" w:hAnsi="Calibri"/>
          <w:sz w:val="22"/>
          <w:szCs w:val="22"/>
        </w:rPr>
        <w:t xml:space="preserve">El servicio ms-auditoria no expone ninguna ruta pública de escritura ni de borrado; solo otros microservicios, a través de una ruta interna, pueden registrar eventos nuevos.</w:t>
      </w:r>
    </w:p>
    <w:p>
      <w:pPr>
        <w:pStyle w:val="ListParagraph"/>
        <w:numPr>
          <w:ilvl w:val="0"/>
          <w:numId w:val="2"/>
        </w:numPr>
        <w:spacing w:after="100"/>
      </w:pPr>
      <w:r>
        <w:rPr>
          <w:rFonts w:ascii="Calibri" w:cs="Calibri" w:eastAsia="Calibri" w:hAnsi="Calibri"/>
          <w:sz w:val="22"/>
          <w:szCs w:val="22"/>
        </w:rPr>
        <w:t xml:space="preserve">La ruta interna de escritura </w:t>
      </w:r>
      <w:r>
        <w:rPr>
          <w:rFonts w:ascii="Consolas" w:cs="Consolas" w:eastAsia="Consolas" w:hAnsi="Consolas"/>
          <w:sz w:val="20"/>
          <w:szCs w:val="20"/>
        </w:rPr>
        <w:t xml:space="preserve">/internal/v1/audit-events</w:t>
      </w:r>
      <w:r>
        <w:rPr>
          <w:rFonts w:ascii="Calibri" w:cs="Calibri" w:eastAsia="Calibri" w:hAnsi="Calibri"/>
          <w:sz w:val="22"/>
          <w:szCs w:val="22"/>
        </w:rPr>
        <w:t xml:space="preserve"> no está publicada en ms-gateway: el gateway solo enruta </w:t>
      </w:r>
      <w:r>
        <w:rPr>
          <w:rFonts w:ascii="Consolas" w:cs="Consolas" w:eastAsia="Consolas" w:hAnsi="Consolas"/>
          <w:sz w:val="20"/>
          <w:szCs w:val="20"/>
        </w:rPr>
        <w:t xml:space="preserve">/api/v1/audit/**</w:t>
      </w:r>
      <w:r>
        <w:rPr>
          <w:rFonts w:ascii="Calibri" w:cs="Calibri" w:eastAsia="Calibri" w:hAnsi="Calibri"/>
          <w:sz w:val="22"/>
          <w:szCs w:val="22"/>
        </w:rPr>
        <w:t xml:space="preserve">. La bitácora se escribe entre servicios, nunca desde el navegador.</w:t>
      </w:r>
    </w:p>
    <w:p>
      <w:pPr>
        <w:pStyle w:val="ListParagraph"/>
        <w:numPr>
          <w:ilvl w:val="0"/>
          <w:numId w:val="2"/>
        </w:numPr>
        <w:spacing w:after="100"/>
      </w:pPr>
      <w:r>
        <w:rPr>
          <w:rFonts w:ascii="Calibri" w:cs="Calibri" w:eastAsia="Calibri" w:hAnsi="Calibri"/>
          <w:sz w:val="22"/>
          <w:szCs w:val="22"/>
        </w:rPr>
        <w:t xml:space="preserve">Los logs de consola de cada contenedor (stdout) son accesibles solo a quien tiene acceso de operación a la infraestructura (docker logs), no a través de ninguna API de negocio.</w:t>
      </w:r>
    </w:p>
    <w:p>
      <w:pPr>
        <w:pStyle w:val="Heading1"/>
        <w:spacing w:after="160" w:before="360"/>
      </w:pPr>
      <w:r>
        <w:rPr>
          <w:rFonts w:ascii="Calibri" w:cs="Calibri" w:eastAsia="Calibri" w:hAnsi="Calibri"/>
          <w:b/>
          <w:bCs/>
          <w:color w:val="1F3864"/>
          <w:sz w:val="28"/>
          <w:szCs w:val="28"/>
        </w:rPr>
        <w:t xml:space="preserve">7. Revisión periódica</w:t>
      </w:r>
    </w:p>
    <w:p>
      <w:pPr>
        <w:spacing w:after="160"/>
      </w:pPr>
      <w:r>
        <w:rPr>
          <w:rFonts w:ascii="Calibri" w:cs="Calibri" w:eastAsia="Calibri" w:hAnsi="Calibri"/>
          <w:b w:val="false"/>
          <w:bCs w:val="false"/>
          <w:i w:val="false"/>
          <w:iCs w:val="false"/>
          <w:sz w:val="22"/>
          <w:szCs w:val="22"/>
        </w:rPr>
        <w:t xml:space="preserve">La frecuencia, los filtros recomendados y los umbrales de escalamiento para la revisión de esta bitácora se definen en PR-06 (Procedimiento de revisión de logs y respuesta a eventos de seguridad), que es el documento operativo que ejecuta esta política.</w:t>
      </w:r>
    </w:p>
    <w:p>
      <w:pPr>
        <w:pStyle w:val="Heading1"/>
        <w:spacing w:after="160" w:before="360"/>
      </w:pPr>
      <w:r>
        <w:rPr>
          <w:rFonts w:ascii="Calibri" w:cs="Calibri" w:eastAsia="Calibri" w:hAnsi="Calibri"/>
          <w:b/>
          <w:bCs/>
          <w:color w:val="1F3864"/>
          <w:sz w:val="28"/>
          <w:szCs w:val="28"/>
        </w:rPr>
        <w:t xml:space="preserve">8. Roles y responsabilidades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D9E2F3" w:val="clear"/>
            <w:tcMar>
              <w:top w:type="dxa" w:w="80"/>
              <w:left w:type="dxa" w:w="120"/>
              <w:bottom w:type="dxa" w:w="80"/>
              <w:right w:type="dxa" w:w="120"/>
            </w:tcMar>
          </w:tcPr>
          <w:p>
            <w:r>
              <w:rPr>
                <w:rFonts w:ascii="Calibri" w:cs="Calibri" w:eastAsia="Calibri" w:hAnsi="Calibri"/>
                <w:b/>
                <w:bCs/>
                <w:sz w:val="21"/>
                <w:szCs w:val="21"/>
              </w:rPr>
              <w:t xml:space="preserve">Rol</w:t>
            </w:r>
          </w:p>
        </w:tc>
        <w:tc>
          <w:tcPr>
            <w:tcW w:type="dxa" w:w="6000"/>
            <w:shd w:fill="D9E2F3" w:val="clear"/>
            <w:tcMar>
              <w:top w:type="dxa" w:w="80"/>
              <w:left w:type="dxa" w:w="120"/>
              <w:bottom w:type="dxa" w:w="80"/>
              <w:right w:type="dxa" w:w="120"/>
            </w:tcMar>
          </w:tcPr>
          <w:p>
            <w:r>
              <w:rPr>
                <w:rFonts w:ascii="Calibri" w:cs="Calibri" w:eastAsia="Calibri" w:hAnsi="Calibri"/>
                <w:b/>
                <w:bCs/>
                <w:sz w:val="21"/>
                <w:szCs w:val="21"/>
              </w:rPr>
              <w:t xml:space="preserve">Responsabilidad</w:t>
            </w:r>
          </w:p>
        </w:tc>
      </w:tr>
      <w:tr>
        <w:tc>
          <w:tcPr>
            <w:tcW w:type="dxa" w:w="3000"/>
            <w:tcMar>
              <w:top w:type="dxa" w:w="80"/>
              <w:left w:type="dxa" w:w="120"/>
              <w:bottom w:type="dxa" w:w="80"/>
              <w:right w:type="dxa" w:w="120"/>
            </w:tcMar>
          </w:tcPr>
          <w:p>
            <w:r>
              <w:rPr>
                <w:rFonts w:ascii="Calibri" w:cs="Calibri" w:eastAsia="Calibri" w:hAnsi="Calibri"/>
                <w:b w:val="false"/>
                <w:bCs w:val="false"/>
                <w:sz w:val="21"/>
                <w:szCs w:val="21"/>
              </w:rPr>
              <w:t xml:space="preserve">ADMINISTRATOR / PLATFORM_ADMIN</w:t>
            </w:r>
          </w:p>
        </w:tc>
        <w:tc>
          <w:tcPr>
            <w:tcW w:type="dxa" w:w="6000"/>
            <w:tcMar>
              <w:top w:type="dxa" w:w="80"/>
              <w:left w:type="dxa" w:w="120"/>
              <w:bottom w:type="dxa" w:w="80"/>
              <w:right w:type="dxa" w:w="120"/>
            </w:tcMar>
          </w:tcPr>
          <w:p>
            <w:r>
              <w:rPr>
                <w:rFonts w:ascii="Calibri" w:cs="Calibri" w:eastAsia="Calibri" w:hAnsi="Calibri"/>
                <w:b w:val="false"/>
                <w:bCs w:val="false"/>
                <w:sz w:val="21"/>
                <w:szCs w:val="21"/>
              </w:rPr>
              <w:t xml:space="preserve">Únicos roles con acceso de lectura a la bitácora; ejecutan la revisión periódica de PR-06</w:t>
            </w:r>
          </w:p>
        </w:tc>
      </w:tr>
      <w:tr>
        <w:tc>
          <w:tcPr>
            <w:tcW w:type="dxa" w:w="3000"/>
            <w:tcMar>
              <w:top w:type="dxa" w:w="80"/>
              <w:left w:type="dxa" w:w="120"/>
              <w:bottom w:type="dxa" w:w="80"/>
              <w:right w:type="dxa" w:w="120"/>
            </w:tcMar>
          </w:tcPr>
          <w:p>
            <w:r>
              <w:rPr>
                <w:rFonts w:ascii="Calibri" w:cs="Calibri" w:eastAsia="Calibri" w:hAnsi="Calibri"/>
                <w:b w:val="false"/>
                <w:bCs w:val="false"/>
                <w:sz w:val="21"/>
                <w:szCs w:val="21"/>
              </w:rPr>
              <w:t xml:space="preserve">Equipo de cada microservicio</w:t>
            </w:r>
          </w:p>
        </w:tc>
        <w:tc>
          <w:tcPr>
            <w:tcW w:type="dxa" w:w="6000"/>
            <w:tcMar>
              <w:top w:type="dxa" w:w="80"/>
              <w:left w:type="dxa" w:w="120"/>
              <w:bottom w:type="dxa" w:w="80"/>
              <w:right w:type="dxa" w:w="120"/>
            </w:tcMar>
          </w:tcPr>
          <w:p>
            <w:r>
              <w:rPr>
                <w:rFonts w:ascii="Calibri" w:cs="Calibri" w:eastAsia="Calibri" w:hAnsi="Calibri"/>
                <w:b w:val="false"/>
                <w:bCs w:val="false"/>
                <w:sz w:val="21"/>
                <w:szCs w:val="21"/>
              </w:rPr>
              <w:t xml:space="preserve">Emitir eventos de auditoría completos y correctos para las acciones de su dominio, sin incluir datos prohibidos (sección 3)</w:t>
            </w:r>
          </w:p>
        </w:tc>
      </w:tr>
      <w:tr>
        <w:tc>
          <w:tcPr>
            <w:tcW w:type="dxa" w:w="3000"/>
            <w:tcMar>
              <w:top w:type="dxa" w:w="80"/>
              <w:left w:type="dxa" w:w="120"/>
              <w:bottom w:type="dxa" w:w="80"/>
              <w:right w:type="dxa" w:w="120"/>
            </w:tcMar>
          </w:tcPr>
          <w:p>
            <w:r>
              <w:rPr>
                <w:rFonts w:ascii="Calibri" w:cs="Calibri" w:eastAsia="Calibri" w:hAnsi="Calibri"/>
                <w:b w:val="false"/>
                <w:bCs w:val="false"/>
                <w:sz w:val="21"/>
                <w:szCs w:val="21"/>
              </w:rPr>
              <w:t xml:space="preserve">Equipo de ms-auditoria</w:t>
            </w:r>
          </w:p>
        </w:tc>
        <w:tc>
          <w:tcPr>
            <w:tcW w:type="dxa" w:w="6000"/>
            <w:tcMar>
              <w:top w:type="dxa" w:w="80"/>
              <w:left w:type="dxa" w:w="120"/>
              <w:bottom w:type="dxa" w:w="80"/>
              <w:right w:type="dxa" w:w="120"/>
            </w:tcMar>
          </w:tcPr>
          <w:p>
            <w:r>
              <w:rPr>
                <w:rFonts w:ascii="Calibri" w:cs="Calibri" w:eastAsia="Calibri" w:hAnsi="Calibri"/>
                <w:b w:val="false"/>
                <w:bCs w:val="false"/>
                <w:sz w:val="21"/>
                <w:szCs w:val="21"/>
              </w:rPr>
              <w:t xml:space="preserve">Mantener el encadenamiento de hashes, el control de acceso por rol y la disponibilidad del endpoint de verificación de integridad</w:t>
            </w:r>
          </w:p>
        </w:tc>
      </w:tr>
      <w:tr>
        <w:tc>
          <w:tcPr>
            <w:tcW w:type="dxa" w:w="3000"/>
            <w:tcMar>
              <w:top w:type="dxa" w:w="80"/>
              <w:left w:type="dxa" w:w="120"/>
              <w:bottom w:type="dxa" w:w="80"/>
              <w:right w:type="dxa" w:w="120"/>
            </w:tcMar>
          </w:tcPr>
          <w:p>
            <w:r>
              <w:rPr>
                <w:rFonts w:ascii="Calibri" w:cs="Calibri" w:eastAsia="Calibri" w:hAnsi="Calibri"/>
                <w:b w:val="false"/>
                <w:bCs w:val="false"/>
                <w:sz w:val="21"/>
                <w:szCs w:val="21"/>
              </w:rPr>
              <w:t xml:space="preserve">Equipo de Infraestructura</w:t>
            </w:r>
          </w:p>
        </w:tc>
        <w:tc>
          <w:tcPr>
            <w:tcW w:type="dxa" w:w="6000"/>
            <w:tcMar>
              <w:top w:type="dxa" w:w="80"/>
              <w:left w:type="dxa" w:w="120"/>
              <w:bottom w:type="dxa" w:w="80"/>
              <w:right w:type="dxa" w:w="120"/>
            </w:tcMar>
          </w:tcPr>
          <w:p>
            <w:r>
              <w:rPr>
                <w:rFonts w:ascii="Calibri" w:cs="Calibri" w:eastAsia="Calibri" w:hAnsi="Calibri"/>
                <w:b w:val="false"/>
                <w:bCs w:val="false"/>
                <w:sz w:val="21"/>
                <w:szCs w:val="21"/>
              </w:rPr>
              <w:t xml:space="preserve">Mantener la configuración de retención del driver de logging de Docker (x-logging) vigente en todos los servicios</w:t>
            </w:r>
          </w:p>
        </w:tc>
      </w:tr>
    </w:tbl>
    <w:p>
      <w:pPr>
        <w:spacing w:after="160"/>
      </w:pPr>
    </w:p>
    <w:p>
      <w:pPr>
        <w:pStyle w:val="Heading1"/>
        <w:spacing w:after="160" w:before="360"/>
      </w:pPr>
      <w:r>
        <w:rPr>
          <w:rFonts w:ascii="Calibri" w:cs="Calibri" w:eastAsia="Calibri" w:hAnsi="Calibri"/>
          <w:b/>
          <w:bCs/>
          <w:color w:val="1F3864"/>
          <w:sz w:val="28"/>
          <w:szCs w:val="28"/>
        </w:rPr>
        <w:t xml:space="preserve">9. Vigencia</w:t>
      </w:r>
    </w:p>
    <w:p>
      <w:pPr>
        <w:spacing w:after="160"/>
      </w:pPr>
      <w:r>
        <w:rPr>
          <w:rFonts w:ascii="Calibri" w:cs="Calibri" w:eastAsia="Calibri" w:hAnsi="Calibri"/>
          <w:b w:val="false"/>
          <w:bCs w:val="false"/>
          <w:i w:val="false"/>
          <w:iCs w:val="false"/>
          <w:sz w:val="22"/>
          <w:szCs w:val="22"/>
        </w:rPr>
        <w:t xml:space="preserve">Esta política se revisa ante cualquier cambio en el modelo de retención, en el esquema de la tabla audit_event, o en el catálogo de categorías/acciones auditadas.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2026-10-12T11:46:03.054Z</dcterms:created>
  <dcterms:modified xsi:type="dcterms:W3CDTF">2026-10-12T11:46:03.055Z</dcterms:modified>
</cp:coreProperties>
</file>

<file path=docProps/custom.xml><?xml version="1.0" encoding="utf-8"?>
<Properties xmlns="http://schemas.openxmlformats.org/officeDocument/2006/custom-properties" xmlns:vt="http://schemas.openxmlformats.org/officeDocument/2006/docPropsVTypes"/>
</file>