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Sección 11. Top Ten OWASP</w:t>
      </w:r>
    </w:p>
    <w:p>
      <w:pPr>
        <w:jc w:val="both"/>
      </w:pPr>
      <w:r>
        <w:t>Para esta sección tomamos las diez categorías del OWASP Top 10 en su edición 2025 y revisamos, una por una, si el riesgo se presenta en MedicalSys y qué estamos haciendo para prevenirlo. No nos limitamos a describir buenas prácticas: en cada punto indicamos lo que encontramos en el sistema, lo que ya quedó corregido en este sprint y lo que todavía está pendiente. En cuatro categorías (A01, A02, A07 y A08) repetimos la misma prueba antes y después de la corrección, y esos resultados se mencionan en el texto. El detalle de los comandos y sus salidas está guardado en el repositorio, en la carpeta docs/seguridad/evidencias.</w:t>
      </w:r>
    </w:p>
    <w:p>
      <w:pPr>
        <w:pStyle w:val="Heading1"/>
      </w:pPr>
      <w:r>
        <w:t>1. A01:2025 – Pérdida de Control de Acceso (Broken Access Control)</w:t>
      </w:r>
    </w:p>
    <w:p>
      <w:pPr>
        <w:jc w:val="both"/>
      </w:pPr>
      <w:r>
        <w:rPr>
          <w:b/>
        </w:rPr>
        <w:t xml:space="preserve">¿Aplica en el sistema?: </w:t>
      </w:r>
      <w:r>
        <w:t>Sí, y era el problema más serio que tenía la plataforma. El gateway valida el token y le pasa a cada microservicio la identidad del usuario en unas cabeceras (usuario, organización, roles y permisos), y los servicios confían en ellas. El diseño es razonable, pero el archivo de Docker Compose publicaba en el equipo los puertos de los trece microservicios, del 8081 al 8093. Eso significaba que cualquiera podía llamar directamente a un servicio y escribir esas cabeceras a mano. Lo comprobamos sobre la rama develop: una petición al puerto 8088 con un rol de médico inventado, sin ningún token, devolvió los encuentros clínicos de los pacientes. Además, varios servicios, como profesionales y catálogos, no exigían ningún permiso en sus endpoints.</w:t>
      </w:r>
    </w:p>
    <w:p>
      <w:pPr>
        <w:jc w:val="both"/>
      </w:pPr>
      <w:r>
        <w:rPr>
          <w:b/>
        </w:rPr>
        <w:t xml:space="preserve">¿Cómo lo estamos previniendo?: </w:t>
      </w:r>
      <w:r>
        <w:t>Cerramos los puertos de todos los microservicios y de las bases de datos, Redis, Kafka y MinIO, de modo que solo el gateway queda publicado y el resto se comunica por una red interna de Docker. Repetimos la misma petición después del cambio y ya no logra conectarse. El gateway descarta cualquier cabecera de identidad que envíe el cliente y las vuelve a generar a partir del token validado, por lo que la organización sale siempre del JWT y nunca de un parámetro que el usuario pueda cambiar. Como segunda barrera, cada endpoint declara el permiso que necesita y lo que no está declarado se deniega por defecto; ese trabajo corresponde a las tareas RBAC-03 y RBAC-04, que el equipo ya concluyó. Los roles y sus permisos se administran además desde la propia aplicación, sin tocar el código ni la base de datos (RBAC-02 y RBAC-05, también concluidas). Queda pendiente la prueba cruzada entre dos organizaciones distintas con datos reales de cada una.</w:t>
      </w:r>
    </w:p>
    <w:p>
      <w:pPr>
        <w:pStyle w:val="Heading1"/>
      </w:pPr>
      <w:r>
        <w:t>2. A02:2025 – Configuración de Seguridad Incorrecta (Security Misconfiguration)</w:t>
      </w:r>
    </w:p>
    <w:p>
      <w:pPr>
        <w:jc w:val="both"/>
      </w:pPr>
      <w:r>
        <w:rPr>
          <w:b/>
        </w:rPr>
        <w:t xml:space="preserve">¿Aplica en el sistema?: </w:t>
      </w:r>
      <w:r>
        <w:t>Sí. Encontramos varios valores por defecto pensados para que la demostración funcionara rápido y no para ser seguros. El CORS del gateway aceptaba cualquier origen, las rutas internas del servicio de identidad estaban abiertas con permitAll, Actuator mostraba el detalle de salud con el motor de base de datos y la versión de Redis, y las cuentas de demostración, cuya contraseña está escrita en el repositorio, se creaban solas en cada arranque. A esto se sumaban los puertos expuestos que describimos en el punto anterior.</w:t>
      </w:r>
    </w:p>
    <w:p>
      <w:pPr>
        <w:jc w:val="both"/>
      </w:pPr>
      <w:r>
        <w:rPr>
          <w:b/>
        </w:rPr>
        <w:t xml:space="preserve">¿Cómo lo estamos previniendo?: </w:t>
      </w:r>
      <w:r>
        <w:t>Cambiamos los valores por defecto para que el comportamiento seguro sea el que se obtiene sin configurar nada. El CORS ahora solo acepta la lista exacta de orígenes del frontend, y al probar con un dominio ajeno el gateway responde 403. Las rutas internas de identidad pasaron a estar denegadas, Actuator muestra únicamente el estado general y las cuentas de demostración vienen apagadas: quien las necesite para una presentación tiene que encenderlas a propósito. También agregamos al gateway las cabeceras de seguridad habituales (HSTS, X-Content-Type-Options, Content-Security-Policy con frame-ancestors, Referrer-Policy y Cross-Origin-Resource-Policy) y dejamos de anunciar el servidor. Lo que falta es separar formalmente los perfiles de desarrollo y producción, porque hoy la diferencia depende solo de las variables de entorno.</w:t>
      </w:r>
    </w:p>
    <w:p>
      <w:pPr>
        <w:pStyle w:val="Heading1"/>
      </w:pPr>
      <w:r>
        <w:t>3. A03:2025 – Fallas en la Cadena de Suministro de Software (Software Supply Chain Failures)</w:t>
      </w:r>
    </w:p>
    <w:p>
      <w:pPr>
        <w:jc w:val="both"/>
      </w:pPr>
      <w:r>
        <w:rPr>
          <w:b/>
        </w:rPr>
        <w:t xml:space="preserve">¿Aplica en el sistema?: </w:t>
      </w:r>
      <w:r>
        <w:t>Sí. Los catorce servicios dependen de Spring Boot y de decenas de librerías que llegan de forma transitiva, además de la imagen base de Ubuntu con la que se construyen los contenedores. El escaneo inicial lo confirmó: Trivy encontró 43 hallazgos críticos y 96 altos repartidos en las catorce imágenes. Casi todos venían de cinco componentes: Tomcat, Jackson, Bouncy Castle, lz4-java y la librería libssl del sistema operativo.</w:t>
      </w:r>
    </w:p>
    <w:p>
      <w:pPr>
        <w:jc w:val="both"/>
      </w:pPr>
      <w:r>
        <w:rPr>
          <w:b/>
        </w:rPr>
        <w:t xml:space="preserve">¿Cómo lo estamos previniendo?: </w:t>
      </w:r>
      <w:r>
        <w:t>Actualizamos cada componente a la versión corregida más cercana, fijando la versión de forma explícita en los pom.xml, y los Dockerfile aplican las actualizaciones de seguridad de Ubuntu al construir la imagen. Después repetimos el escaneo con las mismas herramientas y opciones, y el resultado fue de cero hallazgos críticos y cero altos. El proceso quedó escrito en el procedimiento PR-04 y se ejecuta con un solo script, de manera que cualquier integrante del equipo puede repetirlo. Lo que todavía no tenemos es el escaneo dentro del pipeline de integración continua: por ahora se corre a mano antes de cada entrega, y tampoco firmamos las imágenes. El reporte completo está en la sección 13.</w:t>
      </w:r>
    </w:p>
    <w:p>
      <w:pPr>
        <w:pStyle w:val="Heading1"/>
      </w:pPr>
      <w:r>
        <w:t>4. A04:2025 – Fallas Criptográficas (Cryptographic Failures)</w:t>
      </w:r>
    </w:p>
    <w:p>
      <w:pPr>
        <w:jc w:val="both"/>
      </w:pPr>
      <w:r>
        <w:rPr>
          <w:b/>
        </w:rPr>
        <w:t xml:space="preserve">¿Aplica en el sistema?: </w:t>
      </w:r>
      <w:r>
        <w:t>Sí, porque el sistema guarda información clínica y contraseñas. Lo que ya está resuelto es lo siguiente: las contraseñas se almacenan con Argon2id, la narrativa del historial se cifra con AES-256-GCM usando una clave distinta por organización, las versiones de esas claves se guardan en la base de datos del servicio de criptografía y la conexión con MySQL exige TLS. La debilidad está en el origen de las claves. Todas se derivan de una clave maestra que llega por variable de entorno y que en el MVP tiene un valor de demostración, y los tokens se firman con un secreto compartido entre identidad y el gateway.</w:t>
      </w:r>
    </w:p>
    <w:p>
      <w:pPr>
        <w:jc w:val="both"/>
      </w:pPr>
      <w:r>
        <w:rPr>
          <w:b/>
        </w:rPr>
        <w:t xml:space="preserve">¿Cómo lo estamos previniendo?: </w:t>
      </w:r>
      <w:r>
        <w:t>Mantenemos las claves fuera del código y el gateway se niega a arrancar si el secreto de firma tiene menos de 32 bytes. Para el despliegue, el HTTPS lo termina el túnel de Cloudflare y el gateway ya envía la cabecera HSTS. Lo pendiente es importante y preferimos decirlo con claridad: reemplazar la clave maestra de demostración por una administrada en una bóveda, definir su rotación y su respaldo, y cifrar la comunicación entre los servicios dentro de la red interna, que hoy viaja por HTTP. El inventario criptográfico, la política de gestión de claves y el gestor de contraseñas del equipo (tareas CRY-01, PO-05 y PWM-01) todavía no se han completado. Mientras eso no esté hecho, no consideramos que el cifrado sea apto para datos reales de pacientes.</w:t>
      </w:r>
    </w:p>
    <w:p>
      <w:pPr>
        <w:pStyle w:val="Heading1"/>
      </w:pPr>
      <w:r>
        <w:t>5. A05:2025 – Inyección (Injection)</w:t>
      </w:r>
    </w:p>
    <w:p>
      <w:pPr>
        <w:jc w:val="both"/>
      </w:pPr>
      <w:r>
        <w:rPr>
          <w:b/>
        </w:rPr>
        <w:t xml:space="preserve">¿Aplica en el sistema?: </w:t>
      </w:r>
      <w:r>
        <w:t>Aplica como riesgo que hay que controlar, pero no encontramos una inyección explotable. Hay varias búsquedas que reciben texto libre, como las de pacientes, diagnósticos CIE-10 y medicamentos. Al revisar el código vimos que los servicios consultan la base de datos con Spring Data JPA y consultas con parámetros, y que el servicio de notificaciones, que usa acceso reactivo, enlaza los valores en lugar de concatenarlos. No hallamos consultas SQL armadas uniendo cadenas con datos del usuario.</w:t>
      </w:r>
    </w:p>
    <w:p>
      <w:pPr>
        <w:jc w:val="both"/>
      </w:pPr>
      <w:r>
        <w:rPr>
          <w:b/>
        </w:rPr>
        <w:t xml:space="preserve">¿Cómo lo estamos previniendo?: </w:t>
      </w:r>
      <w:r>
        <w:t>La prevención descansa en dos cosas que ya están en el código: las consultas parametrizadas y la validación de los datos de entrada en los controladores, con límites de longitud y formato en los campos. La API responde en JSON y el frontend en Angular escapa el contenido al mostrarlo, lo que reduce el riesgo de XSS. Tenemos que ser honestos con el alcance de la verificación: el escaneo con ZAP fue pasivo y no envió cargas de inyección, así que esta conclusión sale de la revisión del código y no de una prueba de ataque. Un escaneo activo sobre los endpoints de búsqueda queda como trabajo pendiente.</w:t>
      </w:r>
    </w:p>
    <w:p>
      <w:pPr>
        <w:pStyle w:val="Heading1"/>
      </w:pPr>
      <w:r>
        <w:t>6. A06:2025 – Diseño Inseguro (Insecure Design)</w:t>
      </w:r>
    </w:p>
    <w:p>
      <w:pPr>
        <w:jc w:val="both"/>
      </w:pPr>
      <w:r>
        <w:rPr>
          <w:b/>
        </w:rPr>
        <w:t xml:space="preserve">¿Aplica en el sistema?: </w:t>
      </w:r>
      <w:r>
        <w:t>Sí. Varios de los problemas anteriores no eran errores de programación sino decisiones de diseño. El principal es que los microservicios confían por completo en las cabeceras que reciben, de modo que toda la seguridad depende de que nadie más que el gateway pueda hablarles. Otro es que los servicios que usan MySQL comparten un mismo usuario de base de datos, así que un servicio comprometido podría leer las tablas de otro. El cierre de sesión tampoco estaba pensado para toda la plataforma, como explicamos en el punto 7.</w:t>
      </w:r>
    </w:p>
    <w:p>
      <w:pPr>
        <w:jc w:val="both"/>
      </w:pPr>
      <w:r>
        <w:rPr>
          <w:b/>
        </w:rPr>
        <w:t xml:space="preserve">¿Cómo lo estamos previniendo?: </w:t>
      </w:r>
      <w:r>
        <w:t>Reforzamos la frontera de confianza cerrando la red, de forma que el supuesto en el que se apoya el diseño ahora sí se cumple, y la plataforma deniega por defecto lo que no tiene un permiso declarado. El diseño ya tenía aciertos que conservamos: cada servicio tiene su propia base de datos, el servicio de marketing no tiene ruta ni credenciales hacia el historial clínico y el servicio de criptografía solo atiende a quien presenta un secreto compartido. Queda pendiente crear un usuario de base de datos por microservicio con permisos limitados a su propia base, que es la tarea HARD-05, y autenticar las llamadas entre servicios para que la red interna no sea la única defensa.</w:t>
      </w:r>
    </w:p>
    <w:p>
      <w:pPr>
        <w:pStyle w:val="Heading1"/>
      </w:pPr>
      <w:r>
        <w:t>7. A07:2025 – Fallas de Autenticación (Authentication Failures)</w:t>
      </w:r>
    </w:p>
    <w:p>
      <w:pPr>
        <w:jc w:val="both"/>
      </w:pPr>
      <w:r>
        <w:rPr>
          <w:b/>
        </w:rPr>
        <w:t xml:space="preserve">¿Aplica en el sistema?: </w:t>
      </w:r>
      <w:r>
        <w:t>Sí. El fallo concreto era que cerrar sesión no servía fuera del servicio de identidad. Identidad borraba la sesión en Redis, pero el gateway solo revisaba la firma y la fecha de expiración del token, así que el mismo token seguía funcionando hasta por una hora. Lo comprobamos sobre develop: después del cierre de sesión, el token todavía devolvía datos de historial y de pacientes. Es justo el caso de un token robado o de un empleado al que se le acaba de retirar el acceso.</w:t>
      </w:r>
    </w:p>
    <w:p>
      <w:pPr>
        <w:jc w:val="both"/>
      </w:pPr>
      <w:r>
        <w:rPr>
          <w:b/>
        </w:rPr>
        <w:t xml:space="preserve">¿Cómo lo estamos previniendo?: </w:t>
      </w:r>
      <w:r>
        <w:t>Ahora el gateway consulta en Redis, en cada petición, si la sesión del token sigue abierta. Si no lo está responde 401, y si Redis no contesta responde 503 en lugar de dejar pasar la petición. Repetimos la prueba con el mismo token y, tras cerrar sesión, tanto historial como pacientes devuelven 401. Además verificamos el bloqueo de cuenta que ya existía: al quinto intento fallido la cuenta queda bloqueada quince minutos, incluso si después se escribe la contraseña correcta. Quedan dos pendientes. El gateway aún no valida el emisor del token, solo la firma y la expiración. Y la política de contraseñas completa, con el bloqueo al tercer intento que pide el proyecto, junto con el inicio de sesión delegado a Keycloak, sigue en curso en las tareas IAM-02 e IAM-03; cuando se integren, el bloqueo que describimos aquí será reemplazado por el de Keycloak.</w:t>
      </w:r>
    </w:p>
    <w:p>
      <w:pPr>
        <w:pStyle w:val="Heading1"/>
      </w:pPr>
      <w:r>
        <w:t>8. A08:2025 – Fallas en la Integridad del Software o de los Datos (Software or Data Integrity Failures)</w:t>
      </w:r>
    </w:p>
    <w:p>
      <w:pPr>
        <w:jc w:val="both"/>
      </w:pPr>
      <w:r>
        <w:rPr>
          <w:b/>
        </w:rPr>
        <w:t xml:space="preserve">¿Aplica en el sistema?: </w:t>
      </w:r>
      <w:r>
        <w:t>Sí, y encontramos un caso real. El webhook de WhatsApp recibe de Meta los estados de entrega y los mensajes de los pacientes, y a partir de ellos el sistema actualiza notificaciones e incluso registra la baja de un paciente de las comunicaciones. La autenticidad de esos mensajes se verifica con una firma HMAC, pero el servicio se saltaba la verificación cuando no había un secreto configurado, que era la situación por defecto. En develop, un mensaje inventado y sin firma fue aceptado con un 200.</w:t>
      </w:r>
    </w:p>
    <w:p>
      <w:pPr>
        <w:jc w:val="both"/>
      </w:pPr>
      <w:r>
        <w:rPr>
          <w:b/>
        </w:rPr>
        <w:t xml:space="preserve">¿Cómo lo estamos previniendo?: </w:t>
      </w:r>
      <w:r>
        <w:t>El webhook ahora rechaza con 401 cualquier mensaje que no traiga una firma válida. Si no hay secreto configurado los rechaza todos, y si el proveedor es Meta y falta el secreto, el servicio directamente no arranca. Lo probamos con un mensaje sin firma, con una firma incorrecta y con una correcta, y solo el último fue aceptado. Para los documentos clínicos ya existía un control que mantuvimos: se calcula el hash SHA-256 de cada archivo al subirlo y se vuelve a calcular en cada descarga, y si no coincide la descarga falla. Del lado del software, los cambios entran por pull request y pasan por el pipeline de integración continua. Falta verificar la integridad de las imágenes de contenedor antes de desplegarlas, y la demostración formal del hash de documentos y los checksums de los artefactos (tareas CRY-02 y CRY-03) aún no se ha realizado.</w:t>
      </w:r>
    </w:p>
    <w:p>
      <w:pPr>
        <w:pStyle w:val="Heading1"/>
      </w:pPr>
      <w:r>
        <w:t>9. A09:2025 – Fallas en el Registro, Alerta y Monitoreo de Seguridad (Security Logging &amp; Alerting Failures)</w:t>
      </w:r>
    </w:p>
    <w:p>
      <w:pPr>
        <w:jc w:val="both"/>
      </w:pPr>
      <w:r>
        <w:rPr>
          <w:b/>
        </w:rPr>
        <w:t xml:space="preserve">¿Aplica en el sistema?: </w:t>
      </w:r>
      <w:r>
        <w:t>Sí, y es la categoría donde el sistema está más atrasado. Existe un servicio de auditoría con una bitácora que distingue entre operaciones exitosas, denegadas y fallidas, y todas las peticiones llevan un identificador de correlación que permite seguirlas de un servicio a otro. El problema es la cobertura: hoy solo el servicio de pacientes envía eventos a esa bitácora. Las consultas al historial clínico, que son las más sensibles, no dejan registro de quién las hizo, y no hay ningún mecanismo de alerta.</w:t>
      </w:r>
    </w:p>
    <w:p>
      <w:pPr>
        <w:jc w:val="both"/>
      </w:pPr>
      <w:r>
        <w:rPr>
          <w:b/>
        </w:rPr>
        <w:t xml:space="preserve">¿Cómo lo estamos previniendo?: </w:t>
      </w:r>
      <w:r>
        <w:t>Lo que ya funciona es la base: la bitácora, su consulta por API con permisos y el identificador de correlación. La cobertura todavía no se amplió: el registro de los eventos de autenticación, de altas y bajas de usuarios, de roles y de contraseñas, los logs de aplicación seguros y la pantalla de consulta corresponden a las tareas LOG-01 a LOG-04, que a la fecha de este informe no se han iniciado. Para considerar cubierta esta categoría hace falta que el historial y los documentos registren cada lectura y cada modificación con usuario, organización, recurso, fecha y resultado, y que exista al menos una alerta ante intentos repetidos de acceso denegado. También cuidamos que en los registros no aparezcan tokens ni contraseñas; por eso la evidencia de nuestras pruebas se guardó sin los tokens.</w:t>
      </w:r>
    </w:p>
    <w:p>
      <w:pPr>
        <w:pStyle w:val="Heading1"/>
      </w:pPr>
      <w:r>
        <w:t>10. A10:2025 – Manejo Inadecuado de Condiciones Excepcionales (Mishandling of Exceptional Conditions)</w:t>
      </w:r>
    </w:p>
    <w:p>
      <w:pPr>
        <w:jc w:val="both"/>
      </w:pPr>
      <w:r>
        <w:rPr>
          <w:b/>
        </w:rPr>
        <w:t xml:space="preserve">¿Aplica en el sistema?: </w:t>
      </w:r>
      <w:r>
        <w:t>Sí, como riesgo propio de una arquitectura con muchos servicios, donde un error mal manejado puede terminar revelando información interna o dejando pasar algo que debía rechazarse. Encontramos un ejemplo claro en el webhook: cuando faltaba el secreto, el servicio trataba esa situación anómala como si todo estuviera bien y aceptaba el mensaje. El detalle de salud de Actuator, que mostraba datos de la infraestructura, también entra en esta categoría.</w:t>
      </w:r>
    </w:p>
    <w:p>
      <w:pPr>
        <w:jc w:val="both"/>
      </w:pPr>
      <w:r>
        <w:rPr>
          <w:b/>
        </w:rPr>
        <w:t xml:space="preserve">¿Cómo lo estamos previniendo?: </w:t>
      </w:r>
      <w:r>
        <w:t>El criterio que aplicamos es que, ante la duda, el sistema rechaza. Si el gateway no puede comprobar la sesión porque Redis no responde, devuelve 503 y no deja pasar el token; si al webhook le falta el secreto, rechaza el mensaje; y si a un servicio le falta una configuración de la que depende un control de seguridad, no arranca. Los trece microservicios tienen un manejador central de excepciones que devuelve las respuestas de error con un formato uniforme. Durante las pruebas notamos un detalle que queda por corregir: el servicio de catálogos respondió 500 ante una ruta que no existe, cuando lo correcto es un 404.</w:t>
      </w:r>
    </w:p>
    <w:p>
      <w:pPr>
        <w:pStyle w:val="Heading1"/>
      </w:pPr>
      <w:r>
        <w:t>Conclusión</w:t>
      </w:r>
    </w:p>
    <w:p>
      <w:pPr>
        <w:jc w:val="both"/>
      </w:pPr>
      <w:r>
        <w:t>Las diez categorías aplican a MedicalSys en mayor o menor medida, lo cual es esperable en una plataforma que maneja información médica y está repartida en tantos servicios. En este sprint corregimos y comprobamos con pruebas los problemas de control de acceso, configuración, autenticación e integridad, y dejamos en cero los hallazgos críticos y altos de las dependencias. Los puntos más débiles que quedan son el registro de auditoría sobre el historial clínico y la gestión de la clave maestra de cifrado, y ambos deberían resolverse antes de trabajar con datos reales de pacientes.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