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PO-07 — Política de Gestión de Vulnerabilidades y Desarrollo Seguro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Código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PO-07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12/10/2026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Clasificación del documento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Uso interno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Borrador para aprobación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Elaborado por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Juan Jose Claros Suntura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Documentos relacionados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PR-04 Procedimiento de gestión de vulnerabilidades · PO-02 Política de control de acceso · PR-08 Resguardo de contraseñas y rotación de secretos · Secciones 11 y 13 del informe</w:t>
            </w:r>
          </w:p>
        </w:tc>
      </w:tr>
    </w:tbl>
    <w:p/>
    <w:p>
      <w:pPr>
        <w:pStyle w:val="Heading1"/>
      </w:pPr>
      <w:r>
        <w:t>1. Objetivo</w:t>
      </w:r>
    </w:p>
    <w:p>
      <w:r>
        <w:t>Establecer las reglas con las que MedicalSys identifica, prioriza, corrige y verifica las vulnerabilidades de su plataforma, y las prácticas de desarrollo seguro que evitan introducirlas. El fin es que ninguna vulnerabilidad conocida de severidad alta o crítica permanezca sin tratar más allá de un plazo definido y que cada cambio de código llegue a producción revisado.</w:t>
      </w:r>
    </w:p>
    <w:p>
      <w:pPr>
        <w:pStyle w:val="Heading1"/>
      </w:pPr>
      <w:r>
        <w:t>2. Alcance</w:t>
      </w:r>
    </w:p>
    <w:p>
      <w:r>
        <w:t>Esta política aplica a:</w:t>
      </w:r>
    </w:p>
    <w:p>
      <w:pPr>
        <w:pStyle w:val="ListBullet"/>
      </w:pPr>
      <w:r>
        <w:t>El código de la plataforma MedicalSys: los 13 microservicios, el gateway y el frontend.</w:t>
      </w:r>
    </w:p>
    <w:p>
      <w:pPr>
        <w:pStyle w:val="ListBullet"/>
      </w:pPr>
      <w:r>
        <w:t>Sus dependencias de terceros (bibliotecas Maven y paquetes npm) y las imágenes de contenedor con las que se despliega.</w:t>
      </w:r>
    </w:p>
    <w:p>
      <w:pPr>
        <w:pStyle w:val="ListBullet"/>
      </w:pPr>
      <w:r>
        <w:t xml:space="preserve">La configuración de despliegue: </w:t>
      </w:r>
      <w:r>
        <w:rPr>
          <w:rFonts w:ascii="Consolas" w:hAnsi="Consolas"/>
          <w:sz w:val="19"/>
        </w:rPr>
        <w:t>compose.yaml</w:t>
      </w:r>
      <w:r>
        <w:t>, variables de entorno, red y puertos.</w:t>
      </w:r>
    </w:p>
    <w:p>
      <w:pPr>
        <w:pStyle w:val="ListBullet"/>
      </w:pPr>
      <w:r>
        <w:t>Todos los entornos (desarrollo, pruebas y producción) y el repositorio de código fuente.</w:t>
      </w:r>
    </w:p>
    <w:p>
      <w:pPr>
        <w:pStyle w:val="ListBullet"/>
      </w:pPr>
      <w:r>
        <w:t>Todo el equipo de desarrollo y cualquier tercero que contribuya código.</w:t>
      </w:r>
    </w:p>
    <w:p>
      <w:r>
        <w:t>La forma operativa de ejecutar cada paso (comandos, carpetas y registros) está en el procedimiento PR-04.</w:t>
      </w:r>
    </w:p>
    <w:p>
      <w:pPr>
        <w:pStyle w:val="Heading1"/>
      </w:pPr>
      <w:r>
        <w:t>3. Referencias</w:t>
      </w:r>
    </w:p>
    <w:p>
      <w:pPr>
        <w:pStyle w:val="Heading2"/>
      </w:pPr>
      <w:r>
        <w:t>3.1 Normas y marcos internacionales</w:t>
      </w:r>
    </w:p>
    <w:p>
      <w:pPr>
        <w:pStyle w:val="ListBullet"/>
      </w:pPr>
      <w:r>
        <w:t>ISO/IEC 27001:2022, Anexo A: controles 8.8 (gestión de vulnerabilidades técnicas), 8.9 (gestión de la configuración), 8.25 (ciclo de vida de desarrollo seguro), 8.28 (codificación segura) y 8.29 (pruebas de seguridad en el desarrollo y la aceptación).</w:t>
      </w:r>
    </w:p>
    <w:p>
      <w:pPr>
        <w:pStyle w:val="ListBullet"/>
      </w:pPr>
      <w:r>
        <w:t>OWASP Top 10:2021, como catálogo de referencia de riesgos en aplicaciones web.</w:t>
      </w:r>
    </w:p>
    <w:p>
      <w:pPr>
        <w:pStyle w:val="ListBullet"/>
      </w:pPr>
      <w:r>
        <w:t>Common Vulnerability Scoring System (CVSS) de FIRST, para la calificación de severidad.</w:t>
      </w:r>
    </w:p>
    <w:p>
      <w:pPr>
        <w:pStyle w:val="Heading2"/>
      </w:pPr>
      <w:r>
        <w:t>3.2 Documentos internos</w:t>
      </w:r>
    </w:p>
    <w:p>
      <w:pPr>
        <w:pStyle w:val="ListBullet"/>
      </w:pPr>
      <w:r>
        <w:t>PR-04 Procedimiento de gestión de vulnerabilidades.</w:t>
      </w:r>
    </w:p>
    <w:p>
      <w:pPr>
        <w:pStyle w:val="ListBullet"/>
      </w:pPr>
      <w:r>
        <w:t>PO-02 Política de control de acceso.</w:t>
      </w:r>
    </w:p>
    <w:p>
      <w:pPr>
        <w:pStyle w:val="ListBullet"/>
      </w:pPr>
      <w:r>
        <w:t>PR-08 Procedimiento de resguardo de contraseñas y rotación de secretos.</w:t>
      </w:r>
    </w:p>
    <w:p>
      <w:pPr>
        <w:pStyle w:val="ListBullet"/>
      </w:pPr>
      <w:r>
        <w:t xml:space="preserve">Reportes de escaneo en </w:t>
      </w:r>
      <w:r>
        <w:rPr>
          <w:rFonts w:ascii="Consolas" w:hAnsi="Consolas"/>
          <w:sz w:val="19"/>
        </w:rPr>
        <w:t>docs/seguridad/escaneos/</w:t>
      </w:r>
      <w:r>
        <w:t xml:space="preserve"> y evidencia de las correcciones en </w:t>
      </w:r>
      <w:r>
        <w:rPr>
          <w:rFonts w:ascii="Consolas" w:hAnsi="Consolas"/>
          <w:sz w:val="19"/>
        </w:rPr>
        <w:t>docs/seguridad/evidencias/</w:t>
      </w:r>
      <w:r>
        <w:t xml:space="preserve"> del repositorio de la plataforma.</w:t>
      </w:r>
    </w:p>
    <w:p>
      <w:pPr>
        <w:pStyle w:val="Heading1"/>
      </w:pPr>
      <w:r>
        <w:t>4. Roles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Responsabilidades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Responsable de Seguridad de la Información (RSI)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Mantiene esta política. Coordina los escaneos, clasifica los hallazgos, asigna responsables y vigila los plazos. Aprueba el cierre de cada hallazgo.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Propietario del sistema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Aprueba por escrito las excepciones y la aceptación de riesgo residual, siempre con fecha de vencimiento.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Responsable de la corrección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Miembro del equipo de desarrollo al que se asigna un hallazgo. Lo corrige dentro del plazo y aporta la evidencia.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Revisor de código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Persona distinta del autor. Revisa cada cambio antes de su integración con los criterios de la sección 6.4.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Equipo de desarrollo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Aplica las prácticas de desarrollo seguro, no introduce secretos en el repositorio y reporta cualquier vulnerabilidad que detecte.</w:t>
            </w:r>
          </w:p>
        </w:tc>
      </w:tr>
    </w:tbl>
    <w:p/>
    <w:p>
      <w:pPr>
        <w:pStyle w:val="Heading1"/>
      </w:pPr>
      <w:r>
        <w:t>5. Definiciones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Término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Definición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Vulnerabilidad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Debilidad en el código, una dependencia, una imagen o la configuración que puede ser explotada para afectar la confidencialidad, integridad o disponibilidad.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Hallazgo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Vulnerabilidad concreta reportada por una herramienta o una revisión, identificada por su CVE o por la regla de la herramienta y el componente afectado.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CVSS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Puntuación de 0.0 a 10.0 que expresa la severidad de una vulnerabilidad.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Línea base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Escaneo inicial de una versión, anterior a las correcciones, contra el que se compara el reescaneo.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Reescaneo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Repetición del escaneo con las mismas herramientas y configuración para verificar una corrección.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Riesgo aceptado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Hallazgo que no se corrige por una razón documentada, con controles compensatorios, aprobación y fecha de vencimiento.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Secreto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Contraseña, clave, token o cualquier valor cuyo conocimiento da acceso a un sistema o a datos.</w:t>
            </w:r>
          </w:p>
        </w:tc>
      </w:tr>
    </w:tbl>
    <w:p/>
    <w:p>
      <w:pPr>
        <w:pStyle w:val="Heading1"/>
      </w:pPr>
      <w:r>
        <w:t>6. Lineamientos</w:t>
      </w:r>
    </w:p>
    <w:p>
      <w:pPr>
        <w:pStyle w:val="Heading2"/>
      </w:pPr>
      <w:r>
        <w:t>6.1 Escaneos periódicos</w:t>
      </w:r>
    </w:p>
    <w:p>
      <w:pPr>
        <w:pStyle w:val="ListNumber"/>
      </w:pPr>
      <w:r>
        <w:t xml:space="preserve">Los escaneos se realizan con tres herramientas: </w:t>
      </w:r>
      <w:r>
        <w:rPr>
          <w:b/>
        </w:rPr>
        <w:t>OWASP ZAP</w:t>
      </w:r>
      <w:r>
        <w:t xml:space="preserve"> (análisis dinámico contra el gateway), </w:t>
      </w:r>
      <w:r>
        <w:rPr>
          <w:b/>
        </w:rPr>
        <w:t>Trivy</w:t>
      </w:r>
      <w:r>
        <w:t xml:space="preserve"> (imágenes de contenedor y dependencias) y </w:t>
      </w:r>
      <w:r>
        <w:rPr>
          <w:b/>
        </w:rPr>
        <w:t>OWASP Dependency-Check</w:t>
      </w:r>
      <w:r>
        <w:t xml:space="preserve"> (dependencias declaradas en los </w:t>
      </w:r>
      <w:r>
        <w:rPr>
          <w:rFonts w:ascii="Consolas" w:hAnsi="Consolas"/>
          <w:sz w:val="19"/>
        </w:rPr>
        <w:t>pom.xml</w:t>
      </w:r>
      <w:r>
        <w:t xml:space="preserve"> y </w:t>
      </w:r>
      <w:r>
        <w:rPr>
          <w:rFonts w:ascii="Consolas" w:hAnsi="Consolas"/>
          <w:sz w:val="19"/>
        </w:rPr>
        <w:t>package-lock.json</w:t>
      </w:r>
      <w:r>
        <w:t>). Trivy en modo filesystem se acepta como equivalente de Dependency-Check cuando cubre los mismos manifiestos; el reporte debe indicar cuál de las dos se usó.</w:t>
      </w:r>
    </w:p>
    <w:p>
      <w:pPr>
        <w:pStyle w:val="ListNumber"/>
      </w:pPr>
      <w:r>
        <w:t>Se escanea, como mínimo: antes de cada entrega o versión candidata; una vez al mes sobre la rama principal; y cada vez que se publica una vulnerabilidad crítica en un componente que la plataforma usa.</w:t>
      </w:r>
    </w:p>
    <w:p>
      <w:pPr>
        <w:pStyle w:val="ListNumber"/>
      </w:pPr>
      <w:r>
        <w:t>Todo ciclo de corrección tiene un escaneo de línea base y un reescaneo ejecutados con las mismas herramientas, versiones y opciones.</w:t>
      </w:r>
    </w:p>
    <w:p>
      <w:pPr>
        <w:pStyle w:val="ListNumber"/>
      </w:pPr>
      <w:r>
        <w:t>Los reportes originales se guardan fechados en el repositorio, junto con la versión de cada herramienta y el commit escaneado.</w:t>
      </w:r>
    </w:p>
    <w:p>
      <w:pPr>
        <w:pStyle w:val="ListNumber"/>
      </w:pPr>
      <w:r>
        <w:t>Ninguna corrección de seguridad se integra antes de registrar la línea base del ciclo.</w:t>
      </w:r>
    </w:p>
    <w:p>
      <w:pPr>
        <w:pStyle w:val="Heading2"/>
      </w:pPr>
      <w:r>
        <w:t>6.2 Clasificación y plazos de corrección</w:t>
      </w:r>
    </w:p>
    <w:p>
      <w:pPr>
        <w:pStyle w:val="ListNumber"/>
      </w:pPr>
      <w:r>
        <w:t>Cada hallazgo se clasifica por su CVSS. Si la herramienta no lo informa, el RSI asigna la severidad según impacto y facilidad de explotación, y lo deja escrito.</w:t>
      </w:r>
    </w:p>
    <w:p>
      <w:pPr>
        <w:pStyle w:val="ListNumber"/>
      </w:pPr>
      <w:r>
        <w:t>La severidad puede ajustarse por contexto (exposición a Internet, datos clínicos involucrados, existencia de un exploit público), siempre con justificación.</w:t>
      </w:r>
    </w:p>
    <w:p>
      <w:pPr>
        <w:pStyle w:val="ListNumber"/>
      </w:pPr>
      <w:r>
        <w:t>Los plazos máximos de corrección, contados desde la detección, 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CVSS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Plazo máximo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Crítica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9.0 – 10.0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72 horas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7.0 – 8.9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7 días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4.0 – 6.9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30 días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Baja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0.1 – 3.9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90 días</w:t>
            </w:r>
          </w:p>
        </w:tc>
      </w:tr>
    </w:tbl>
    <w:p/>
    <w:p>
      <w:pPr>
        <w:pStyle w:val="ListNumber"/>
      </w:pPr>
      <w:r>
        <w:t>No se publica una versión con hallazgos críticos o altos abiertos, salvo riesgo aceptado según 6.8.</w:t>
      </w:r>
    </w:p>
    <w:p>
      <w:pPr>
        <w:pStyle w:val="Heading2"/>
      </w:pPr>
      <w:r>
        <w:t>6.3 Dependencias e imágenes</w:t>
      </w:r>
    </w:p>
    <w:p>
      <w:pPr>
        <w:pStyle w:val="ListNumber"/>
      </w:pPr>
      <w:r>
        <w:t>Las dependencias se actualizan a la versión corregida más cercana que sea compatible. Cada cambio de versión se justifica en el pull request con el hallazgo que resuelve.</w:t>
      </w:r>
    </w:p>
    <w:p>
      <w:pPr>
        <w:pStyle w:val="ListNumber"/>
      </w:pPr>
      <w:r>
        <w:t xml:space="preserve">Las versiones se fijan de forma explícita. No se usan etiquetas flotantes como </w:t>
      </w:r>
      <w:r>
        <w:rPr>
          <w:rFonts w:ascii="Consolas" w:hAnsi="Consolas"/>
          <w:sz w:val="19"/>
        </w:rPr>
        <w:t>latest</w:t>
      </w:r>
      <w:r>
        <w:t xml:space="preserve"> en imágenes de servicios de datos.</w:t>
      </w:r>
    </w:p>
    <w:p>
      <w:pPr>
        <w:pStyle w:val="ListNumber"/>
      </w:pPr>
      <w:r>
        <w:t>Las imágenes se construyen sobre bases mantenidas y aplican las actualizaciones de seguridad del sistema operativo en el momento de la construcción.</w:t>
      </w:r>
    </w:p>
    <w:p>
      <w:pPr>
        <w:pStyle w:val="Heading2"/>
      </w:pPr>
      <w:r>
        <w:t>6.4 Revisión obligatoria del código</w:t>
      </w:r>
    </w:p>
    <w:p>
      <w:pPr>
        <w:pStyle w:val="ListNumber"/>
      </w:pPr>
      <w:r>
        <w:t xml:space="preserve">Todo cambio se integra mediante un pull request revisado y aprobado por una persona distinta del autor. No se integra directamente a las ramas </w:t>
      </w:r>
      <w:r>
        <w:rPr>
          <w:rFonts w:ascii="Consolas" w:hAnsi="Consolas"/>
          <w:sz w:val="19"/>
        </w:rPr>
        <w:t>develop</w:t>
      </w:r>
      <w:r>
        <w:t xml:space="preserve"> ni </w:t>
      </w:r>
      <w:r>
        <w:rPr>
          <w:rFonts w:ascii="Consolas" w:hAnsi="Consolas"/>
          <w:sz w:val="19"/>
        </w:rPr>
        <w:t>main</w:t>
      </w:r>
      <w:r>
        <w:t>.</w:t>
      </w:r>
    </w:p>
    <w:p>
      <w:pPr>
        <w:pStyle w:val="ListNumber"/>
      </w:pPr>
      <w:r>
        <w:t>El revisor comprueba, como mínimo: control de acceso en cada endpoint nuevo, validación de entradas, ausencia de secretos, manejo de errores sin filtrar información interna y pruebas del cambio.</w:t>
      </w:r>
    </w:p>
    <w:p>
      <w:pPr>
        <w:pStyle w:val="ListNumber"/>
      </w:pPr>
      <w:r>
        <w:t>Las correcciones de seguridad incluyen una prueba que falle sin la corrección o, si no es posible, evidencia manual antes y después.</w:t>
      </w:r>
    </w:p>
    <w:p>
      <w:pPr>
        <w:pStyle w:val="ListNumber"/>
      </w:pPr>
      <w:r>
        <w:t>El pipeline de integración continua debe pasar antes de la integración.</w:t>
      </w:r>
    </w:p>
    <w:p>
      <w:pPr>
        <w:pStyle w:val="Heading2"/>
      </w:pPr>
      <w:r>
        <w:t>6.5 OWASP Top 10 como referencia</w:t>
      </w:r>
    </w:p>
    <w:p>
      <w:pPr>
        <w:pStyle w:val="ListNumber"/>
      </w:pPr>
      <w:r>
        <w:t>El OWASP Top 10 vigente es la lista de comprobación de las revisiones de código y de las evaluaciones de seguridad.</w:t>
      </w:r>
    </w:p>
    <w:p>
      <w:pPr>
        <w:pStyle w:val="ListNumber"/>
      </w:pPr>
      <w:r>
        <w:t>Cada evaluación documenta, por categoría aplicable: el problema, cómo se podía explotar, la corrección y la prueba posterior.</w:t>
      </w:r>
    </w:p>
    <w:p>
      <w:pPr>
        <w:pStyle w:val="ListNumber"/>
      </w:pPr>
      <w:r>
        <w:t>Tienen prioridad en la plataforma: A01 (control de acceso), A05 (configuración insegura), A07 (identificación y autenticación) y A08 (integridad de software y datos).</w:t>
      </w:r>
    </w:p>
    <w:p>
      <w:pPr>
        <w:pStyle w:val="Heading2"/>
      </w:pPr>
      <w:r>
        <w:t>6.6 Configuración segura por defecto</w:t>
      </w:r>
    </w:p>
    <w:p>
      <w:pPr>
        <w:pStyle w:val="ListNumber"/>
      </w:pPr>
      <w:r>
        <w:t>Los valores por defecto son los seguros: cuentas de demostración desactivadas, CORS con lista de orígenes exactos, puertos internos sin publicar y detalles de diagnóstico ocultos.</w:t>
      </w:r>
    </w:p>
    <w:p>
      <w:pPr>
        <w:pStyle w:val="ListNumber"/>
      </w:pPr>
      <w:r>
        <w:t>Un servicio no arranca si le falta una configuración de la que depende un control de seguridad.</w:t>
      </w:r>
    </w:p>
    <w:p>
      <w:pPr>
        <w:pStyle w:val="ListNumber"/>
      </w:pPr>
      <w:r>
        <w:t>Solo el gateway se expone fuera de la red interna. Los servicios no confían en cabeceras de identidad que no provengan de él.</w:t>
      </w:r>
    </w:p>
    <w:p>
      <w:pPr>
        <w:pStyle w:val="Heading2"/>
      </w:pPr>
      <w:r>
        <w:t>6.7 Gestión y protección de secretos</w:t>
      </w:r>
    </w:p>
    <w:p>
      <w:pPr>
        <w:pStyle w:val="ListNumber"/>
      </w:pPr>
      <w:r>
        <w:t xml:space="preserve">Ningún secreto se guarda en el código, en el historial de Git, en reportes ni en archivos de ejemplo. </w:t>
      </w:r>
      <w:r>
        <w:rPr>
          <w:rFonts w:ascii="Consolas" w:hAnsi="Consolas"/>
          <w:sz w:val="19"/>
        </w:rPr>
        <w:t>.env.example</w:t>
      </w:r>
      <w:r>
        <w:t xml:space="preserve"> contiene solo valores ficticios.</w:t>
      </w:r>
    </w:p>
    <w:p>
      <w:pPr>
        <w:pStyle w:val="ListNumber"/>
      </w:pPr>
      <w:r>
        <w:t>Los secretos reales viven en la bóveda del equipo y se entregan a los servicios por variables de entorno.</w:t>
      </w:r>
    </w:p>
    <w:p>
      <w:pPr>
        <w:pStyle w:val="ListNumber"/>
      </w:pPr>
      <w:r>
        <w:t>Un secreto expuesto se rota de inmediato; borrarlo del último commit no es suficiente.</w:t>
      </w:r>
    </w:p>
    <w:p>
      <w:pPr>
        <w:pStyle w:val="ListNumber"/>
      </w:pPr>
      <w:r>
        <w:t>Los secretos no se escriben en registros ni en mensajes de error.</w:t>
      </w:r>
    </w:p>
    <w:p>
      <w:pPr>
        <w:pStyle w:val="ListNumber"/>
      </w:pPr>
      <w:r>
        <w:t>En desarrollo y pruebas se usan datos sintéticos. No se copian historias clínicas ni identificadores reales.</w:t>
      </w:r>
    </w:p>
    <w:p>
      <w:pPr>
        <w:pStyle w:val="Heading2"/>
      </w:pPr>
      <w:r>
        <w:t>6.8 Excepciones y riesgo aceptado</w:t>
      </w:r>
    </w:p>
    <w:p>
      <w:pPr>
        <w:pStyle w:val="ListNumber"/>
      </w:pPr>
      <w:r>
        <w:t>Si un hallazgo no puede corregirse en plazo, el responsable propone controles compensatorios y solicita la aceptación de riesgo al propietario del sistema.</w:t>
      </w:r>
    </w:p>
    <w:p>
      <w:pPr>
        <w:pStyle w:val="ListNumber"/>
      </w:pPr>
      <w:r>
        <w:t>La aceptación registra: hallazgo, razón, impacto, controles compensatorios, responsable y fecha de vencimiento, que no supera los 90 días.</w:t>
      </w:r>
    </w:p>
    <w:p>
      <w:pPr>
        <w:pStyle w:val="ListNumber"/>
      </w:pPr>
      <w:r>
        <w:t>Un riesgo aceptado no cierra el hallazgo: se revisa en cada ciclo de escaneo hasta su corrección.</w:t>
      </w:r>
    </w:p>
    <w:p>
      <w:pPr>
        <w:pStyle w:val="Heading1"/>
      </w:pPr>
      <w:r>
        <w:t>7. Cumplimiento</w:t>
      </w:r>
    </w:p>
    <w:p>
      <w:r>
        <w:t>El RSI informa en cada ciclo el número de hallazgos por severidad, los corregidos, los vencidos y los riesgos aceptados vigentes. El incumplimiento reiterado de los plazos o la integración de código sin revisión se escala al propietario del sistema.</w:t>
      </w:r>
    </w:p>
    <w:p>
      <w:pPr>
        <w:pStyle w:val="Heading1"/>
      </w:pPr>
      <w:r>
        <w:t>8. Revisión de la política</w:t>
      </w:r>
    </w:p>
    <w:p>
      <w:r>
        <w:t>Esta política se revisa una vez al año y cada vez que cambian las herramientas de escaneo, la arquitectura de despliegue o la versión vigente del OWASP Top 10.</w:t>
      </w:r>
    </w:p>
    <w:p>
      <w:pPr>
        <w:pStyle w:val="Heading1"/>
      </w:pPr>
      <w:r>
        <w:t>9.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Autor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Cambio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12/10/2026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Juan Jose Claros Suntura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Versión inicial.</w:t>
            </w:r>
          </w:p>
        </w:tc>
      </w:tr>
    </w:tbl>
    <w:p/>
    <w:p>
      <w:pPr>
        <w:pStyle w:val="Heading1"/>
      </w:pPr>
      <w:r>
        <w:t>10. Aprobación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Nombre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Firma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Elaboró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Juan Jose Claros Suntura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12/10/2026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Revisó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Aprobó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Anexo A. Implementación en la plataforma</w:t>
      </w:r>
    </w:p>
    <w:p>
      <w:r>
        <w:t>Estado al 12/10/2026 de los controles técnicos que respaldan esta política.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Lineamiento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Control técnico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Referencia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6.1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Escaneo con ZAP, Trivy imagen y Trivy filesystem mediante </w:t>
            </w:r>
            <w:r>
              <w:rPr>
                <w:rFonts w:ascii="Consolas" w:hAnsi="Consolas"/>
                <w:sz w:val="19"/>
              </w:rPr>
              <w:t>docs/seguridad/escaneos/escanear.sh</w:t>
            </w:r>
            <w:r>
              <w:rPr>
                <w:sz w:val="19"/>
              </w:rPr>
              <w:t>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Implementado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VULN-01, VULN-02, PR-04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6.1.1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OWASP Dependency-Check sobre los </w:t>
            </w:r>
            <w:r>
              <w:rPr>
                <w:rFonts w:ascii="Consolas" w:hAnsi="Consolas"/>
                <w:sz w:val="19"/>
              </w:rPr>
              <w:t>pom.xml</w:t>
            </w:r>
            <w:r>
              <w:rPr>
                <w:sz w:val="19"/>
              </w:rPr>
              <w:t>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No ejecutado en este ciclo; se usó Trivy filesystem como equivalente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PR-04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6.2.4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Hallazgos críticos y altos de Trivy corregidos antes de la entrega.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Implementado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HARD-04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6.4.4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Pipeline de calidad del backend en cada pull request.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Implementado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.github/workflows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6.6.1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Cuentas demo desactivadas, CORS con orígenes exactos y Actuator sin detalles.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Implementado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HARD-03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6.6.2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El servicio de notificaciones no arranca con proveedor </w:t>
            </w:r>
            <w:r>
              <w:rPr>
                <w:rFonts w:ascii="Consolas" w:hAnsi="Consolas"/>
                <w:sz w:val="19"/>
              </w:rPr>
              <w:t>meta</w:t>
            </w:r>
            <w:r>
              <w:rPr>
                <w:sz w:val="19"/>
              </w:rPr>
              <w:t xml:space="preserve"> sin secreto del webhook.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Implementado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HARD-03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6.6.3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Red interna </w:t>
            </w:r>
            <w:r>
              <w:rPr>
                <w:rFonts w:ascii="Consolas" w:hAnsi="Consolas"/>
                <w:sz w:val="19"/>
              </w:rPr>
              <w:t>medicalsys-interna</w:t>
            </w:r>
            <w:r>
              <w:rPr>
                <w:sz w:val="19"/>
              </w:rPr>
              <w:t>; solo el gateway publica puerto.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Implementado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HARD-01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6.7.2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Bóveda de secretos del equipo.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En curso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PWM-01, PR-08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3F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3F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43F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