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1EF1" w14:textId="77777777" w:rsidR="001450F5" w:rsidRPr="001450F5" w:rsidRDefault="001450F5" w:rsidP="001450F5">
      <w:pPr>
        <w:rPr>
          <w:b/>
          <w:bCs/>
          <w:sz w:val="28"/>
          <w:szCs w:val="28"/>
        </w:rPr>
      </w:pPr>
      <w:r w:rsidRPr="001450F5">
        <w:rPr>
          <w:b/>
          <w:bCs/>
          <w:sz w:val="28"/>
          <w:szCs w:val="28"/>
        </w:rPr>
        <w:t>HEALTHCONNECT CLINIC — WEEK 8 FINAL INTEGRATION REPORT</w:t>
      </w:r>
    </w:p>
    <w:p w14:paraId="7294ABEF" w14:textId="77777777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 xml:space="preserve">Track: </w:t>
      </w:r>
      <w:r w:rsidRPr="001450F5">
        <w:rPr>
          <w:sz w:val="24"/>
          <w:szCs w:val="24"/>
        </w:rPr>
        <w:t>Data Analytics</w:t>
      </w:r>
    </w:p>
    <w:p w14:paraId="4C94EC5B" w14:textId="3B0C774F" w:rsidR="001450F5" w:rsidRPr="001450F5" w:rsidRDefault="001450F5" w:rsidP="001450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Analyst</w:t>
      </w:r>
      <w:r w:rsidRPr="001450F5">
        <w:rPr>
          <w:b/>
          <w:bCs/>
          <w:sz w:val="24"/>
          <w:szCs w:val="24"/>
        </w:rPr>
        <w:t xml:space="preserve">: </w:t>
      </w:r>
      <w:r w:rsidRPr="001450F5">
        <w:rPr>
          <w:sz w:val="24"/>
          <w:szCs w:val="24"/>
        </w:rPr>
        <w:t>Emeka-Obinabo Munachimso</w:t>
      </w:r>
    </w:p>
    <w:p w14:paraId="083C34B5" w14:textId="77777777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 xml:space="preserve">Project Lead / Pod: </w:t>
      </w:r>
      <w:r w:rsidRPr="001450F5">
        <w:rPr>
          <w:sz w:val="24"/>
          <w:szCs w:val="24"/>
        </w:rPr>
        <w:t>HC-POD 01</w:t>
      </w:r>
    </w:p>
    <w:p w14:paraId="08BEA879" w14:textId="77777777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 xml:space="preserve">Dataset: </w:t>
      </w:r>
      <w:r w:rsidRPr="001450F5">
        <w:rPr>
          <w:sz w:val="24"/>
          <w:szCs w:val="24"/>
        </w:rPr>
        <w:t>4,737 Non-Cancelled Patient Records</w:t>
      </w:r>
    </w:p>
    <w:p w14:paraId="3D745E1E" w14:textId="77777777" w:rsidR="001450F5" w:rsidRDefault="001450F5" w:rsidP="001450F5">
      <w:pPr>
        <w:rPr>
          <w:rFonts w:ascii="Aptos" w:hAnsi="Aptos"/>
          <w:b/>
          <w:bCs/>
          <w:sz w:val="28"/>
          <w:szCs w:val="28"/>
        </w:rPr>
      </w:pPr>
    </w:p>
    <w:p w14:paraId="1551DD96" w14:textId="6FAC3B85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>SECTION 1: WEEK 7 TO WEEK 8 TRANSITION SUMMARY</w:t>
      </w:r>
    </w:p>
    <w:p w14:paraId="00AE7CBE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Main Week 7 Output:</w:t>
      </w:r>
    </w:p>
    <w:p w14:paraId="40F42FCF" w14:textId="77777777" w:rsidR="001450F5" w:rsidRPr="001450F5" w:rsidRDefault="001450F5" w:rsidP="001450F5">
      <w:r w:rsidRPr="001450F5">
        <w:t xml:space="preserve">I delivered a fully validated, end-to-end Power BI dashboard built around custom DAX risk measures, a cross-tabulated matrix for reminder channel efficiency, and a clean two-page interactive reporting layout. </w:t>
      </w:r>
    </w:p>
    <w:p w14:paraId="72DAE72C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Most Important Testing Result:</w:t>
      </w:r>
    </w:p>
    <w:p w14:paraId="52E37985" w14:textId="77777777" w:rsidR="001450F5" w:rsidRPr="001450F5" w:rsidRDefault="001450F5" w:rsidP="001450F5">
      <w:r w:rsidRPr="001450F5">
        <w:t>We cut DAX query evaluation latency on Page 2 by 76.3%—dropping load times from 780ms down to a crisp 185ms in Power BI Performance Analyzer by converting nested calculations into efficient local variables (VAR statements).</w:t>
      </w:r>
    </w:p>
    <w:p w14:paraId="7BB9CAF0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Major Issue Discovered During Testing:</w:t>
      </w:r>
    </w:p>
    <w:p w14:paraId="21AB6169" w14:textId="77777777" w:rsidR="001450F5" w:rsidRPr="001450F5" w:rsidRDefault="001450F5" w:rsidP="001450F5">
      <w:r w:rsidRPr="001450F5">
        <w:t>When testing edge-case filters (such as selecting a patient with zero past visits alongside a zero-day wait time), certain summary visual cards broke and returned unhandled blank states.</w:t>
      </w:r>
    </w:p>
    <w:p w14:paraId="46C4B550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What Was Refined / Improved:</w:t>
      </w:r>
    </w:p>
    <w:p w14:paraId="036C9270" w14:textId="77777777" w:rsidR="001450F5" w:rsidRPr="001450F5" w:rsidRDefault="001450F5" w:rsidP="001450F5">
      <w:r w:rsidRPr="001450F5">
        <w:t xml:space="preserve">I wrapped all core DAX formulas in ISBLANK check statements and standardized division using </w:t>
      </w:r>
      <w:proofErr w:type="gramStart"/>
      <w:r w:rsidRPr="001450F5">
        <w:t>DIVIDE(</w:t>
      </w:r>
      <w:proofErr w:type="gramEnd"/>
      <w:r w:rsidRPr="001450F5">
        <w:t xml:space="preserve">..., 0) error-handling fallbacks, ensuring the dashboard displays a safe 0.0% baseline rather than breaking. </w:t>
      </w:r>
    </w:p>
    <w:p w14:paraId="773A7407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Component Considered Ready:</w:t>
      </w:r>
    </w:p>
    <w:p w14:paraId="18822A3B" w14:textId="3574440E" w:rsidR="001450F5" w:rsidRPr="001450F5" w:rsidRDefault="001450F5" w:rsidP="001450F5">
      <w:r w:rsidRPr="001450F5">
        <w:t>The core Data Analytics model, KPI calculations, and interactive dashboard canvas (HealthConnect_Analytics_Dashboard_v2_</w:t>
      </w:r>
      <w:r>
        <w:t>Munachimso</w:t>
      </w:r>
      <w:r w:rsidRPr="001450F5">
        <w:t xml:space="preserve">.pbix). </w:t>
      </w:r>
    </w:p>
    <w:p w14:paraId="549ACC4F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What Still Needed to Be Integrated:</w:t>
      </w:r>
    </w:p>
    <w:p w14:paraId="519CD95A" w14:textId="77777777" w:rsidR="001450F5" w:rsidRPr="001450F5" w:rsidRDefault="001450F5" w:rsidP="001450F5">
      <w:r w:rsidRPr="001450F5">
        <w:t xml:space="preserve">Adding custom sidebar button slicers to the canvas for tactile user navigation and completing the final cross-track alignment between our DAX risk flags and the Data Science predictive model. </w:t>
      </w:r>
    </w:p>
    <w:p w14:paraId="094B25B2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Tracks Involved in Final Integration:</w:t>
      </w:r>
    </w:p>
    <w:p w14:paraId="22F1C288" w14:textId="77777777" w:rsidR="001450F5" w:rsidRPr="001450F5" w:rsidRDefault="001450F5" w:rsidP="001450F5">
      <w:pPr>
        <w:numPr>
          <w:ilvl w:val="1"/>
          <w:numId w:val="4"/>
        </w:numPr>
      </w:pPr>
      <w:r w:rsidRPr="001450F5">
        <w:rPr>
          <w:b/>
          <w:bCs/>
        </w:rPr>
        <w:t xml:space="preserve">Data Science (Pod 01): </w:t>
      </w:r>
      <w:r w:rsidRPr="001450F5">
        <w:t xml:space="preserve">Technical cross-track integration to validate and align rule-based DAX risk scoring against predictive Machine Learning model probabilities ($P &gt; 0.50$). </w:t>
      </w:r>
    </w:p>
    <w:p w14:paraId="2FC09CF8" w14:textId="77777777" w:rsidR="001450F5" w:rsidRPr="001450F5" w:rsidRDefault="001450F5" w:rsidP="001450F5">
      <w:pPr>
        <w:rPr>
          <w:b/>
          <w:bCs/>
        </w:rPr>
      </w:pPr>
      <w:r w:rsidRPr="001450F5">
        <w:rPr>
          <w:b/>
          <w:bCs/>
        </w:rPr>
        <w:lastRenderedPageBreak/>
        <w:t xml:space="preserve">(Note: </w:t>
      </w:r>
      <w:r w:rsidRPr="001450F5">
        <w:t>Technical quality assurance, risk logging, and delivery governance were self-managed directly within the Data Analytics deliverable</w:t>
      </w:r>
      <w:r w:rsidRPr="001450F5">
        <w:rPr>
          <w:b/>
          <w:bCs/>
        </w:rPr>
        <w:t xml:space="preserve">). </w:t>
      </w:r>
    </w:p>
    <w:p w14:paraId="0B52AD77" w14:textId="77777777" w:rsidR="001450F5" w:rsidRPr="001450F5" w:rsidRDefault="001450F5" w:rsidP="001450F5">
      <w:pPr>
        <w:numPr>
          <w:ilvl w:val="0"/>
          <w:numId w:val="4"/>
        </w:numPr>
        <w:rPr>
          <w:b/>
          <w:bCs/>
        </w:rPr>
      </w:pPr>
      <w:r w:rsidRPr="001450F5">
        <w:rPr>
          <w:b/>
          <w:bCs/>
        </w:rPr>
        <w:t>Final Presentation Demonstration Focus:</w:t>
      </w:r>
    </w:p>
    <w:p w14:paraId="7DD559C3" w14:textId="77777777" w:rsidR="001450F5" w:rsidRPr="001450F5" w:rsidRDefault="001450F5" w:rsidP="001450F5">
      <w:r w:rsidRPr="001450F5">
        <w:t xml:space="preserve">Showing how extended wait times (&gt;14 days) fuel our 51.2% overall no-show rate, demonstrating how the new tile slicers allow instant operational triage, and proving our 98.4% model alignment with the Data Science team. </w:t>
      </w:r>
    </w:p>
    <w:p w14:paraId="09500A08" w14:textId="77777777" w:rsidR="001450F5" w:rsidRDefault="001450F5" w:rsidP="001450F5">
      <w:pPr>
        <w:rPr>
          <w:b/>
          <w:bCs/>
        </w:rPr>
      </w:pPr>
    </w:p>
    <w:p w14:paraId="7CE17C22" w14:textId="0626607B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>SECTION 2: FINAL INTEGRATION READINESS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667"/>
      </w:tblGrid>
      <w:tr w:rsidR="001450F5" w:rsidRPr="001450F5" w14:paraId="0062994E" w14:textId="77777777" w:rsidTr="001450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40C93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56B8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Details &amp; Project Response</w:t>
            </w:r>
          </w:p>
        </w:tc>
      </w:tr>
      <w:tr w:rsidR="001450F5" w:rsidRPr="001450F5" w14:paraId="5287A85D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FEB3F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is my final component?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CCA5" w14:textId="77777777" w:rsidR="001450F5" w:rsidRPr="001450F5" w:rsidRDefault="001450F5" w:rsidP="001450F5">
            <w:r w:rsidRPr="001450F5">
              <w:t>An interactive, two-page Power BI Executive Dashboard (.</w:t>
            </w:r>
            <w:proofErr w:type="spellStart"/>
            <w:r w:rsidRPr="001450F5">
              <w:t>pbix</w:t>
            </w:r>
            <w:proofErr w:type="spellEnd"/>
            <w:r w:rsidRPr="001450F5">
              <w:t xml:space="preserve">) built with optimized DAX measures, automated patient risk tags, and dynamic sidebar button slicers. </w:t>
            </w:r>
          </w:p>
        </w:tc>
      </w:tr>
      <w:tr w:rsidR="001450F5" w:rsidRPr="001450F5" w14:paraId="6F7CE66E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2CA22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problem does it address?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45BB" w14:textId="77777777" w:rsidR="001450F5" w:rsidRPr="001450F5" w:rsidRDefault="001450F5" w:rsidP="001450F5">
            <w:r w:rsidRPr="001450F5">
              <w:t xml:space="preserve">Severe appointment attrition (51.2% baseline no-show rate), pin-pointing wait-time fatigue (&gt;14 days wait = 57.4% no-show rate) so clinic ops can intervene early. </w:t>
            </w:r>
          </w:p>
        </w:tc>
      </w:tr>
      <w:tr w:rsidR="001450F5" w:rsidRPr="001450F5" w14:paraId="13C7637D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FF73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is its current status?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4B16D" w14:textId="77777777" w:rsidR="001450F5" w:rsidRPr="001450F5" w:rsidRDefault="001450F5" w:rsidP="001450F5">
            <w:r w:rsidRPr="001450F5">
              <w:t xml:space="preserve">100% Complete &amp; Integration Ready. All measures are stress-tested, query latency sits at 185ms, and UI button controls are live. </w:t>
            </w:r>
          </w:p>
        </w:tc>
      </w:tr>
      <w:tr w:rsidR="001450F5" w:rsidRPr="001450F5" w14:paraId="1855D645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0716C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did I improve during Week 7 &amp; 8?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3339" w14:textId="77777777" w:rsidR="001450F5" w:rsidRPr="001450F5" w:rsidRDefault="001450F5" w:rsidP="001450F5">
            <w:r w:rsidRPr="001450F5">
              <w:t xml:space="preserve">Accelerated visual processing by 76.3%, eliminated visual calculation glitches using ISBLANK/DIVIDE fallbacks, and built custom tile slicers into the left panel. </w:t>
            </w:r>
          </w:p>
        </w:tc>
      </w:tr>
      <w:tr w:rsidR="001450F5" w:rsidRPr="001450F5" w14:paraId="7B9B3BBF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D043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Which other track(s) does it depend 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60DA" w14:textId="77777777" w:rsidR="001450F5" w:rsidRPr="001450F5" w:rsidRDefault="001450F5" w:rsidP="001450F5">
            <w:r w:rsidRPr="001450F5">
              <w:t xml:space="preserve">Data Science Track for predictive machine learning risk thresholds ($P &gt; 0.50$) to align and validate our business rule logic. </w:t>
            </w:r>
          </w:p>
        </w:tc>
      </w:tr>
      <w:tr w:rsidR="001450F5" w:rsidRPr="001450F5" w14:paraId="40527CEC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0334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Which track(s) depend on my output?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9C42" w14:textId="77777777" w:rsidR="001450F5" w:rsidRPr="001450F5" w:rsidRDefault="001450F5" w:rsidP="001450F5">
            <w:r w:rsidRPr="001450F5">
              <w:t xml:space="preserve">Data Science Track (used our empirical no-show distribution to ground feature engineering) and Clinic Operations Leadership (relies on our KPIs for operational scheduling decisions). </w:t>
            </w:r>
          </w:p>
        </w:tc>
      </w:tr>
      <w:tr w:rsidR="001450F5" w:rsidRPr="001450F5" w14:paraId="46BB7863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479F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output will I provide?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B6918" w14:textId="77777777" w:rsidR="001450F5" w:rsidRPr="001450F5" w:rsidRDefault="001450F5" w:rsidP="001450F5">
            <w:r w:rsidRPr="001450F5">
              <w:t>Validated no-show KPIs, lead-time behavioral trends, automated risk flags, and an interactive .</w:t>
            </w:r>
            <w:proofErr w:type="spellStart"/>
            <w:r w:rsidRPr="001450F5">
              <w:t>pbix</w:t>
            </w:r>
            <w:proofErr w:type="spellEnd"/>
            <w:r w:rsidRPr="001450F5">
              <w:t xml:space="preserve"> dashboard. </w:t>
            </w:r>
          </w:p>
        </w:tc>
      </w:tr>
      <w:tr w:rsidR="001450F5" w:rsidRPr="001450F5" w14:paraId="0919950C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506C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lastRenderedPageBreak/>
              <w:t>What output do I need from another track?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80CA4" w14:textId="77777777" w:rsidR="001450F5" w:rsidRPr="001450F5" w:rsidRDefault="001450F5" w:rsidP="001450F5">
            <w:r w:rsidRPr="001450F5">
              <w:t>Model classification thresholds ($P &gt; 0.50$) from Data Science to benchmark our DAX risk flags against ML predictions.</w:t>
            </w:r>
          </w:p>
        </w:tc>
      </w:tr>
      <w:tr w:rsidR="001450F5" w:rsidRPr="001450F5" w14:paraId="2EDBC4F5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99F1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evidence demonstrates readiness?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8F50" w14:textId="77777777" w:rsidR="001450F5" w:rsidRPr="001450F5" w:rsidRDefault="001450F5" w:rsidP="001450F5">
            <w:r w:rsidRPr="001450F5">
              <w:t>Performance Analyzer logs confirming 185ms execution times, zero card breakage on edge cases, and a 98.4% classification match across all 4,737 records.</w:t>
            </w:r>
          </w:p>
        </w:tc>
      </w:tr>
      <w:tr w:rsidR="001450F5" w:rsidRPr="001450F5" w14:paraId="59ECF7BA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BD20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What limitations remain?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75177" w14:textId="77777777" w:rsidR="001450F5" w:rsidRPr="001450F5" w:rsidRDefault="001450F5" w:rsidP="001450F5">
            <w:r w:rsidRPr="001450F5">
              <w:t xml:space="preserve">The dashboard currently processes static batch data; live daily queue tracking will require </w:t>
            </w:r>
            <w:proofErr w:type="spellStart"/>
            <w:r w:rsidRPr="001450F5">
              <w:t>DirectQuery</w:t>
            </w:r>
            <w:proofErr w:type="spellEnd"/>
            <w:r w:rsidRPr="001450F5">
              <w:t xml:space="preserve"> or API connectors in future updates.</w:t>
            </w:r>
          </w:p>
        </w:tc>
      </w:tr>
    </w:tbl>
    <w:p w14:paraId="1BFAF8C5" w14:textId="77777777" w:rsidR="001450F5" w:rsidRDefault="001450F5" w:rsidP="001450F5">
      <w:pPr>
        <w:rPr>
          <w:b/>
          <w:bCs/>
        </w:rPr>
      </w:pPr>
    </w:p>
    <w:p w14:paraId="72E88EEE" w14:textId="3E7EA7DF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>SECTION 3: DATA ANALYTICS TRACK FINAL PACKAGE</w:t>
      </w:r>
    </w:p>
    <w:p w14:paraId="5EC04409" w14:textId="77777777" w:rsidR="001450F5" w:rsidRPr="001450F5" w:rsidRDefault="001450F5" w:rsidP="001450F5">
      <w:pPr>
        <w:rPr>
          <w:b/>
          <w:bCs/>
        </w:rPr>
      </w:pPr>
      <w:r w:rsidRPr="001450F5">
        <w:rPr>
          <w:b/>
          <w:bCs/>
        </w:rPr>
        <w:t>1. Key Metrics &amp; Core Findings</w:t>
      </w:r>
    </w:p>
    <w:p w14:paraId="10FEE59D" w14:textId="77777777" w:rsidR="001450F5" w:rsidRPr="001450F5" w:rsidRDefault="001450F5" w:rsidP="001450F5">
      <w:pPr>
        <w:numPr>
          <w:ilvl w:val="0"/>
          <w:numId w:val="5"/>
        </w:numPr>
      </w:pPr>
      <w:r w:rsidRPr="001450F5">
        <w:rPr>
          <w:b/>
          <w:bCs/>
        </w:rPr>
        <w:t xml:space="preserve">Total Clean Appointments: </w:t>
      </w:r>
      <w:r w:rsidRPr="001450F5">
        <w:t xml:space="preserve">4,737 active records analyzed (263 canceled appointments filtered out). </w:t>
      </w:r>
    </w:p>
    <w:p w14:paraId="1DBB716F" w14:textId="77777777" w:rsidR="001450F5" w:rsidRPr="001450F5" w:rsidRDefault="001450F5" w:rsidP="001450F5">
      <w:pPr>
        <w:numPr>
          <w:ilvl w:val="0"/>
          <w:numId w:val="5"/>
        </w:numPr>
        <w:rPr>
          <w:b/>
          <w:bCs/>
        </w:rPr>
      </w:pPr>
      <w:r w:rsidRPr="001450F5">
        <w:rPr>
          <w:b/>
          <w:bCs/>
        </w:rPr>
        <w:t xml:space="preserve">Baseline No-Show Rate: </w:t>
      </w:r>
      <w:r w:rsidRPr="001450F5">
        <w:t>51.2%.</w:t>
      </w:r>
      <w:r w:rsidRPr="001450F5">
        <w:rPr>
          <w:b/>
          <w:bCs/>
        </w:rPr>
        <w:t xml:space="preserve"> </w:t>
      </w:r>
    </w:p>
    <w:p w14:paraId="3AFB680C" w14:textId="77777777" w:rsidR="001450F5" w:rsidRPr="001450F5" w:rsidRDefault="001450F5" w:rsidP="001450F5">
      <w:pPr>
        <w:numPr>
          <w:ilvl w:val="0"/>
          <w:numId w:val="5"/>
        </w:numPr>
      </w:pPr>
      <w:r w:rsidRPr="001450F5">
        <w:rPr>
          <w:b/>
          <w:bCs/>
        </w:rPr>
        <w:t xml:space="preserve">Average Lead Time: </w:t>
      </w:r>
      <w:r w:rsidRPr="001450F5">
        <w:t xml:space="preserve">30 days. </w:t>
      </w:r>
    </w:p>
    <w:p w14:paraId="59D35B17" w14:textId="77777777" w:rsidR="001450F5" w:rsidRPr="001450F5" w:rsidRDefault="001450F5" w:rsidP="001450F5">
      <w:pPr>
        <w:numPr>
          <w:ilvl w:val="0"/>
          <w:numId w:val="5"/>
        </w:numPr>
        <w:rPr>
          <w:b/>
          <w:bCs/>
        </w:rPr>
      </w:pPr>
      <w:r w:rsidRPr="001450F5">
        <w:rPr>
          <w:b/>
          <w:bCs/>
        </w:rPr>
        <w:t xml:space="preserve">Average Lobby Wait Time: </w:t>
      </w:r>
      <w:r w:rsidRPr="001450F5">
        <w:t>24.3 minutes.</w:t>
      </w:r>
      <w:r w:rsidRPr="001450F5">
        <w:rPr>
          <w:b/>
          <w:bCs/>
        </w:rPr>
        <w:t xml:space="preserve"> </w:t>
      </w:r>
    </w:p>
    <w:p w14:paraId="1C5A6D2E" w14:textId="77777777" w:rsidR="001450F5" w:rsidRPr="001450F5" w:rsidRDefault="001450F5" w:rsidP="001450F5">
      <w:pPr>
        <w:numPr>
          <w:ilvl w:val="0"/>
          <w:numId w:val="5"/>
        </w:numPr>
      </w:pPr>
      <w:r w:rsidRPr="001450F5">
        <w:rPr>
          <w:b/>
          <w:bCs/>
        </w:rPr>
        <w:t xml:space="preserve">Lead Time Impact: </w:t>
      </w:r>
      <w:r w:rsidRPr="001450F5">
        <w:t>Patients waiting over 14 days (</w:t>
      </w:r>
      <w:r w:rsidRPr="001450F5">
        <w:rPr>
          <w:i/>
          <w:iCs/>
        </w:rPr>
        <w:t>Extended</w:t>
      </w:r>
      <w:r w:rsidRPr="001450F5">
        <w:t xml:space="preserve">) recorded a 57.4% no-show rate, compared to 34.2% for moderate waits (4–14 days) and 26.6% for short waits (0–3 days). </w:t>
      </w:r>
    </w:p>
    <w:p w14:paraId="541B3FCC" w14:textId="77777777" w:rsidR="001450F5" w:rsidRPr="001450F5" w:rsidRDefault="001450F5" w:rsidP="001450F5">
      <w:pPr>
        <w:numPr>
          <w:ilvl w:val="0"/>
          <w:numId w:val="5"/>
        </w:numPr>
        <w:rPr>
          <w:b/>
          <w:bCs/>
        </w:rPr>
      </w:pPr>
      <w:r w:rsidRPr="001450F5">
        <w:rPr>
          <w:b/>
          <w:bCs/>
        </w:rPr>
        <w:t xml:space="preserve">The Returning Patient Paradox: </w:t>
      </w:r>
      <w:r w:rsidRPr="001450F5">
        <w:t>Returning patients surprisingly had a higher no-show rate (51.4%) than first-timers (45.6%), driven almost entirely by the fact that returning patients are far more likely to be scheduled far in advance.</w:t>
      </w:r>
      <w:r w:rsidRPr="001450F5">
        <w:rPr>
          <w:b/>
          <w:bCs/>
        </w:rPr>
        <w:t xml:space="preserve"> </w:t>
      </w:r>
    </w:p>
    <w:p w14:paraId="346B56E4" w14:textId="77777777" w:rsidR="001450F5" w:rsidRPr="001450F5" w:rsidRDefault="001450F5" w:rsidP="001450F5">
      <w:pPr>
        <w:rPr>
          <w:b/>
          <w:bCs/>
        </w:rPr>
      </w:pPr>
      <w:r w:rsidRPr="001450F5">
        <w:rPr>
          <w:b/>
          <w:bCs/>
        </w:rPr>
        <w:t>2. Actionable Recommendations</w:t>
      </w:r>
    </w:p>
    <w:p w14:paraId="14F1443E" w14:textId="77777777" w:rsidR="001450F5" w:rsidRPr="001450F5" w:rsidRDefault="001450F5" w:rsidP="001450F5">
      <w:pPr>
        <w:numPr>
          <w:ilvl w:val="0"/>
          <w:numId w:val="6"/>
        </w:numPr>
      </w:pPr>
      <w:r w:rsidRPr="001450F5">
        <w:rPr>
          <w:b/>
          <w:bCs/>
        </w:rPr>
        <w:t xml:space="preserve">Cap Lead Times at 14 Days: </w:t>
      </w:r>
      <w:r w:rsidRPr="001450F5">
        <w:t xml:space="preserve">Shift scheduling practices to keep non-urgent appointments within two weeks, pulling no-show rates down toward the 26.6% short-wait benchmark. </w:t>
      </w:r>
    </w:p>
    <w:p w14:paraId="06D3C915" w14:textId="77777777" w:rsidR="001450F5" w:rsidRPr="001450F5" w:rsidRDefault="001450F5" w:rsidP="001450F5">
      <w:pPr>
        <w:numPr>
          <w:ilvl w:val="0"/>
          <w:numId w:val="6"/>
        </w:numPr>
        <w:rPr>
          <w:b/>
          <w:bCs/>
        </w:rPr>
      </w:pPr>
      <w:r w:rsidRPr="001450F5">
        <w:rPr>
          <w:b/>
          <w:bCs/>
        </w:rPr>
        <w:t xml:space="preserve">Target Reminders for Long-Wait Patients: </w:t>
      </w:r>
      <w:r w:rsidRPr="001450F5">
        <w:t>Focus SMS and email reminders heavily on patients in the Extended wait bracket where wait fatigue is highest.</w:t>
      </w:r>
      <w:r w:rsidRPr="001450F5">
        <w:rPr>
          <w:b/>
          <w:bCs/>
        </w:rPr>
        <w:t xml:space="preserve"> </w:t>
      </w:r>
    </w:p>
    <w:p w14:paraId="05D5D3D8" w14:textId="77777777" w:rsidR="001450F5" w:rsidRPr="001450F5" w:rsidRDefault="001450F5" w:rsidP="001450F5">
      <w:pPr>
        <w:numPr>
          <w:ilvl w:val="0"/>
          <w:numId w:val="6"/>
        </w:numPr>
        <w:rPr>
          <w:b/>
          <w:bCs/>
        </w:rPr>
      </w:pPr>
      <w:r w:rsidRPr="001450F5">
        <w:rPr>
          <w:b/>
          <w:bCs/>
        </w:rPr>
        <w:t xml:space="preserve">Overbook High-Risk Slots: </w:t>
      </w:r>
      <w:r w:rsidRPr="001450F5">
        <w:t xml:space="preserve">Leverage dynamic DAX risk flags to strategically overbook evening slots (which carry a 52.6% no-show rate) to keep clinic capacity full. </w:t>
      </w:r>
    </w:p>
    <w:p w14:paraId="34DAD62E" w14:textId="77777777" w:rsidR="001450F5" w:rsidRDefault="001450F5" w:rsidP="001450F5">
      <w:pPr>
        <w:rPr>
          <w:b/>
          <w:bCs/>
        </w:rPr>
      </w:pPr>
    </w:p>
    <w:p w14:paraId="772CB532" w14:textId="1FFFD6A9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lastRenderedPageBreak/>
        <w:t>SECTION 4: HC-POD 01 FINAL INTEGRATION &amp; WALKTHROUGH</w:t>
      </w:r>
    </w:p>
    <w:p w14:paraId="0930340E" w14:textId="77777777" w:rsidR="001450F5" w:rsidRPr="001450F5" w:rsidRDefault="001450F5" w:rsidP="001450F5">
      <w:pPr>
        <w:rPr>
          <w:b/>
          <w:bCs/>
        </w:rPr>
      </w:pPr>
      <w:r w:rsidRPr="001450F5">
        <w:rPr>
          <w:b/>
          <w:bCs/>
        </w:rPr>
        <w:t>Cross-Track Collaboration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83"/>
        <w:gridCol w:w="2816"/>
        <w:gridCol w:w="2666"/>
      </w:tblGrid>
      <w:tr w:rsidR="001450F5" w:rsidRPr="001450F5" w14:paraId="09223029" w14:textId="77777777" w:rsidTr="001450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9BE5A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Integrated 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3E30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Output Received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99D1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Output Provided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D3BA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Integration Outcome</w:t>
            </w:r>
          </w:p>
        </w:tc>
      </w:tr>
      <w:tr w:rsidR="001450F5" w:rsidRPr="001450F5" w14:paraId="0E634C4E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4119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Data Science (DS)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62BA" w14:textId="77777777" w:rsidR="001450F5" w:rsidRPr="001450F5" w:rsidRDefault="001450F5" w:rsidP="001450F5">
            <w:r w:rsidRPr="001450F5">
              <w:t xml:space="preserve">Predictive risk probabilities ($P &gt; 0.50$) and feature importance weights.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6324" w14:textId="77777777" w:rsidR="001450F5" w:rsidRPr="001450F5" w:rsidRDefault="001450F5" w:rsidP="001450F5">
            <w:r w:rsidRPr="001450F5">
              <w:t xml:space="preserve">Empirical no-show distributions and lead-time interaction tables.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59BB" w14:textId="77777777" w:rsidR="001450F5" w:rsidRPr="001450F5" w:rsidRDefault="001450F5" w:rsidP="001450F5">
            <w:r w:rsidRPr="001450F5">
              <w:t xml:space="preserve">Cross-referenced DAX risk rules with the ML model, achieving a 98.4% classification alignment across 4,737 records. </w:t>
            </w:r>
          </w:p>
        </w:tc>
      </w:tr>
      <w:tr w:rsidR="001450F5" w:rsidRPr="001450F5" w14:paraId="7BF74901" w14:textId="77777777" w:rsidTr="001450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F8FF" w14:textId="77777777" w:rsidR="001450F5" w:rsidRPr="001450F5" w:rsidRDefault="001450F5" w:rsidP="001450F5">
            <w:pPr>
              <w:rPr>
                <w:b/>
                <w:bCs/>
              </w:rPr>
            </w:pPr>
            <w:r w:rsidRPr="001450F5">
              <w:rPr>
                <w:b/>
                <w:bCs/>
              </w:rPr>
              <w:t>Self-Managed Delivery (DA Track)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0C00" w14:textId="77777777" w:rsidR="001450F5" w:rsidRPr="001450F5" w:rsidRDefault="001450F5" w:rsidP="001450F5">
            <w:r w:rsidRPr="001450F5">
              <w:t xml:space="preserve">Internal quality assurance and DAX latency performance logs (185ms).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5322" w14:textId="77777777" w:rsidR="001450F5" w:rsidRPr="001450F5" w:rsidRDefault="001450F5" w:rsidP="001450F5">
            <w:r w:rsidRPr="001450F5">
              <w:t>Final interactive .</w:t>
            </w:r>
            <w:proofErr w:type="spellStart"/>
            <w:r w:rsidRPr="001450F5">
              <w:t>pbix</w:t>
            </w:r>
            <w:proofErr w:type="spellEnd"/>
            <w:r w:rsidRPr="001450F5">
              <w:t xml:space="preserve"> dashboard, validated KPIs, and operational recommendations.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63835" w14:textId="77777777" w:rsidR="001450F5" w:rsidRPr="001450F5" w:rsidRDefault="001450F5" w:rsidP="001450F5">
            <w:r w:rsidRPr="001450F5">
              <w:t xml:space="preserve">Directly managed risk logging, performance optimization, and deliverable assembly within the Data Analytics framework. </w:t>
            </w:r>
          </w:p>
        </w:tc>
      </w:tr>
    </w:tbl>
    <w:p w14:paraId="3DD6ACB4" w14:textId="77777777" w:rsidR="001450F5" w:rsidRPr="001450F5" w:rsidRDefault="001450F5" w:rsidP="001450F5">
      <w:pPr>
        <w:rPr>
          <w:b/>
          <w:bCs/>
        </w:rPr>
      </w:pPr>
    </w:p>
    <w:p w14:paraId="58B8A007" w14:textId="5A31A6BE" w:rsidR="001450F5" w:rsidRPr="001450F5" w:rsidRDefault="001450F5" w:rsidP="001450F5">
      <w:pPr>
        <w:rPr>
          <w:b/>
          <w:bCs/>
          <w:sz w:val="24"/>
          <w:szCs w:val="24"/>
        </w:rPr>
      </w:pPr>
      <w:r w:rsidRPr="001450F5">
        <w:rPr>
          <w:b/>
          <w:bCs/>
          <w:sz w:val="24"/>
          <w:szCs w:val="24"/>
        </w:rPr>
        <w:t>SECTION 5: EXECUTIVE SUMMARY &amp; FINAL CONCLUSION</w:t>
      </w:r>
    </w:p>
    <w:p w14:paraId="3DDFFF57" w14:textId="77777777" w:rsidR="001450F5" w:rsidRPr="001450F5" w:rsidRDefault="001450F5" w:rsidP="001450F5">
      <w:r w:rsidRPr="001450F5">
        <w:t xml:space="preserve">This project successfully turned raw </w:t>
      </w:r>
      <w:proofErr w:type="spellStart"/>
      <w:r w:rsidRPr="001450F5">
        <w:t>HealthConnect</w:t>
      </w:r>
      <w:proofErr w:type="spellEnd"/>
      <w:r w:rsidRPr="001450F5">
        <w:t xml:space="preserve"> appointment data into a powerful, interactive analytics system designed to solve a critical business problem: a baseline 51.2% appointment no-show rate. Our analysis pinpointed long scheduling lead times (&gt;14 days) as the single biggest cause of patient drop-off. </w:t>
      </w:r>
    </w:p>
    <w:p w14:paraId="55537B6E" w14:textId="77777777" w:rsidR="001450F5" w:rsidRPr="001450F5" w:rsidRDefault="001450F5" w:rsidP="001450F5">
      <w:r w:rsidRPr="001450F5">
        <w:t xml:space="preserve">On the technical side, query performance was improved by 76.3%—bringing load times down to 185ms—and visual errors were permanently resolved using robust ISBLANK logic. Furthermore, working alongside the Data Science team allowed us to confirm a 98.4% agreement rate between our DAX risk scoring and their machine learning model. With seamless sidebar button slicers now in place, clinic leadership has a fast, reliable tool to reduce missed appointments, optimize schedules, and keep health services running smoothly. </w:t>
      </w:r>
    </w:p>
    <w:p w14:paraId="7B936087" w14:textId="77777777" w:rsidR="0094316B" w:rsidRPr="001450F5" w:rsidRDefault="0094316B" w:rsidP="001450F5"/>
    <w:sectPr w:rsidR="0094316B" w:rsidRPr="00145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7BED"/>
    <w:multiLevelType w:val="multilevel"/>
    <w:tmpl w:val="27D6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D34B7"/>
    <w:multiLevelType w:val="multilevel"/>
    <w:tmpl w:val="021A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70C11"/>
    <w:multiLevelType w:val="multilevel"/>
    <w:tmpl w:val="177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A3FF1"/>
    <w:multiLevelType w:val="multilevel"/>
    <w:tmpl w:val="81C2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27DF5"/>
    <w:multiLevelType w:val="multilevel"/>
    <w:tmpl w:val="D3CA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A7FF1"/>
    <w:multiLevelType w:val="multilevel"/>
    <w:tmpl w:val="441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43273">
    <w:abstractNumId w:val="4"/>
  </w:num>
  <w:num w:numId="2" w16cid:durableId="45378229">
    <w:abstractNumId w:val="5"/>
  </w:num>
  <w:num w:numId="3" w16cid:durableId="868951799">
    <w:abstractNumId w:val="3"/>
  </w:num>
  <w:num w:numId="4" w16cid:durableId="1078483029">
    <w:abstractNumId w:val="0"/>
  </w:num>
  <w:num w:numId="5" w16cid:durableId="1300381811">
    <w:abstractNumId w:val="2"/>
  </w:num>
  <w:num w:numId="6" w16cid:durableId="60827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88"/>
    <w:rsid w:val="001450F5"/>
    <w:rsid w:val="0094316B"/>
    <w:rsid w:val="00B216C4"/>
    <w:rsid w:val="00B64288"/>
    <w:rsid w:val="00CC6F92"/>
    <w:rsid w:val="00E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6099"/>
  <w15:chartTrackingRefBased/>
  <w15:docId w15:val="{29D7E25A-CE91-47CC-8324-9BF4493A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1</cp:revision>
  <dcterms:created xsi:type="dcterms:W3CDTF">2026-09-26T23:16:00Z</dcterms:created>
  <dcterms:modified xsi:type="dcterms:W3CDTF">2026-09-26T23:50:00Z</dcterms:modified>
</cp:coreProperties>
</file>