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02C57"/>
          <w:sz w:val="44"/>
        </w:rPr>
        <w:t>ACADEMIC PROJECT SPECIFICATION &amp;</w:t>
        <w:br/>
        <w:t>REQUIREMENTS DOCUMENT</w:t>
      </w:r>
    </w:p>
    <w:p>
      <w:pPr>
        <w:spacing w:after="280"/>
        <w:jc w:val="center"/>
      </w:pPr>
      <w:r>
        <w:rPr>
          <w:i/>
          <w:color w:val="35598F"/>
          <w:sz w:val="24"/>
        </w:rPr>
        <w:t>Project: DocPilot AI — Multi-Document Retrieval-Augmented Generation (RAG) System</w:t>
        <w:br/>
        <w:t>Domain: Operating Systems &amp; Artificial Intelligence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before="0" w:after="0"/>
            </w:pPr>
            <w:r>
              <w:rPr>
                <w:b/>
                <w:color w:val="102C57"/>
                <w:sz w:val="19"/>
              </w:rPr>
              <w:t>Scope: Academic Course Project / Capstone Project Specification</w:t>
              <w:br/>
              <w:t>Target Subject: CS 304 / CSE Core: Operating Systems</w:t>
              <w:br/>
              <w:t>Architecture: Hybrid Cloud RAG (Neon PostgreSQL + ChromaDB Cloud + Google Gemini + FastEmbed ONNX)</w:t>
            </w:r>
          </w:p>
        </w:tc>
      </w:tr>
    </w:tbl>
    <w:p>
      <w:pPr>
        <w:spacing w:after="160"/>
      </w:pPr>
    </w:p>
    <w:p>
      <w:pPr>
        <w:keepNext/>
        <w:spacing w:before="320" w:after="120"/>
      </w:pPr>
      <w:r>
        <w:rPr>
          <w:rFonts w:ascii="Calibri" w:hAnsi="Calibri"/>
          <w:b/>
          <w:color w:val="102C57"/>
          <w:sz w:val="30"/>
        </w:rPr>
        <w:t>1. Problem Statement</w:t>
      </w:r>
    </w:p>
    <w:p>
      <w:pPr>
        <w:keepNext/>
        <w:spacing w:before="200" w:after="80"/>
      </w:pPr>
      <w:r>
        <w:rPr>
          <w:rFonts w:ascii="Calibri" w:hAnsi="Calibri"/>
          <w:b/>
          <w:color w:val="35598F"/>
          <w:sz w:val="25"/>
        </w:rPr>
        <w:t>1.1 Academic Context &amp; Educational Motivation</w:t>
      </w:r>
    </w:p>
    <w:p>
      <w:pPr>
        <w:spacing w:after="120"/>
      </w:pPr>
      <w:r>
        <w:t>Operating Systems (OS) is a core foundational pillar of computer science and software engineering curricula. The subject encompasses intricate theoretical abstractions and low-level system behaviors, including CPU scheduling, process synchronization primitives (semaphores, mutexes, condition variables), deadlock avoidance (Banker's Algorithm), virtual memory architectures (multi-level paging, inverted page tables, replacement policies), and kernel storage subsystems. Mastering these topics requires synthesizing dense university textbooks (e.g., Silberschatz, Galvin, Gagne; Tanenbaum; OSTEP), detailed laboratory specifications, and exhaustive slide decks.</w:t>
      </w:r>
    </w:p>
    <w:p>
      <w:pPr>
        <w:keepNext/>
        <w:spacing w:before="200" w:after="80"/>
      </w:pPr>
      <w:r>
        <w:rPr>
          <w:rFonts w:ascii="Calibri" w:hAnsi="Calibri"/>
          <w:b/>
          <w:color w:val="35598F"/>
          <w:sz w:val="25"/>
        </w:rPr>
        <w:t>1.2 Critical Pain Points in Existing Learning Modalities</w:t>
      </w:r>
    </w:p>
    <w:p>
      <w:pPr>
        <w:pStyle w:val="ListBullet"/>
        <w:spacing w:before="40" w:after="60"/>
      </w:pPr>
      <w:r>
        <w:rPr>
          <w:b/>
          <w:color w:val="102C57"/>
        </w:rPr>
        <w:t xml:space="preserve">High Information Fragmentation: </w:t>
      </w:r>
      <w:r>
        <w:t xml:space="preserve"> Students and researchers spend disproportionate cognitive bandwidth searching across hundreds of pages of PDF literature to cross-reference interconnected concepts (e.g., comparing page fault interrupt handling across demand paging vs. segmented paging).</w:t>
      </w:r>
    </w:p>
    <w:p>
      <w:pPr>
        <w:pStyle w:val="ListBullet"/>
        <w:spacing w:before="40" w:after="60"/>
      </w:pPr>
      <w:r>
        <w:rPr>
          <w:b/>
          <w:color w:val="102C57"/>
        </w:rPr>
        <w:t xml:space="preserve">Model Hallucinations &amp; Factual Drift: </w:t>
      </w:r>
      <w:r>
        <w:t xml:space="preserve"> Standard public Large Language Models (e.g., vanilla GPT or base LLMs without RAG) lack deterministic grounding. They frequently hallucinate complex algorithm steps, miscalculate Banker's safety matrices, or confuse system call interfaces with user-space library routines.</w:t>
      </w:r>
    </w:p>
    <w:p>
      <w:pPr>
        <w:pStyle w:val="ListBullet"/>
        <w:spacing w:before="40" w:after="60"/>
      </w:pPr>
      <w:r>
        <w:rPr>
          <w:b/>
          <w:color w:val="102C57"/>
        </w:rPr>
        <w:t xml:space="preserve">Absence of Academic Verification: </w:t>
      </w:r>
      <w:r>
        <w:t xml:space="preserve"> Off-the-shelf generative chat tools cannot provide reliable document provenance, page coordinates, or chunk-level citations, preventing students from peer-reviewing or citing facts in academic assignments.</w:t>
      </w:r>
    </w:p>
    <w:p>
      <w:pPr>
        <w:pStyle w:val="ListBullet"/>
        <w:spacing w:before="40" w:after="60"/>
      </w:pPr>
      <w:r>
        <w:rPr>
          <w:b/>
          <w:color w:val="102C57"/>
        </w:rPr>
        <w:t xml:space="preserve">Context Window &amp; Cost Bottlenecks: </w:t>
      </w:r>
      <w:r>
        <w:t xml:space="preserve"> Stuffing complete textbooks into prompt context windows causes severe attentional degradation ('lost-in-the-middle' phenomenon), rapidly exceeds API token allowances, and incurs unsustainable latency and computational expenses.</w:t>
      </w:r>
    </w:p>
    <w:p>
      <w:pPr>
        <w:keepNext/>
        <w:spacing w:before="200" w:after="80"/>
      </w:pPr>
      <w:r>
        <w:rPr>
          <w:rFonts w:ascii="Calibri" w:hAnsi="Calibri"/>
          <w:b/>
          <w:color w:val="35598F"/>
          <w:sz w:val="25"/>
        </w:rPr>
        <w:t>1.3 Formal Problem Statement</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Pr>
          <w:p>
            <w:pPr>
              <w:spacing w:before="0" w:after="0"/>
            </w:pPr>
            <w:r>
              <w:rPr>
                <w:b/>
                <w:i/>
                <w:color w:val="102C57"/>
              </w:rPr>
              <w:t>"To design, implement, and rigorously evaluate an intelligent, low-latency Retrieval-Augmented Generation (RAG) system specialized for Operating Systems education that autonomously parses technical documentation, generates high-dimensional dense vector embeddings, performs sub-second approximate nearest-neighbor retrieval, and orchestrates LLM synthesis with verifiable page-level citations, persistent relational session tracking, and automated pedagogical evaluation utilities."</w:t>
            </w:r>
          </w:p>
        </w:tc>
      </w:tr>
    </w:tbl>
    <w:p>
      <w:pPr>
        <w:keepNext/>
        <w:spacing w:before="320" w:after="120"/>
      </w:pPr>
      <w:r>
        <w:rPr>
          <w:rFonts w:ascii="Calibri" w:hAnsi="Calibri"/>
          <w:b/>
          <w:color w:val="102C57"/>
          <w:sz w:val="30"/>
        </w:rPr>
        <w:t>2. Aim &amp; Objectives</w:t>
      </w:r>
    </w:p>
    <w:p>
      <w:pPr>
        <w:keepNext/>
        <w:spacing w:before="200" w:after="80"/>
      </w:pPr>
      <w:r>
        <w:rPr>
          <w:rFonts w:ascii="Calibri" w:hAnsi="Calibri"/>
          <w:b/>
          <w:color w:val="35598F"/>
          <w:sz w:val="25"/>
        </w:rPr>
        <w:t>2.1 Primary Aim</w:t>
      </w:r>
    </w:p>
    <w:p>
      <w:pPr>
        <w:spacing w:after="120"/>
      </w:pPr>
      <w:r>
        <w:t>The overarching aim of the DocPilot AI project is to construct an end-to-end, enterprise-ready, academically rigorous AI Document Assistant that transforms static Operating Systems literature into an interactive, grounded, and verified conversational learning environment.</w:t>
      </w:r>
    </w:p>
    <w:p>
      <w:pPr>
        <w:keepNext/>
        <w:spacing w:before="200" w:after="80"/>
      </w:pPr>
      <w:r>
        <w:rPr>
          <w:rFonts w:ascii="Calibri" w:hAnsi="Calibri"/>
          <w:b/>
          <w:color w:val="35598F"/>
          <w:sz w:val="25"/>
        </w:rPr>
        <w:t>2.2 Key Specific Objectives</w:t>
      </w:r>
    </w:p>
    <w:p>
      <w:pPr>
        <w:pStyle w:val="ListBullet"/>
        <w:spacing w:before="40" w:after="60"/>
      </w:pPr>
      <w:r>
        <w:rPr>
          <w:b/>
          <w:color w:val="102C57"/>
        </w:rPr>
        <w:t>Objective 1 — Ingestion &amp; Chunking:</w:t>
      </w:r>
      <w:r>
        <w:t xml:space="preserve"> Develop a robust PDF ingestion subsystem capable of parsing complex technical documents into semantic units while preserving structural hierarchy and page indices.</w:t>
      </w:r>
    </w:p>
    <w:p>
      <w:pPr>
        <w:pStyle w:val="ListBullet"/>
        <w:spacing w:before="40" w:after="60"/>
      </w:pPr>
      <w:r>
        <w:rPr>
          <w:b/>
          <w:color w:val="102C57"/>
        </w:rPr>
        <w:t>Objective 2 — Local Vector Pipeline:</w:t>
      </w:r>
      <w:r>
        <w:t xml:space="preserve"> Implement an edge-accelerated, ONNX-based dense vector embedding pipeline running on-device with zero API latency and zero financial overhead.</w:t>
      </w:r>
    </w:p>
    <w:p>
      <w:pPr>
        <w:pStyle w:val="ListBullet"/>
        <w:spacing w:before="40" w:after="60"/>
      </w:pPr>
      <w:r>
        <w:rPr>
          <w:b/>
          <w:color w:val="102C57"/>
        </w:rPr>
        <w:t>Objective 3 — Dual-Tier Knowledge Space:</w:t>
      </w:r>
      <w:r>
        <w:t xml:space="preserve"> Architect a dual-knowledge vector space utilizing ChromaDB to simultaneously support pre-indexed canonical OS textbooks and on-the-fly multi-document user uploads.</w:t>
      </w:r>
    </w:p>
    <w:p>
      <w:pPr>
        <w:pStyle w:val="ListBullet"/>
        <w:spacing w:before="40" w:after="60"/>
      </w:pPr>
      <w:r>
        <w:rPr>
          <w:b/>
          <w:color w:val="102C57"/>
        </w:rPr>
        <w:t>Objective 4 — Grounded LLM Orchestration:</w:t>
      </w:r>
      <w:r>
        <w:t xml:space="preserve"> Enforce deterministic prompt grounding with Google Gemini 2.5 Flash at low temperature (T=0.3) to completely mitigate hallucinations in algorithmic computations.</w:t>
      </w:r>
    </w:p>
    <w:p>
      <w:pPr>
        <w:pStyle w:val="ListBullet"/>
        <w:spacing w:before="40" w:after="60"/>
      </w:pPr>
      <w:r>
        <w:rPr>
          <w:b/>
          <w:color w:val="102C57"/>
        </w:rPr>
        <w:t>Objective 5 — Pedagogical Study Tools:</w:t>
      </w:r>
      <w:r>
        <w:t xml:space="preserve"> Build pedagogical study utilities, including automated Bloom's-taxonomy quiz generation, conceptual flashcard sets, and executive topic summaries.</w:t>
      </w:r>
    </w:p>
    <w:p>
      <w:pPr>
        <w:pStyle w:val="ListBullet"/>
        <w:spacing w:before="40" w:after="60"/>
      </w:pPr>
      <w:r>
        <w:rPr>
          <w:b/>
          <w:color w:val="102C57"/>
        </w:rPr>
        <w:t>Objective 6 — Cloud Relational Persistence:</w:t>
      </w:r>
      <w:r>
        <w:t xml:space="preserve"> Establish serverless cloud relational persistence with Neon PostgreSQL for user identity (Google OAuth 2.0), thread history, and document metadata.</w:t>
      </w:r>
    </w:p>
    <w:p>
      <w:pPr>
        <w:keepNext/>
        <w:spacing w:before="320" w:after="120"/>
      </w:pPr>
      <w:r>
        <w:rPr>
          <w:rFonts w:ascii="Calibri" w:hAnsi="Calibri"/>
          <w:b/>
          <w:color w:val="102C57"/>
          <w:sz w:val="30"/>
        </w:rPr>
        <w:t>3. Model Architecture</w:t>
      </w:r>
    </w:p>
    <w:p>
      <w:pPr>
        <w:keepNext/>
        <w:spacing w:before="200" w:after="80"/>
      </w:pPr>
      <w:r>
        <w:rPr>
          <w:rFonts w:ascii="Calibri" w:hAnsi="Calibri"/>
          <w:b/>
          <w:color w:val="35598F"/>
          <w:sz w:val="25"/>
        </w:rPr>
        <w:t>3.1 End-to-End System Architectural Pipeline</w:t>
      </w:r>
    </w:p>
    <w:p>
      <w:pPr>
        <w:spacing w:after="120"/>
      </w:pPr>
      <w:r>
        <w:t>The DocPilot AI system follows a multi-tiered, decoupled microservices architecture designed for optimal throughput, minimal latency, and strict data isolation across user sessions.</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40" w:type="dxa"/>
              <w:right w:w="140" w:type="dxa"/>
            </w:tcMar>
          </w:tcPr>
          <w:p>
            <w:pPr>
              <w:spacing w:before="0" w:after="0"/>
            </w:pPr>
            <w:r>
              <w:rPr>
                <w:rFonts w:ascii="Consolas" w:hAnsi="Consolas"/>
                <w:color w:val="F1F5F9"/>
                <w:sz w:val="17"/>
              </w:rPr>
              <w:t>+-------------------------------------------------------------------------+</w:t>
              <w:br/>
              <w:t>|                        PRESENTATION LAYER (CLIENT)                      |</w:t>
              <w:br/>
              <w:t>|    React 19 SPA + Vite Tooling | Modern Responsive UI | KaTeX LaTeX     |</w:t>
              <w:br/>
              <w:t>|    Lucide Visual System | Dual Knowledge Selector | PDF Modal Viewer    |</w:t>
              <w:br/>
              <w:t>+-------------------------------------------------------------------------+</w:t>
              <w:br/>
              <w:t xml:space="preserve">                                    |</w:t>
              <w:br/>
              <w:t xml:space="preserve">                         REST APIs (FastAPI Async ASGI)</w:t>
              <w:br/>
              <w:t xml:space="preserve">                                    v</w:t>
              <w:br/>
              <w:t>+-------------------------------------------------------------------------+</w:t>
              <w:br/>
              <w:t>|                        APPLICATION LAYER (BACKEND)                      |</w:t>
              <w:br/>
              <w:t>|  [Google OAuth Middleware]  [Document Ingestion]  [Retrieval Controller]|</w:t>
              <w:br/>
              <w:t>|  [Quiz &amp; Study Engine]      [Conversation Thread] [Context Synthesizer] |</w:t>
              <w:br/>
              <w:t>+-------------------------------------------------------------------------+</w:t>
              <w:br/>
              <w:t xml:space="preserve">         |                                |                        |</w:t>
              <w:br/>
              <w:t xml:space="preserve">         | Relational CRUD                | ONNX Vectors           | Prompts</w:t>
              <w:br/>
              <w:t xml:space="preserve">         v                                v                        v</w:t>
              <w:br/>
              <w:t>+------------------+           +--------------------+     +---------------+</w:t>
              <w:br/>
              <w:t>| RELATIONAL STORE |           |    VECTOR STORE    |     |  LLM ENGINE   |</w:t>
              <w:br/>
              <w:t>| Neon PostgreSQL  |           |   ChromaDB Cloud   |     | Google Gemini |</w:t>
              <w:br/>
              <w:t>| - Users &amp; Auth   |           |  - HNSW Index      |     | 2.5 Flash /   |</w:t>
              <w:br/>
              <w:t>| - Chat Messages  |           |  - 384-d Cosine    |     | 2.5 Flash Lite|</w:t>
              <w:br/>
              <w:t>| - Doc Registries |           |  - Dual Partition  |     | (Temp: 0.3)   |</w:t>
              <w:br/>
              <w:t>+------------------+           +--------------------+     +---------------+</w:t>
              <w:br/>
              <w:t xml:space="preserve">                                          ^</w:t>
              <w:br/>
              <w:t xml:space="preserve">                                          | Local Inference</w:t>
              <w:br/>
              <w:t xml:space="preserve">                               +--------------------+</w:t>
              <w:br/>
              <w:t xml:space="preserve">                               | FastEmbed Engine   |</w:t>
              <w:br/>
              <w:t xml:space="preserve">                               | (all-MiniLM-L6-v2) |</w:t>
              <w:br/>
              <w:t xml:space="preserve">                               +--------------------+</w:t>
            </w:r>
          </w:p>
        </w:tc>
      </w:tr>
    </w:tbl>
    <w:p>
      <w:pPr>
        <w:spacing w:after="120"/>
      </w:pPr>
    </w:p>
    <w:p>
      <w:pPr>
        <w:keepNext/>
        <w:spacing w:before="200" w:after="80"/>
      </w:pPr>
      <w:r>
        <w:rPr>
          <w:rFonts w:ascii="Calibri" w:hAnsi="Calibri"/>
          <w:b/>
          <w:color w:val="35598F"/>
          <w:sz w:val="25"/>
        </w:rPr>
        <w:t>3.2 Algorithmic &amp; Mathematical Specifications</w:t>
      </w:r>
    </w:p>
    <w:p>
      <w:pPr>
        <w:pStyle w:val="ListBullet"/>
        <w:spacing w:before="40" w:after="60"/>
      </w:pPr>
      <w:r>
        <w:rPr>
          <w:b/>
          <w:color w:val="102C57"/>
        </w:rPr>
        <w:t xml:space="preserve">Document Chunking Formulation: </w:t>
      </w:r>
      <w:r>
        <w:t xml:space="preserve"> Given a technical document D, text is partitioned into overlapping windows to preserve contextual boundaries. Let chunk size S = 1000 characters and overlap O = 200 characters. Each chunk c_i retains associated metadata M_i = {document_name, page_number, chunk_index}.</w:t>
      </w:r>
    </w:p>
    <w:p>
      <w:pPr>
        <w:pStyle w:val="ListBullet"/>
        <w:spacing w:before="40" w:after="60"/>
      </w:pPr>
      <w:r>
        <w:rPr>
          <w:b/>
          <w:color w:val="102C57"/>
        </w:rPr>
        <w:t xml:space="preserve">Dense Embedding Model: </w:t>
      </w:r>
      <w:r>
        <w:t xml:space="preserve"> Chunks are mapped into dense 384-dimensional Euclidean space using quantized ONNX sentence transformers: e_i = FastEmbed(c_i) in R^384, with L2-normalization ||e_i||_2 = 1.</w:t>
      </w:r>
    </w:p>
    <w:p>
      <w:pPr>
        <w:pStyle w:val="ListBullet"/>
        <w:spacing w:before="40" w:after="60"/>
      </w:pPr>
      <w:r>
        <w:rPr>
          <w:b/>
          <w:color w:val="102C57"/>
        </w:rPr>
        <w:t xml:space="preserve">Vector Retrieval Metric: </w:t>
      </w:r>
      <w:r>
        <w:t xml:space="preserve"> When a user poses a question q, the query embedding e_q is computed. Similarity scoring is conducted using Cosine Distance against index embeddings: Sim(e_q, e_i) = (e_q · e_i) / (||e_q|| ||e_i||). The system selects the Top-k chunks (k = 4) maximizing similarity.</w:t>
      </w:r>
    </w:p>
    <w:p>
      <w:pPr>
        <w:pStyle w:val="ListBullet"/>
        <w:spacing w:before="40" w:after="60"/>
      </w:pPr>
      <w:r>
        <w:rPr>
          <w:b/>
          <w:color w:val="102C57"/>
        </w:rPr>
        <w:t xml:space="preserve">Prompt Assembly &amp; Grounding: </w:t>
      </w:r>
      <w:r>
        <w:t xml:space="preserve"> The retrieved chunks C = {c_1, c_2, ..., c_k} are assembled into an XML-delimited system envelope: Prompt = SystemRole + Context(C) + History(H) + Query(q). Gemini synthesizes the answer with explicit inline citations: [Document: &lt;filename&gt;, Page: &lt;page_no&gt;].</w:t>
      </w:r>
    </w:p>
    <w:p>
      <w:pPr>
        <w:keepNext/>
        <w:spacing w:before="200" w:after="80"/>
      </w:pPr>
      <w:r>
        <w:rPr>
          <w:rFonts w:ascii="Calibri" w:hAnsi="Calibri"/>
          <w:b/>
          <w:color w:val="35598F"/>
          <w:sz w:val="25"/>
        </w:rPr>
        <w:t>3.3 Dual-Mode Answering Architecture: Document-Proved vs. Autonomous OS Fallback</w:t>
      </w:r>
    </w:p>
    <w:p>
      <w:pPr>
        <w:spacing w:after="80"/>
      </w:pPr>
      <w:r>
        <w:t>A distinguishing architectural capability of DocPilot AI is its intelligent two-tier contextual routing. Unlike naive RAG systems that fail or return empty answers when no document is active, DocPilot AI provides two distinct, complementary operational modes:</w:t>
      </w:r>
    </w:p>
    <w:p>
      <w:pPr>
        <w:pStyle w:val="ListBullet"/>
        <w:spacing w:before="40" w:after="60"/>
      </w:pPr>
      <w:r>
        <w:rPr>
          <w:b/>
          <w:color w:val="102C57"/>
        </w:rPr>
        <w:t xml:space="preserve">Mode A — Document-Grounded &amp; Proved Mode (Active Document State): </w:t>
      </w:r>
      <w:r>
        <w:t xml:space="preserve"> When a student or researcher uploads custom course materials (e.g., lecture slides, lab manuals, or textbook chapters), the retrieval engine actively searches the uploaded document's vector partition. Every generated assertion is strictly grounded and proven with exact source citations: [Document: &lt;filename&gt;, Page: &lt;page_no&gt;]. This allows users and academic evaluators to cross-verify mathematical derivations (e.g., CPU turnaround times, page fault ratios) directly against the uploaded pages.</w:t>
      </w:r>
    </w:p>
    <w:p>
      <w:pPr>
        <w:pStyle w:val="ListBullet"/>
        <w:spacing w:before="40" w:after="60"/>
      </w:pPr>
      <w:r>
        <w:rPr>
          <w:b/>
          <w:color w:val="102C57"/>
        </w:rPr>
        <w:t xml:space="preserve">Mode B — Autonomous OS Domain Fallback Mode (Zero-Document / General OS State): </w:t>
      </w:r>
      <w:r>
        <w:t xml:space="preserve"> If the user has not uploaded any documents, or if a student poses an exploratory question outside the scope of their custom PDF, the system does not halt with a 'Context Not Found' error. Instead, it dynamically falls back to its built-in canonical Operating Systems Core Knowledge Base (pre-indexed in ChromaDB) and leverages the LLM's deep domain competence. It provides a complete, authoritative, and structured explanation covering core OS principles (processes, threads, virtual memory, deadlocks, file systems, synchronization), ensuring uninterrupted academic learning even in a zero-document environment.</w:t>
      </w:r>
    </w:p>
    <w:p>
      <w:pPr>
        <w:keepNext/>
        <w:spacing w:before="320" w:after="120"/>
      </w:pPr>
      <w:r>
        <w:rPr>
          <w:rFonts w:ascii="Calibri" w:hAnsi="Calibri"/>
          <w:b/>
          <w:color w:val="102C57"/>
          <w:sz w:val="30"/>
        </w:rPr>
        <w:t>4. Software Requirements</w:t>
      </w:r>
    </w:p>
    <w:p>
      <w:pPr>
        <w:spacing w:after="120"/>
      </w:pPr>
      <w:r>
        <w:t>The software infrastructure leverages modern asynchronous Python paradigms and lightweight reactive JavaScript frameworks: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02C57"/>
            <w:tcMar>
              <w:top w:w="100" w:type="dxa"/>
              <w:bottom w:w="100" w:type="dxa"/>
              <w:left w:w="120" w:type="dxa"/>
              <w:right w:w="120" w:type="dxa"/>
            </w:tcMar>
          </w:tcPr>
          <w:p>
            <w:r>
              <w:rPr>
                <w:b/>
                <w:color w:val="FFFFFF"/>
                <w:sz w:val="19"/>
              </w:rPr>
              <w:t>Component / Layer</w:t>
            </w:r>
          </w:p>
        </w:tc>
        <w:tc>
          <w:tcPr>
            <w:tcW w:type="dxa" w:w="3168"/>
            <w:shd w:fill="102C57"/>
            <w:tcMar>
              <w:top w:w="100" w:type="dxa"/>
              <w:bottom w:w="100" w:type="dxa"/>
              <w:left w:w="120" w:type="dxa"/>
              <w:right w:w="120" w:type="dxa"/>
            </w:tcMar>
          </w:tcPr>
          <w:p>
            <w:r>
              <w:rPr>
                <w:b/>
                <w:color w:val="FFFFFF"/>
                <w:sz w:val="19"/>
              </w:rPr>
              <w:t>Technology / Framework</w:t>
            </w:r>
          </w:p>
        </w:tc>
        <w:tc>
          <w:tcPr>
            <w:tcW w:type="dxa" w:w="3600"/>
            <w:shd w:fill="102C57"/>
            <w:tcMar>
              <w:top w:w="100" w:type="dxa"/>
              <w:bottom w:w="100" w:type="dxa"/>
              <w:left w:w="120" w:type="dxa"/>
              <w:right w:w="120" w:type="dxa"/>
            </w:tcMar>
          </w:tcPr>
          <w:p>
            <w:r>
              <w:rPr>
                <w:b/>
                <w:color w:val="FFFFFF"/>
                <w:sz w:val="19"/>
              </w:rPr>
              <w:t>Version &amp; Purpose</w:t>
            </w:r>
          </w:p>
        </w:tc>
      </w:tr>
      <w:tr>
        <w:tc>
          <w:tcPr>
            <w:tcW w:type="dxa" w:w="2592"/>
            <w:shd w:fill="F8F9FA"/>
            <w:tcMar>
              <w:top w:w="80" w:type="dxa"/>
              <w:bottom w:w="80" w:type="dxa"/>
              <w:left w:w="120" w:type="dxa"/>
              <w:right w:w="120" w:type="dxa"/>
            </w:tcMar>
          </w:tcPr>
          <w:p>
            <w:r>
              <w:rPr>
                <w:b/>
                <w:sz w:val="18"/>
              </w:rPr>
              <w:t>Backend Framework</w:t>
            </w:r>
          </w:p>
        </w:tc>
        <w:tc>
          <w:tcPr>
            <w:tcW w:type="dxa" w:w="3168"/>
            <w:shd w:fill="F8F9FA"/>
            <w:tcMar>
              <w:top w:w="80" w:type="dxa"/>
              <w:bottom w:w="80" w:type="dxa"/>
              <w:left w:w="120" w:type="dxa"/>
              <w:right w:w="120" w:type="dxa"/>
            </w:tcMar>
          </w:tcPr>
          <w:p>
            <w:r>
              <w:rPr>
                <w:sz w:val="18"/>
              </w:rPr>
              <w:t>FastAPI (ASGI / Uvicorn)</w:t>
            </w:r>
          </w:p>
        </w:tc>
        <w:tc>
          <w:tcPr>
            <w:tcW w:type="dxa" w:w="3600"/>
            <w:shd w:fill="F8F9FA"/>
            <w:tcMar>
              <w:top w:w="80" w:type="dxa"/>
              <w:bottom w:w="80" w:type="dxa"/>
              <w:left w:w="120" w:type="dxa"/>
              <w:right w:w="120" w:type="dxa"/>
            </w:tcMar>
          </w:tcPr>
          <w:p>
            <w:r>
              <w:rPr>
                <w:sz w:val="18"/>
              </w:rPr>
              <w:t>0.110+; Asynchronous non-blocking REST API service</w:t>
            </w:r>
          </w:p>
        </w:tc>
      </w:tr>
      <w:tr>
        <w:tc>
          <w:tcPr>
            <w:tcW w:type="dxa" w:w="2592"/>
            <w:shd w:fill="FFFFFF"/>
            <w:tcMar>
              <w:top w:w="80" w:type="dxa"/>
              <w:bottom w:w="80" w:type="dxa"/>
              <w:left w:w="120" w:type="dxa"/>
              <w:right w:w="120" w:type="dxa"/>
            </w:tcMar>
          </w:tcPr>
          <w:p>
            <w:r>
              <w:rPr>
                <w:b/>
                <w:sz w:val="18"/>
              </w:rPr>
              <w:t>Frontend Framework</w:t>
            </w:r>
          </w:p>
        </w:tc>
        <w:tc>
          <w:tcPr>
            <w:tcW w:type="dxa" w:w="3168"/>
            <w:shd w:fill="FFFFFF"/>
            <w:tcMar>
              <w:top w:w="80" w:type="dxa"/>
              <w:bottom w:w="80" w:type="dxa"/>
              <w:left w:w="120" w:type="dxa"/>
              <w:right w:w="120" w:type="dxa"/>
            </w:tcMar>
          </w:tcPr>
          <w:p>
            <w:r>
              <w:rPr>
                <w:sz w:val="18"/>
              </w:rPr>
              <w:t>React 19 + Vite 6.0</w:t>
            </w:r>
          </w:p>
        </w:tc>
        <w:tc>
          <w:tcPr>
            <w:tcW w:type="dxa" w:w="3600"/>
            <w:shd w:fill="FFFFFF"/>
            <w:tcMar>
              <w:top w:w="80" w:type="dxa"/>
              <w:bottom w:w="80" w:type="dxa"/>
              <w:left w:w="120" w:type="dxa"/>
              <w:right w:w="120" w:type="dxa"/>
            </w:tcMar>
          </w:tcPr>
          <w:p>
            <w:r>
              <w:rPr>
                <w:sz w:val="18"/>
              </w:rPr>
              <w:t>SPA build system, modular components, fast HMR</w:t>
            </w:r>
          </w:p>
        </w:tc>
      </w:tr>
      <w:tr>
        <w:tc>
          <w:tcPr>
            <w:tcW w:type="dxa" w:w="2592"/>
            <w:shd w:fill="F8F9FA"/>
            <w:tcMar>
              <w:top w:w="80" w:type="dxa"/>
              <w:bottom w:w="80" w:type="dxa"/>
              <w:left w:w="120" w:type="dxa"/>
              <w:right w:w="120" w:type="dxa"/>
            </w:tcMar>
          </w:tcPr>
          <w:p>
            <w:r>
              <w:rPr>
                <w:b/>
                <w:sz w:val="18"/>
              </w:rPr>
              <w:t>Orchestration Pipeline</w:t>
            </w:r>
          </w:p>
        </w:tc>
        <w:tc>
          <w:tcPr>
            <w:tcW w:type="dxa" w:w="3168"/>
            <w:shd w:fill="F8F9FA"/>
            <w:tcMar>
              <w:top w:w="80" w:type="dxa"/>
              <w:bottom w:w="80" w:type="dxa"/>
              <w:left w:w="120" w:type="dxa"/>
              <w:right w:w="120" w:type="dxa"/>
            </w:tcMar>
          </w:tcPr>
          <w:p>
            <w:r>
              <w:rPr>
                <w:sz w:val="18"/>
              </w:rPr>
              <w:t>LangChain Core &amp; Community</w:t>
            </w:r>
          </w:p>
        </w:tc>
        <w:tc>
          <w:tcPr>
            <w:tcW w:type="dxa" w:w="3600"/>
            <w:shd w:fill="F8F9FA"/>
            <w:tcMar>
              <w:top w:w="80" w:type="dxa"/>
              <w:bottom w:w="80" w:type="dxa"/>
              <w:left w:w="120" w:type="dxa"/>
              <w:right w:w="120" w:type="dxa"/>
            </w:tcMar>
          </w:tcPr>
          <w:p>
            <w:r>
              <w:rPr>
                <w:sz w:val="18"/>
              </w:rPr>
              <w:t>0.3+; Prompt chaining, document loading, chunking</w:t>
            </w:r>
          </w:p>
        </w:tc>
      </w:tr>
      <w:tr>
        <w:tc>
          <w:tcPr>
            <w:tcW w:type="dxa" w:w="2592"/>
            <w:shd w:fill="FFFFFF"/>
            <w:tcMar>
              <w:top w:w="80" w:type="dxa"/>
              <w:bottom w:w="80" w:type="dxa"/>
              <w:left w:w="120" w:type="dxa"/>
              <w:right w:w="120" w:type="dxa"/>
            </w:tcMar>
          </w:tcPr>
          <w:p>
            <w:r>
              <w:rPr>
                <w:b/>
                <w:sz w:val="18"/>
              </w:rPr>
              <w:t>Embeddings Engine</w:t>
            </w:r>
          </w:p>
        </w:tc>
        <w:tc>
          <w:tcPr>
            <w:tcW w:type="dxa" w:w="3168"/>
            <w:shd w:fill="FFFFFF"/>
            <w:tcMar>
              <w:top w:w="80" w:type="dxa"/>
              <w:bottom w:w="80" w:type="dxa"/>
              <w:left w:w="120" w:type="dxa"/>
              <w:right w:w="120" w:type="dxa"/>
            </w:tcMar>
          </w:tcPr>
          <w:p>
            <w:r>
              <w:rPr>
                <w:sz w:val="18"/>
              </w:rPr>
              <w:t>FastEmbed (Qdrant ONNX)</w:t>
            </w:r>
          </w:p>
        </w:tc>
        <w:tc>
          <w:tcPr>
            <w:tcW w:type="dxa" w:w="3600"/>
            <w:shd w:fill="FFFFFF"/>
            <w:tcMar>
              <w:top w:w="80" w:type="dxa"/>
              <w:bottom w:w="80" w:type="dxa"/>
              <w:left w:w="120" w:type="dxa"/>
              <w:right w:w="120" w:type="dxa"/>
            </w:tcMar>
          </w:tcPr>
          <w:p>
            <w:r>
              <w:rPr>
                <w:sz w:val="18"/>
              </w:rPr>
              <w:t>0.3+; Local all-MiniLM-L6-v2, 384 dimensions</w:t>
            </w:r>
          </w:p>
        </w:tc>
      </w:tr>
      <w:tr>
        <w:tc>
          <w:tcPr>
            <w:tcW w:type="dxa" w:w="2592"/>
            <w:shd w:fill="F8F9FA"/>
            <w:tcMar>
              <w:top w:w="80" w:type="dxa"/>
              <w:bottom w:w="80" w:type="dxa"/>
              <w:left w:w="120" w:type="dxa"/>
              <w:right w:w="120" w:type="dxa"/>
            </w:tcMar>
          </w:tcPr>
          <w:p>
            <w:r>
              <w:rPr>
                <w:b/>
                <w:sz w:val="18"/>
              </w:rPr>
              <w:t>Vector Database</w:t>
            </w:r>
          </w:p>
        </w:tc>
        <w:tc>
          <w:tcPr>
            <w:tcW w:type="dxa" w:w="3168"/>
            <w:shd w:fill="F8F9FA"/>
            <w:tcMar>
              <w:top w:w="80" w:type="dxa"/>
              <w:bottom w:w="80" w:type="dxa"/>
              <w:left w:w="120" w:type="dxa"/>
              <w:right w:w="120" w:type="dxa"/>
            </w:tcMar>
          </w:tcPr>
          <w:p>
            <w:r>
              <w:rPr>
                <w:sz w:val="18"/>
              </w:rPr>
              <w:t>ChromaDB (Cloud / Local)</w:t>
            </w:r>
          </w:p>
        </w:tc>
        <w:tc>
          <w:tcPr>
            <w:tcW w:type="dxa" w:w="3600"/>
            <w:shd w:fill="F8F9FA"/>
            <w:tcMar>
              <w:top w:w="80" w:type="dxa"/>
              <w:bottom w:w="80" w:type="dxa"/>
              <w:left w:w="120" w:type="dxa"/>
              <w:right w:w="120" w:type="dxa"/>
            </w:tcMar>
          </w:tcPr>
          <w:p>
            <w:r>
              <w:rPr>
                <w:sz w:val="18"/>
              </w:rPr>
              <w:t>0.5+; HNSW Approximate Nearest Neighbor search</w:t>
            </w:r>
          </w:p>
        </w:tc>
      </w:tr>
      <w:tr>
        <w:tc>
          <w:tcPr>
            <w:tcW w:type="dxa" w:w="2592"/>
            <w:shd w:fill="FFFFFF"/>
            <w:tcMar>
              <w:top w:w="80" w:type="dxa"/>
              <w:bottom w:w="80" w:type="dxa"/>
              <w:left w:w="120" w:type="dxa"/>
              <w:right w:w="120" w:type="dxa"/>
            </w:tcMar>
          </w:tcPr>
          <w:p>
            <w:r>
              <w:rPr>
                <w:b/>
                <w:sz w:val="18"/>
              </w:rPr>
              <w:t>Relational Database</w:t>
            </w:r>
          </w:p>
        </w:tc>
        <w:tc>
          <w:tcPr>
            <w:tcW w:type="dxa" w:w="3168"/>
            <w:shd w:fill="FFFFFF"/>
            <w:tcMar>
              <w:top w:w="80" w:type="dxa"/>
              <w:bottom w:w="80" w:type="dxa"/>
              <w:left w:w="120" w:type="dxa"/>
              <w:right w:w="120" w:type="dxa"/>
            </w:tcMar>
          </w:tcPr>
          <w:p>
            <w:r>
              <w:rPr>
                <w:sz w:val="18"/>
              </w:rPr>
              <w:t>Neon PostgreSQL + SQLAlchemy</w:t>
            </w:r>
          </w:p>
        </w:tc>
        <w:tc>
          <w:tcPr>
            <w:tcW w:type="dxa" w:w="3600"/>
            <w:shd w:fill="FFFFFF"/>
            <w:tcMar>
              <w:top w:w="80" w:type="dxa"/>
              <w:bottom w:w="80" w:type="dxa"/>
              <w:left w:w="120" w:type="dxa"/>
              <w:right w:w="120" w:type="dxa"/>
            </w:tcMar>
          </w:tcPr>
          <w:p>
            <w:r>
              <w:rPr>
                <w:sz w:val="18"/>
              </w:rPr>
              <w:t>Serverless PostgreSQL v16 with SSL connection pool</w:t>
            </w:r>
          </w:p>
        </w:tc>
      </w:tr>
      <w:tr>
        <w:tc>
          <w:tcPr>
            <w:tcW w:type="dxa" w:w="2592"/>
            <w:shd w:fill="F8F9FA"/>
            <w:tcMar>
              <w:top w:w="80" w:type="dxa"/>
              <w:bottom w:w="80" w:type="dxa"/>
              <w:left w:w="120" w:type="dxa"/>
              <w:right w:w="120" w:type="dxa"/>
            </w:tcMar>
          </w:tcPr>
          <w:p>
            <w:r>
              <w:rPr>
                <w:b/>
                <w:sz w:val="18"/>
              </w:rPr>
              <w:t>Generative AI Model</w:t>
            </w:r>
          </w:p>
        </w:tc>
        <w:tc>
          <w:tcPr>
            <w:tcW w:type="dxa" w:w="3168"/>
            <w:shd w:fill="F8F9FA"/>
            <w:tcMar>
              <w:top w:w="80" w:type="dxa"/>
              <w:bottom w:w="80" w:type="dxa"/>
              <w:left w:w="120" w:type="dxa"/>
              <w:right w:w="120" w:type="dxa"/>
            </w:tcMar>
          </w:tcPr>
          <w:p>
            <w:r>
              <w:rPr>
                <w:sz w:val="18"/>
              </w:rPr>
              <w:t>Google Gemini 2.5 Flash / Lite</w:t>
            </w:r>
          </w:p>
        </w:tc>
        <w:tc>
          <w:tcPr>
            <w:tcW w:type="dxa" w:w="3600"/>
            <w:shd w:fill="F8F9FA"/>
            <w:tcMar>
              <w:top w:w="80" w:type="dxa"/>
              <w:bottom w:w="80" w:type="dxa"/>
              <w:left w:w="120" w:type="dxa"/>
              <w:right w:w="120" w:type="dxa"/>
            </w:tcMar>
          </w:tcPr>
          <w:p>
            <w:r>
              <w:rPr>
                <w:sz w:val="18"/>
              </w:rPr>
              <w:t>Multimodal, high-speed, grounded inference via API</w:t>
            </w:r>
          </w:p>
        </w:tc>
      </w:tr>
      <w:tr>
        <w:tc>
          <w:tcPr>
            <w:tcW w:type="dxa" w:w="2592"/>
            <w:shd w:fill="FFFFFF"/>
            <w:tcMar>
              <w:top w:w="80" w:type="dxa"/>
              <w:bottom w:w="80" w:type="dxa"/>
              <w:left w:w="120" w:type="dxa"/>
              <w:right w:w="120" w:type="dxa"/>
            </w:tcMar>
          </w:tcPr>
          <w:p>
            <w:r>
              <w:rPr>
                <w:b/>
                <w:sz w:val="18"/>
              </w:rPr>
              <w:t>Authentication Engine</w:t>
            </w:r>
          </w:p>
        </w:tc>
        <w:tc>
          <w:tcPr>
            <w:tcW w:type="dxa" w:w="3168"/>
            <w:shd w:fill="FFFFFF"/>
            <w:tcMar>
              <w:top w:w="80" w:type="dxa"/>
              <w:bottom w:w="80" w:type="dxa"/>
              <w:left w:w="120" w:type="dxa"/>
              <w:right w:w="120" w:type="dxa"/>
            </w:tcMar>
          </w:tcPr>
          <w:p>
            <w:r>
              <w:rPr>
                <w:sz w:val="18"/>
              </w:rPr>
              <w:t>Google OAuth 2.0 / python-jose</w:t>
            </w:r>
          </w:p>
        </w:tc>
        <w:tc>
          <w:tcPr>
            <w:tcW w:type="dxa" w:w="3600"/>
            <w:shd w:fill="FFFFFF"/>
            <w:tcMar>
              <w:top w:w="80" w:type="dxa"/>
              <w:bottom w:w="80" w:type="dxa"/>
              <w:left w:w="120" w:type="dxa"/>
              <w:right w:w="120" w:type="dxa"/>
            </w:tcMar>
          </w:tcPr>
          <w:p>
            <w:r>
              <w:rPr>
                <w:sz w:val="18"/>
              </w:rPr>
              <w:t>Secure JWT validation and cross-session persistence</w:t>
            </w:r>
          </w:p>
        </w:tc>
      </w:tr>
      <w:tr>
        <w:tc>
          <w:tcPr>
            <w:tcW w:type="dxa" w:w="2592"/>
            <w:shd w:fill="F8F9FA"/>
            <w:tcMar>
              <w:top w:w="80" w:type="dxa"/>
              <w:bottom w:w="80" w:type="dxa"/>
              <w:left w:w="120" w:type="dxa"/>
              <w:right w:w="120" w:type="dxa"/>
            </w:tcMar>
          </w:tcPr>
          <w:p>
            <w:r>
              <w:rPr>
                <w:b/>
                <w:sz w:val="18"/>
              </w:rPr>
              <w:t>Mathematical Typeset</w:t>
            </w:r>
          </w:p>
        </w:tc>
        <w:tc>
          <w:tcPr>
            <w:tcW w:type="dxa" w:w="3168"/>
            <w:shd w:fill="F8F9FA"/>
            <w:tcMar>
              <w:top w:w="80" w:type="dxa"/>
              <w:bottom w:w="80" w:type="dxa"/>
              <w:left w:w="120" w:type="dxa"/>
              <w:right w:w="120" w:type="dxa"/>
            </w:tcMar>
          </w:tcPr>
          <w:p>
            <w:r>
              <w:rPr>
                <w:sz w:val="18"/>
              </w:rPr>
              <w:t>KaTeX</w:t>
            </w:r>
          </w:p>
        </w:tc>
        <w:tc>
          <w:tcPr>
            <w:tcW w:type="dxa" w:w="3600"/>
            <w:shd w:fill="F8F9FA"/>
            <w:tcMar>
              <w:top w:w="80" w:type="dxa"/>
              <w:bottom w:w="80" w:type="dxa"/>
              <w:left w:w="120" w:type="dxa"/>
              <w:right w:w="120" w:type="dxa"/>
            </w:tcMar>
          </w:tcPr>
          <w:p>
            <w:r>
              <w:rPr>
                <w:sz w:val="18"/>
              </w:rPr>
              <w:t>Fast browser LaTeX math rendering for OS equations</w:t>
            </w:r>
          </w:p>
        </w:tc>
      </w:tr>
      <w:tr>
        <w:tc>
          <w:tcPr>
            <w:tcW w:type="dxa" w:w="2592"/>
            <w:shd w:fill="FFFFFF"/>
            <w:tcMar>
              <w:top w:w="80" w:type="dxa"/>
              <w:bottom w:w="80" w:type="dxa"/>
              <w:left w:w="120" w:type="dxa"/>
              <w:right w:w="120" w:type="dxa"/>
            </w:tcMar>
          </w:tcPr>
          <w:p>
            <w:r>
              <w:rPr>
                <w:b/>
                <w:sz w:val="18"/>
              </w:rPr>
              <w:t>PDF Extraction</w:t>
            </w:r>
          </w:p>
        </w:tc>
        <w:tc>
          <w:tcPr>
            <w:tcW w:type="dxa" w:w="3168"/>
            <w:shd w:fill="FFFFFF"/>
            <w:tcMar>
              <w:top w:w="80" w:type="dxa"/>
              <w:bottom w:w="80" w:type="dxa"/>
              <w:left w:w="120" w:type="dxa"/>
              <w:right w:w="120" w:type="dxa"/>
            </w:tcMar>
          </w:tcPr>
          <w:p>
            <w:r>
              <w:rPr>
                <w:sz w:val="18"/>
              </w:rPr>
              <w:t>PyPDF</w:t>
            </w:r>
          </w:p>
        </w:tc>
        <w:tc>
          <w:tcPr>
            <w:tcW w:type="dxa" w:w="3600"/>
            <w:shd w:fill="FFFFFF"/>
            <w:tcMar>
              <w:top w:w="80" w:type="dxa"/>
              <w:bottom w:w="80" w:type="dxa"/>
              <w:left w:w="120" w:type="dxa"/>
              <w:right w:w="120" w:type="dxa"/>
            </w:tcMar>
          </w:tcPr>
          <w:p>
            <w:r>
              <w:rPr>
                <w:sz w:val="18"/>
              </w:rPr>
              <w:t>Byte-level text extraction with page metadata tracking</w:t>
            </w:r>
          </w:p>
        </w:tc>
      </w:tr>
    </w:tbl>
    <w:p>
      <w:pPr>
        <w:spacing w:after="160"/>
      </w:pPr>
    </w:p>
    <w:p>
      <w:pPr>
        <w:keepNext/>
        <w:spacing w:before="320" w:after="120"/>
      </w:pPr>
      <w:r>
        <w:rPr>
          <w:rFonts w:ascii="Calibri" w:hAnsi="Calibri"/>
          <w:b/>
          <w:color w:val="102C57"/>
          <w:sz w:val="30"/>
        </w:rPr>
        <w:t>5. Hardware Requirements</w:t>
      </w:r>
    </w:p>
    <w:p>
      <w:pPr>
        <w:spacing w:after="120"/>
      </w:pPr>
      <w:r>
        <w:t>A key engineering advantage of DocPilot AI is its architectural efficiency: it requires zero dedicated GPU resources on the hosting infrastructure.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02C57"/>
            <w:tcMar>
              <w:top w:w="100" w:type="dxa"/>
              <w:bottom w:w="100" w:type="dxa"/>
              <w:left w:w="120" w:type="dxa"/>
              <w:right w:w="120" w:type="dxa"/>
            </w:tcMar>
          </w:tcPr>
          <w:p>
            <w:r>
              <w:rPr>
                <w:b/>
                <w:color w:val="FFFFFF"/>
                <w:sz w:val="19"/>
              </w:rPr>
              <w:t>Hardware Resource</w:t>
            </w:r>
          </w:p>
        </w:tc>
        <w:tc>
          <w:tcPr>
            <w:tcW w:type="dxa" w:w="3312"/>
            <w:shd w:fill="102C57"/>
            <w:tcMar>
              <w:top w:w="100" w:type="dxa"/>
              <w:bottom w:w="100" w:type="dxa"/>
              <w:left w:w="120" w:type="dxa"/>
              <w:right w:w="120" w:type="dxa"/>
            </w:tcMar>
          </w:tcPr>
          <w:p>
            <w:r>
              <w:rPr>
                <w:b/>
                <w:color w:val="FFFFFF"/>
                <w:sz w:val="19"/>
              </w:rPr>
              <w:t>Minimum Specification</w:t>
            </w:r>
          </w:p>
        </w:tc>
        <w:tc>
          <w:tcPr>
            <w:tcW w:type="dxa" w:w="3456"/>
            <w:shd w:fill="102C57"/>
            <w:tcMar>
              <w:top w:w="100" w:type="dxa"/>
              <w:bottom w:w="100" w:type="dxa"/>
              <w:left w:w="120" w:type="dxa"/>
              <w:right w:w="120" w:type="dxa"/>
            </w:tcMar>
          </w:tcPr>
          <w:p>
            <w:r>
              <w:rPr>
                <w:b/>
                <w:color w:val="FFFFFF"/>
                <w:sz w:val="19"/>
              </w:rPr>
              <w:t>Recommended Specification</w:t>
            </w:r>
          </w:p>
        </w:tc>
      </w:tr>
      <w:tr>
        <w:tc>
          <w:tcPr>
            <w:tcW w:type="dxa" w:w="2592"/>
            <w:shd w:fill="F8F9FA"/>
            <w:tcMar>
              <w:top w:w="80" w:type="dxa"/>
              <w:bottom w:w="80" w:type="dxa"/>
              <w:left w:w="120" w:type="dxa"/>
              <w:right w:w="120" w:type="dxa"/>
            </w:tcMar>
          </w:tcPr>
          <w:p>
            <w:r>
              <w:rPr>
                <w:b/>
                <w:sz w:val="18"/>
              </w:rPr>
              <w:t>Processor (CPU)</w:t>
            </w:r>
          </w:p>
        </w:tc>
        <w:tc>
          <w:tcPr>
            <w:tcW w:type="dxa" w:w="3312"/>
            <w:shd w:fill="F8F9FA"/>
            <w:tcMar>
              <w:top w:w="80" w:type="dxa"/>
              <w:bottom w:w="80" w:type="dxa"/>
              <w:left w:w="120" w:type="dxa"/>
              <w:right w:w="120" w:type="dxa"/>
            </w:tcMar>
          </w:tcPr>
          <w:p>
            <w:r>
              <w:rPr>
                <w:sz w:val="18"/>
              </w:rPr>
              <w:t>Dual-Core 2.0 GHz (x86_64 or ARM64)</w:t>
            </w:r>
          </w:p>
        </w:tc>
        <w:tc>
          <w:tcPr>
            <w:tcW w:type="dxa" w:w="3456"/>
            <w:shd w:fill="F8F9FA"/>
            <w:tcMar>
              <w:top w:w="80" w:type="dxa"/>
              <w:bottom w:w="80" w:type="dxa"/>
              <w:left w:w="120" w:type="dxa"/>
              <w:right w:w="120" w:type="dxa"/>
            </w:tcMar>
          </w:tcPr>
          <w:p>
            <w:r>
              <w:rPr>
                <w:sz w:val="18"/>
              </w:rPr>
              <w:t>Quad-Core Intel i5 / AMD Ryzen 5 or higher</w:t>
            </w:r>
          </w:p>
        </w:tc>
      </w:tr>
      <w:tr>
        <w:tc>
          <w:tcPr>
            <w:tcW w:type="dxa" w:w="2592"/>
            <w:shd w:fill="FFFFFF"/>
            <w:tcMar>
              <w:top w:w="80" w:type="dxa"/>
              <w:bottom w:w="80" w:type="dxa"/>
              <w:left w:w="120" w:type="dxa"/>
              <w:right w:w="120" w:type="dxa"/>
            </w:tcMar>
          </w:tcPr>
          <w:p>
            <w:r>
              <w:rPr>
                <w:b/>
                <w:sz w:val="18"/>
              </w:rPr>
              <w:t>System RAM</w:t>
            </w:r>
          </w:p>
        </w:tc>
        <w:tc>
          <w:tcPr>
            <w:tcW w:type="dxa" w:w="3312"/>
            <w:shd w:fill="FFFFFF"/>
            <w:tcMar>
              <w:top w:w="80" w:type="dxa"/>
              <w:bottom w:w="80" w:type="dxa"/>
              <w:left w:w="120" w:type="dxa"/>
              <w:right w:w="120" w:type="dxa"/>
            </w:tcMar>
          </w:tcPr>
          <w:p>
            <w:r>
              <w:rPr>
                <w:sz w:val="18"/>
              </w:rPr>
              <w:t>8 GB DDR4</w:t>
            </w:r>
          </w:p>
        </w:tc>
        <w:tc>
          <w:tcPr>
            <w:tcW w:type="dxa" w:w="3456"/>
            <w:shd w:fill="FFFFFF"/>
            <w:tcMar>
              <w:top w:w="80" w:type="dxa"/>
              <w:bottom w:w="80" w:type="dxa"/>
              <w:left w:w="120" w:type="dxa"/>
              <w:right w:w="120" w:type="dxa"/>
            </w:tcMar>
          </w:tcPr>
          <w:p>
            <w:r>
              <w:rPr>
                <w:sz w:val="18"/>
              </w:rPr>
              <w:t>16 GB DDR4/DDR5 (High concurrency support)</w:t>
            </w:r>
          </w:p>
        </w:tc>
      </w:tr>
      <w:tr>
        <w:tc>
          <w:tcPr>
            <w:tcW w:type="dxa" w:w="2592"/>
            <w:shd w:fill="F8F9FA"/>
            <w:tcMar>
              <w:top w:w="80" w:type="dxa"/>
              <w:bottom w:w="80" w:type="dxa"/>
              <w:left w:w="120" w:type="dxa"/>
              <w:right w:w="120" w:type="dxa"/>
            </w:tcMar>
          </w:tcPr>
          <w:p>
            <w:r>
              <w:rPr>
                <w:b/>
                <w:sz w:val="18"/>
              </w:rPr>
              <w:t>Disk Storage</w:t>
            </w:r>
          </w:p>
        </w:tc>
        <w:tc>
          <w:tcPr>
            <w:tcW w:type="dxa" w:w="3312"/>
            <w:shd w:fill="F8F9FA"/>
            <w:tcMar>
              <w:top w:w="80" w:type="dxa"/>
              <w:bottom w:w="80" w:type="dxa"/>
              <w:left w:w="120" w:type="dxa"/>
              <w:right w:w="120" w:type="dxa"/>
            </w:tcMar>
          </w:tcPr>
          <w:p>
            <w:r>
              <w:rPr>
                <w:sz w:val="18"/>
              </w:rPr>
              <w:t>5 GB available SSD storage</w:t>
            </w:r>
          </w:p>
        </w:tc>
        <w:tc>
          <w:tcPr>
            <w:tcW w:type="dxa" w:w="3456"/>
            <w:shd w:fill="F8F9FA"/>
            <w:tcMar>
              <w:top w:w="80" w:type="dxa"/>
              <w:bottom w:w="80" w:type="dxa"/>
              <w:left w:w="120" w:type="dxa"/>
              <w:right w:w="120" w:type="dxa"/>
            </w:tcMar>
          </w:tcPr>
          <w:p>
            <w:r>
              <w:rPr>
                <w:sz w:val="18"/>
              </w:rPr>
              <w:t>20 GB NVMe SSD (Fast model caching &amp; doc cache)</w:t>
            </w:r>
          </w:p>
        </w:tc>
      </w:tr>
      <w:tr>
        <w:tc>
          <w:tcPr>
            <w:tcW w:type="dxa" w:w="2592"/>
            <w:shd w:fill="FFFFFF"/>
            <w:tcMar>
              <w:top w:w="80" w:type="dxa"/>
              <w:bottom w:w="80" w:type="dxa"/>
              <w:left w:w="120" w:type="dxa"/>
              <w:right w:w="120" w:type="dxa"/>
            </w:tcMar>
          </w:tcPr>
          <w:p>
            <w:r>
              <w:rPr>
                <w:b/>
                <w:sz w:val="18"/>
              </w:rPr>
              <w:t>Graphics (GPU)</w:t>
            </w:r>
          </w:p>
        </w:tc>
        <w:tc>
          <w:tcPr>
            <w:tcW w:type="dxa" w:w="3312"/>
            <w:shd w:fill="FFFFFF"/>
            <w:tcMar>
              <w:top w:w="80" w:type="dxa"/>
              <w:bottom w:w="80" w:type="dxa"/>
              <w:left w:w="120" w:type="dxa"/>
              <w:right w:w="120" w:type="dxa"/>
            </w:tcMar>
          </w:tcPr>
          <w:p>
            <w:r>
              <w:rPr>
                <w:sz w:val="18"/>
              </w:rPr>
              <w:t>No Dedicated GPU Required (0 MB VRAM)</w:t>
            </w:r>
          </w:p>
        </w:tc>
        <w:tc>
          <w:tcPr>
            <w:tcW w:type="dxa" w:w="3456"/>
            <w:shd w:fill="FFFFFF"/>
            <w:tcMar>
              <w:top w:w="80" w:type="dxa"/>
              <w:bottom w:w="80" w:type="dxa"/>
              <w:left w:w="120" w:type="dxa"/>
              <w:right w:w="120" w:type="dxa"/>
            </w:tcMar>
          </w:tcPr>
          <w:p>
            <w:r>
              <w:rPr>
                <w:sz w:val="18"/>
              </w:rPr>
              <w:t>CPU-only inference (Quantized ONNX runtime)</w:t>
            </w:r>
          </w:p>
        </w:tc>
      </w:tr>
      <w:tr>
        <w:tc>
          <w:tcPr>
            <w:tcW w:type="dxa" w:w="2592"/>
            <w:shd w:fill="F8F9FA"/>
            <w:tcMar>
              <w:top w:w="80" w:type="dxa"/>
              <w:bottom w:w="80" w:type="dxa"/>
              <w:left w:w="120" w:type="dxa"/>
              <w:right w:w="120" w:type="dxa"/>
            </w:tcMar>
          </w:tcPr>
          <w:p>
            <w:r>
              <w:rPr>
                <w:b/>
                <w:sz w:val="18"/>
              </w:rPr>
              <w:t>Network Interface</w:t>
            </w:r>
          </w:p>
        </w:tc>
        <w:tc>
          <w:tcPr>
            <w:tcW w:type="dxa" w:w="3312"/>
            <w:shd w:fill="F8F9FA"/>
            <w:tcMar>
              <w:top w:w="80" w:type="dxa"/>
              <w:bottom w:w="80" w:type="dxa"/>
              <w:left w:w="120" w:type="dxa"/>
              <w:right w:w="120" w:type="dxa"/>
            </w:tcMar>
          </w:tcPr>
          <w:p>
            <w:r>
              <w:rPr>
                <w:sz w:val="18"/>
              </w:rPr>
              <w:t>Standard Broadband (5 Mbps)</w:t>
            </w:r>
          </w:p>
        </w:tc>
        <w:tc>
          <w:tcPr>
            <w:tcW w:type="dxa" w:w="3456"/>
            <w:shd w:fill="F8F9FA"/>
            <w:tcMar>
              <w:top w:w="80" w:type="dxa"/>
              <w:bottom w:w="80" w:type="dxa"/>
              <w:left w:w="120" w:type="dxa"/>
              <w:right w:w="120" w:type="dxa"/>
            </w:tcMar>
          </w:tcPr>
          <w:p>
            <w:r>
              <w:rPr>
                <w:sz w:val="18"/>
              </w:rPr>
              <w:t>High-Speed Fiber (&gt;= 25 Mbps, Low Latency SSL)</w:t>
            </w:r>
          </w:p>
        </w:tc>
      </w:tr>
      <w:tr>
        <w:tc>
          <w:tcPr>
            <w:tcW w:type="dxa" w:w="2592"/>
            <w:shd w:fill="FFFFFF"/>
            <w:tcMar>
              <w:top w:w="80" w:type="dxa"/>
              <w:bottom w:w="80" w:type="dxa"/>
              <w:left w:w="120" w:type="dxa"/>
              <w:right w:w="120" w:type="dxa"/>
            </w:tcMar>
          </w:tcPr>
          <w:p>
            <w:r>
              <w:rPr>
                <w:b/>
                <w:sz w:val="18"/>
              </w:rPr>
              <w:t>Client Form Factor</w:t>
            </w:r>
          </w:p>
        </w:tc>
        <w:tc>
          <w:tcPr>
            <w:tcW w:type="dxa" w:w="3312"/>
            <w:shd w:fill="FFFFFF"/>
            <w:tcMar>
              <w:top w:w="80" w:type="dxa"/>
              <w:bottom w:w="80" w:type="dxa"/>
              <w:left w:w="120" w:type="dxa"/>
              <w:right w:w="120" w:type="dxa"/>
            </w:tcMar>
          </w:tcPr>
          <w:p>
            <w:r>
              <w:rPr>
                <w:sz w:val="18"/>
              </w:rPr>
              <w:t>Modern Desktop / Laptop / Tablet</w:t>
            </w:r>
          </w:p>
        </w:tc>
        <w:tc>
          <w:tcPr>
            <w:tcW w:type="dxa" w:w="3456"/>
            <w:shd w:fill="FFFFFF"/>
            <w:tcMar>
              <w:top w:w="80" w:type="dxa"/>
              <w:bottom w:w="80" w:type="dxa"/>
              <w:left w:w="120" w:type="dxa"/>
              <w:right w:w="120" w:type="dxa"/>
            </w:tcMar>
          </w:tcPr>
          <w:p>
            <w:r>
              <w:rPr>
                <w:sz w:val="18"/>
              </w:rPr>
              <w:t>Full HD (1920x1080) display for dual split-view</w:t>
            </w:r>
          </w:p>
        </w:tc>
      </w:tr>
    </w:tbl>
    <w:p>
      <w:pPr>
        <w:spacing w:after="160"/>
      </w:pPr>
    </w:p>
    <w:p>
      <w:pPr>
        <w:keepNext/>
        <w:spacing w:before="320" w:after="120"/>
      </w:pPr>
      <w:r>
        <w:rPr>
          <w:rFonts w:ascii="Calibri" w:hAnsi="Calibri"/>
          <w:b/>
          <w:color w:val="102C57"/>
          <w:sz w:val="30"/>
        </w:rPr>
        <w:t>6. How Your LLM / RAG Implementation is Unique</w:t>
      </w:r>
    </w:p>
    <w:p>
      <w:pPr>
        <w:spacing w:after="120"/>
      </w:pPr>
      <w:r>
        <w:t>Compared to standard generic chatbot interfaces or naive baseline RAG implementations, DocPilot AI introduces six foundational differentiators engineered specifically for academic rigor and technical computing:</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02C57"/>
            <w:tcMar>
              <w:top w:w="100" w:type="dxa"/>
              <w:bottom w:w="100" w:type="dxa"/>
              <w:left w:w="120" w:type="dxa"/>
              <w:right w:w="120" w:type="dxa"/>
            </w:tcMar>
          </w:tcPr>
          <w:p>
            <w:r>
              <w:rPr>
                <w:b/>
                <w:color w:val="FFFFFF"/>
                <w:sz w:val="19"/>
              </w:rPr>
              <w:t>Comparative Dimension</w:t>
            </w:r>
          </w:p>
        </w:tc>
        <w:tc>
          <w:tcPr>
            <w:tcW w:type="dxa" w:w="3168"/>
            <w:shd w:fill="102C57"/>
            <w:tcMar>
              <w:top w:w="100" w:type="dxa"/>
              <w:bottom w:w="100" w:type="dxa"/>
              <w:left w:w="120" w:type="dxa"/>
              <w:right w:w="120" w:type="dxa"/>
            </w:tcMar>
          </w:tcPr>
          <w:p>
            <w:r>
              <w:rPr>
                <w:b/>
                <w:color w:val="FFFFFF"/>
                <w:sz w:val="19"/>
              </w:rPr>
              <w:t>Conventional / Generic Chatbot</w:t>
            </w:r>
          </w:p>
        </w:tc>
        <w:tc>
          <w:tcPr>
            <w:tcW w:type="dxa" w:w="3600"/>
            <w:shd w:fill="102C57"/>
            <w:tcMar>
              <w:top w:w="100" w:type="dxa"/>
              <w:bottom w:w="100" w:type="dxa"/>
              <w:left w:w="120" w:type="dxa"/>
              <w:right w:w="120" w:type="dxa"/>
            </w:tcMar>
          </w:tcPr>
          <w:p>
            <w:r>
              <w:rPr>
                <w:b/>
                <w:color w:val="FFFFFF"/>
                <w:sz w:val="19"/>
              </w:rPr>
              <w:t>DocPilot AI (Our System)</w:t>
            </w:r>
          </w:p>
        </w:tc>
      </w:tr>
      <w:tr>
        <w:tc>
          <w:tcPr>
            <w:tcW w:type="dxa" w:w="2592"/>
            <w:shd w:fill="F8F9FA"/>
            <w:tcMar>
              <w:top w:w="80" w:type="dxa"/>
              <w:bottom w:w="80" w:type="dxa"/>
              <w:left w:w="120" w:type="dxa"/>
              <w:right w:w="120" w:type="dxa"/>
            </w:tcMar>
          </w:tcPr>
          <w:p>
            <w:r>
              <w:rPr>
                <w:b/>
                <w:sz w:val="18"/>
              </w:rPr>
              <w:t>Knowledge Space Architecture</w:t>
            </w:r>
          </w:p>
        </w:tc>
        <w:tc>
          <w:tcPr>
            <w:tcW w:type="dxa" w:w="3168"/>
            <w:shd w:fill="F8F9FA"/>
            <w:tcMar>
              <w:top w:w="80" w:type="dxa"/>
              <w:bottom w:w="80" w:type="dxa"/>
              <w:left w:w="120" w:type="dxa"/>
              <w:right w:w="120" w:type="dxa"/>
            </w:tcMar>
          </w:tcPr>
          <w:p>
            <w:r>
              <w:rPr>
                <w:sz w:val="18"/>
              </w:rPr>
              <w:t>Monolithic single-doc or ungrounded global weights.</w:t>
            </w:r>
          </w:p>
        </w:tc>
        <w:tc>
          <w:tcPr>
            <w:tcW w:type="dxa" w:w="3600"/>
            <w:shd w:fill="F8F9FA"/>
            <w:tcMar>
              <w:top w:w="80" w:type="dxa"/>
              <w:bottom w:w="80" w:type="dxa"/>
              <w:left w:w="120" w:type="dxa"/>
              <w:right w:w="120" w:type="dxa"/>
            </w:tcMar>
          </w:tcPr>
          <w:p>
            <w:r>
              <w:rPr>
                <w:sz w:val="18"/>
              </w:rPr>
              <w:t>Dual-Tier Knowledge Fabric: Auto-bootstrapped canonical OS Guide + dynamically routed multi-PDF uploads.</w:t>
            </w:r>
          </w:p>
        </w:tc>
      </w:tr>
      <w:tr>
        <w:tc>
          <w:tcPr>
            <w:tcW w:type="dxa" w:w="2592"/>
            <w:shd w:fill="FFFFFF"/>
            <w:tcMar>
              <w:top w:w="80" w:type="dxa"/>
              <w:bottom w:w="80" w:type="dxa"/>
              <w:left w:w="120" w:type="dxa"/>
              <w:right w:w="120" w:type="dxa"/>
            </w:tcMar>
          </w:tcPr>
          <w:p>
            <w:r>
              <w:rPr>
                <w:b/>
                <w:sz w:val="18"/>
              </w:rPr>
              <w:t>Embedding Pipeline &amp; Latency</w:t>
            </w:r>
          </w:p>
        </w:tc>
        <w:tc>
          <w:tcPr>
            <w:tcW w:type="dxa" w:w="3168"/>
            <w:shd w:fill="FFFFFF"/>
            <w:tcMar>
              <w:top w:w="80" w:type="dxa"/>
              <w:bottom w:w="80" w:type="dxa"/>
              <w:left w:w="120" w:type="dxa"/>
              <w:right w:w="120" w:type="dxa"/>
            </w:tcMar>
          </w:tcPr>
          <w:p>
            <w:r>
              <w:rPr>
                <w:sz w:val="18"/>
              </w:rPr>
              <w:t>External API calls (OpenAI/Cohere); suffers rate limits and cost.</w:t>
            </w:r>
          </w:p>
        </w:tc>
        <w:tc>
          <w:tcPr>
            <w:tcW w:type="dxa" w:w="3600"/>
            <w:shd w:fill="FFFFFF"/>
            <w:tcMar>
              <w:top w:w="80" w:type="dxa"/>
              <w:bottom w:w="80" w:type="dxa"/>
              <w:left w:w="120" w:type="dxa"/>
              <w:right w:w="120" w:type="dxa"/>
            </w:tcMar>
          </w:tcPr>
          <w:p>
            <w:r>
              <w:rPr>
                <w:sz w:val="18"/>
              </w:rPr>
              <w:t>Local ONNX FastEmbed: Quantized all-MiniLM-L6-v2 running on CPU in &lt;15ms with 0 API cost.</w:t>
            </w:r>
          </w:p>
        </w:tc>
      </w:tr>
      <w:tr>
        <w:tc>
          <w:tcPr>
            <w:tcW w:type="dxa" w:w="2592"/>
            <w:shd w:fill="F8F9FA"/>
            <w:tcMar>
              <w:top w:w="80" w:type="dxa"/>
              <w:bottom w:w="80" w:type="dxa"/>
              <w:left w:w="120" w:type="dxa"/>
              <w:right w:w="120" w:type="dxa"/>
            </w:tcMar>
          </w:tcPr>
          <w:p>
            <w:r>
              <w:rPr>
                <w:b/>
                <w:sz w:val="18"/>
              </w:rPr>
              <w:t>Academic Grounding &amp; Provenance</w:t>
            </w:r>
          </w:p>
        </w:tc>
        <w:tc>
          <w:tcPr>
            <w:tcW w:type="dxa" w:w="3168"/>
            <w:shd w:fill="F8F9FA"/>
            <w:tcMar>
              <w:top w:w="80" w:type="dxa"/>
              <w:bottom w:w="80" w:type="dxa"/>
              <w:left w:w="120" w:type="dxa"/>
              <w:right w:w="120" w:type="dxa"/>
            </w:tcMar>
          </w:tcPr>
          <w:p>
            <w:r>
              <w:rPr>
                <w:sz w:val="18"/>
              </w:rPr>
              <w:t>Hallucinates explanations; no verifiable source anchors.</w:t>
            </w:r>
          </w:p>
        </w:tc>
        <w:tc>
          <w:tcPr>
            <w:tcW w:type="dxa" w:w="3600"/>
            <w:shd w:fill="F8F9FA"/>
            <w:tcMar>
              <w:top w:w="80" w:type="dxa"/>
              <w:bottom w:w="80" w:type="dxa"/>
              <w:left w:w="120" w:type="dxa"/>
              <w:right w:w="120" w:type="dxa"/>
            </w:tcMar>
          </w:tcPr>
          <w:p>
            <w:r>
              <w:rPr>
                <w:sz w:val="18"/>
              </w:rPr>
              <w:t>Deterministic Citations: Injects structured metadata [Document, Page] enabling direct one-click PDF cross-check.</w:t>
            </w:r>
          </w:p>
        </w:tc>
      </w:tr>
      <w:tr>
        <w:tc>
          <w:tcPr>
            <w:tcW w:type="dxa" w:w="2592"/>
            <w:shd w:fill="FFFFFF"/>
            <w:tcMar>
              <w:top w:w="80" w:type="dxa"/>
              <w:bottom w:w="80" w:type="dxa"/>
              <w:left w:w="120" w:type="dxa"/>
              <w:right w:w="120" w:type="dxa"/>
            </w:tcMar>
          </w:tcPr>
          <w:p>
            <w:r>
              <w:rPr>
                <w:b/>
                <w:sz w:val="18"/>
              </w:rPr>
              <w:t>State Persistence &amp; Scalability</w:t>
            </w:r>
          </w:p>
        </w:tc>
        <w:tc>
          <w:tcPr>
            <w:tcW w:type="dxa" w:w="3168"/>
            <w:shd w:fill="FFFFFF"/>
            <w:tcMar>
              <w:top w:w="80" w:type="dxa"/>
              <w:bottom w:w="80" w:type="dxa"/>
              <w:left w:w="120" w:type="dxa"/>
              <w:right w:w="120" w:type="dxa"/>
            </w:tcMar>
          </w:tcPr>
          <w:p>
            <w:r>
              <w:rPr>
                <w:sz w:val="18"/>
              </w:rPr>
              <w:t>Ephemeral in-memory state or local single-user SQLite.</w:t>
            </w:r>
          </w:p>
        </w:tc>
        <w:tc>
          <w:tcPr>
            <w:tcW w:type="dxa" w:w="3600"/>
            <w:shd w:fill="FFFFFF"/>
            <w:tcMar>
              <w:top w:w="80" w:type="dxa"/>
              <w:bottom w:w="80" w:type="dxa"/>
              <w:left w:w="120" w:type="dxa"/>
              <w:right w:w="120" w:type="dxa"/>
            </w:tcMar>
          </w:tcPr>
          <w:p>
            <w:r>
              <w:rPr>
                <w:sz w:val="18"/>
              </w:rPr>
              <w:t>Cloud-Native Hybrid: Serverless Neon PostgreSQL (ACID relational history) + ChromaDB Cloud (vector index).</w:t>
            </w:r>
          </w:p>
        </w:tc>
      </w:tr>
      <w:tr>
        <w:tc>
          <w:tcPr>
            <w:tcW w:type="dxa" w:w="2592"/>
            <w:shd w:fill="F8F9FA"/>
            <w:tcMar>
              <w:top w:w="80" w:type="dxa"/>
              <w:bottom w:w="80" w:type="dxa"/>
              <w:left w:w="120" w:type="dxa"/>
              <w:right w:w="120" w:type="dxa"/>
            </w:tcMar>
          </w:tcPr>
          <w:p>
            <w:r>
              <w:rPr>
                <w:b/>
                <w:sz w:val="18"/>
              </w:rPr>
              <w:t>Pedagogical Utilities</w:t>
            </w:r>
          </w:p>
        </w:tc>
        <w:tc>
          <w:tcPr>
            <w:tcW w:type="dxa" w:w="3168"/>
            <w:shd w:fill="F8F9FA"/>
            <w:tcMar>
              <w:top w:w="80" w:type="dxa"/>
              <w:bottom w:w="80" w:type="dxa"/>
              <w:left w:w="120" w:type="dxa"/>
              <w:right w:w="120" w:type="dxa"/>
            </w:tcMar>
          </w:tcPr>
          <w:p>
            <w:r>
              <w:rPr>
                <w:sz w:val="18"/>
              </w:rPr>
              <w:t>Passive conversational replies only.</w:t>
            </w:r>
          </w:p>
        </w:tc>
        <w:tc>
          <w:tcPr>
            <w:tcW w:type="dxa" w:w="3600"/>
            <w:shd w:fill="F8F9FA"/>
            <w:tcMar>
              <w:top w:w="80" w:type="dxa"/>
              <w:bottom w:w="80" w:type="dxa"/>
              <w:left w:w="120" w:type="dxa"/>
              <w:right w:w="120" w:type="dxa"/>
            </w:tcMar>
          </w:tcPr>
          <w:p>
            <w:r>
              <w:rPr>
                <w:sz w:val="18"/>
              </w:rPr>
              <w:t>Active Learning Engine: Generates Bloom's taxonomy quizzes, conceptual flashcards, and syllabus study guides.</w:t>
            </w:r>
          </w:p>
        </w:tc>
      </w:tr>
      <w:tr>
        <w:tc>
          <w:tcPr>
            <w:tcW w:type="dxa" w:w="2592"/>
            <w:shd w:fill="FFFFFF"/>
            <w:tcMar>
              <w:top w:w="80" w:type="dxa"/>
              <w:bottom w:w="80" w:type="dxa"/>
              <w:left w:w="120" w:type="dxa"/>
              <w:right w:w="120" w:type="dxa"/>
            </w:tcMar>
          </w:tcPr>
          <w:p>
            <w:r>
              <w:rPr>
                <w:b/>
                <w:sz w:val="18"/>
              </w:rPr>
              <w:t>Inference Temperature Tuning</w:t>
            </w:r>
          </w:p>
        </w:tc>
        <w:tc>
          <w:tcPr>
            <w:tcW w:type="dxa" w:w="3168"/>
            <w:shd w:fill="FFFFFF"/>
            <w:tcMar>
              <w:top w:w="80" w:type="dxa"/>
              <w:bottom w:w="80" w:type="dxa"/>
              <w:left w:w="120" w:type="dxa"/>
              <w:right w:w="120" w:type="dxa"/>
            </w:tcMar>
          </w:tcPr>
          <w:p>
            <w:r>
              <w:rPr>
                <w:sz w:val="18"/>
              </w:rPr>
              <w:t>High temperature (T &gt;= 0.7) creating algorithm errors.</w:t>
            </w:r>
          </w:p>
        </w:tc>
        <w:tc>
          <w:tcPr>
            <w:tcW w:type="dxa" w:w="3600"/>
            <w:shd w:fill="FFFFFF"/>
            <w:tcMar>
              <w:top w:w="80" w:type="dxa"/>
              <w:bottom w:w="80" w:type="dxa"/>
              <w:left w:w="120" w:type="dxa"/>
              <w:right w:w="120" w:type="dxa"/>
            </w:tcMar>
          </w:tcPr>
          <w:p>
            <w:r>
              <w:rPr>
                <w:sz w:val="18"/>
              </w:rPr>
              <w:t>Deterministic Calibration (T = 0.3): Eliminates hallucinated formulas in Banker's, paging, and CPU scheduling.</w:t>
            </w:r>
          </w:p>
        </w:tc>
      </w:tr>
    </w:tbl>
    <w:p>
      <w:pPr>
        <w:spacing w:after="160"/>
      </w:pPr>
    </w:p>
    <w:p>
      <w:pPr>
        <w:keepNext/>
        <w:spacing w:before="320" w:after="120"/>
      </w:pPr>
      <w:r>
        <w:rPr>
          <w:rFonts w:ascii="Calibri" w:hAnsi="Calibri"/>
          <w:b/>
          <w:color w:val="102C57"/>
          <w:sz w:val="30"/>
        </w:rPr>
        <w:t>7. Expected Outcomes</w:t>
      </w:r>
    </w:p>
    <w:p>
      <w:pPr>
        <w:keepNext/>
        <w:spacing w:before="200" w:after="80"/>
      </w:pPr>
      <w:r>
        <w:rPr>
          <w:rFonts w:ascii="Calibri" w:hAnsi="Calibri"/>
          <w:b/>
          <w:color w:val="35598F"/>
          <w:sz w:val="25"/>
        </w:rPr>
        <w:t>7.1 Functional &amp; Academic Deliverables</w:t>
      </w:r>
    </w:p>
    <w:p>
      <w:pPr>
        <w:pStyle w:val="ListBullet"/>
        <w:spacing w:before="40" w:after="60"/>
      </w:pPr>
      <w:r>
        <w:rPr>
          <w:b/>
          <w:color w:val="102C57"/>
        </w:rPr>
        <w:t xml:space="preserve">Contextual Conversational Q&amp;A: </w:t>
      </w:r>
      <w:r>
        <w:t xml:space="preserve"> Accurate, step-by-step interactive solutions for complex OS algorithms (e.g., Round Robin with context switch overhead, Banker's resource request algorithms, LRU/FIFO/Optimal page replacement).</w:t>
      </w:r>
    </w:p>
    <w:p>
      <w:pPr>
        <w:pStyle w:val="ListBullet"/>
        <w:spacing w:before="40" w:after="60"/>
      </w:pPr>
      <w:r>
        <w:rPr>
          <w:b/>
          <w:color w:val="102C57"/>
        </w:rPr>
        <w:t xml:space="preserve">Verifiable Academic Provenance: </w:t>
      </w:r>
      <w:r>
        <w:t xml:space="preserve"> Every assertion is accompanied by document and page coordinates, allowing instructors, students, and examiners to verify veracity against official textbooks.</w:t>
      </w:r>
    </w:p>
    <w:p>
      <w:pPr>
        <w:pStyle w:val="ListBullet"/>
        <w:spacing w:before="40" w:after="60"/>
      </w:pPr>
      <w:r>
        <w:rPr>
          <w:b/>
          <w:color w:val="102C57"/>
        </w:rPr>
        <w:t xml:space="preserve">Automated Assessment Generation: </w:t>
      </w:r>
      <w:r>
        <w:t xml:space="preserve"> Instant creation of formatted multiple-choice questions with answer keys and rationale, customizable flashcards for revision, and chapter executive summaries.</w:t>
      </w:r>
    </w:p>
    <w:p>
      <w:pPr>
        <w:pStyle w:val="ListBullet"/>
        <w:spacing w:before="40" w:after="60"/>
      </w:pPr>
      <w:r>
        <w:rPr>
          <w:b/>
          <w:color w:val="102C57"/>
        </w:rPr>
        <w:t xml:space="preserve">Cross-Platform State Continuity: </w:t>
      </w:r>
      <w:r>
        <w:t xml:space="preserve"> Complete user session persistence where student queries, document references, and study notes remain accessible across devices via Google OAuth authentication.</w:t>
      </w:r>
    </w:p>
    <w:p>
      <w:pPr>
        <w:keepNext/>
        <w:spacing w:before="200" w:after="80"/>
      </w:pPr>
      <w:r>
        <w:rPr>
          <w:rFonts w:ascii="Calibri" w:hAnsi="Calibri"/>
          <w:b/>
          <w:color w:val="35598F"/>
          <w:sz w:val="25"/>
        </w:rPr>
        <w:t>7.2 Quantitative Performance Benchmarks</w:t>
      </w:r>
    </w:p>
    <w:p>
      <w:pPr>
        <w:pStyle w:val="ListBullet"/>
        <w:spacing w:before="40" w:after="60"/>
      </w:pPr>
      <w:r>
        <w:rPr>
          <w:b/>
          <w:color w:val="102C57"/>
        </w:rPr>
        <w:t xml:space="preserve">Document Indexing Throughput: </w:t>
      </w:r>
      <w:r>
        <w:t xml:space="preserve"> Under 2.5 seconds for a standard 25-page technical OS PDF document.</w:t>
      </w:r>
    </w:p>
    <w:p>
      <w:pPr>
        <w:pStyle w:val="ListBullet"/>
        <w:spacing w:before="40" w:after="60"/>
      </w:pPr>
      <w:r>
        <w:rPr>
          <w:b/>
          <w:color w:val="102C57"/>
        </w:rPr>
        <w:t xml:space="preserve">Vector Search Latency: </w:t>
      </w:r>
      <w:r>
        <w:t xml:space="preserve"> Sub-100 ms (&lt; 100 ms) approximate nearest-neighbor query across thousands of chunk vectors.</w:t>
      </w:r>
    </w:p>
    <w:p>
      <w:pPr>
        <w:pStyle w:val="ListBullet"/>
        <w:spacing w:before="40" w:after="60"/>
      </w:pPr>
      <w:r>
        <w:rPr>
          <w:b/>
          <w:color w:val="102C57"/>
        </w:rPr>
        <w:t xml:space="preserve">First-Token Generation Latency: </w:t>
      </w:r>
      <w:r>
        <w:t xml:space="preserve"> Under 1.8 seconds using Google Gemini 2.5 Flash streaming pipeline.</w:t>
      </w:r>
    </w:p>
    <w:p>
      <w:pPr>
        <w:pStyle w:val="ListBullet"/>
        <w:spacing w:before="40" w:after="60"/>
      </w:pPr>
      <w:r>
        <w:rPr>
          <w:b/>
          <w:color w:val="102C57"/>
        </w:rPr>
        <w:t xml:space="preserve">Hallucination Reduction: </w:t>
      </w:r>
      <w:r>
        <w:t xml:space="preserve"> &gt; 95% reduction in factual and numerical hallucinations compared to standard unaugmented models.</w:t>
      </w:r>
    </w:p>
    <w:p>
      <w:pPr>
        <w:pStyle w:val="ListBullet"/>
        <w:spacing w:before="40" w:after="60"/>
      </w:pPr>
      <w:r>
        <w:rPr>
          <w:b/>
          <w:color w:val="102C57"/>
        </w:rPr>
        <w:t xml:space="preserve">Database Resilience: </w:t>
      </w:r>
      <w:r>
        <w:t xml:space="preserve"> 100% uptime with zero database corruption risk through serverless automated branch failover.</w:t>
      </w:r>
    </w:p>
    <w:p>
      <w:pPr>
        <w:spacing w:before="480"/>
        <w:jc w:val="right"/>
      </w:pPr>
      <w:r>
        <w:rPr>
          <w:i/>
          <w:color w:val="6C757D"/>
          <w:sz w:val="17"/>
        </w:rPr>
        <w:t>Document compiled for Academic Submission &amp; Technical Evaluation</w:t>
        <w:br/>
        <w:t>DocPilot AI Project Architecture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