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4E79"/>
          <w:spacing w:val="70"/>
          <w:sz w:val="44"/>
          <w:szCs w:val="44"/>
        </w:rPr>
        <w:t xml:space="preserve">AULA</w:t>
      </w:r>
    </w:p>
    <w:p>
      <w:pPr>
        <w:spacing w:after="40" w:before="0" w:line="250"/>
      </w:pPr>
      <w:r>
        <w:rPr>
          <w:rFonts w:ascii="Calibri" w:cs="Calibri" w:eastAsia="Calibri" w:hAnsi="Calibri"/>
          <w:b/>
          <w:bCs/>
          <w:color w:val="1A1A1A"/>
          <w:sz w:val="21"/>
          <w:szCs w:val="21"/>
        </w:rPr>
        <w:t xml:space="preserve">Smart Classroom &amp; AI Timetable Scheduler  </w:t>
      </w:r>
      <w:r>
        <w:rPr>
          <w:rFonts w:ascii="Calibri" w:cs="Calibri" w:eastAsia="Calibri" w:hAnsi="Calibri"/>
          <w:color w:val="555555"/>
          <w:sz w:val="21"/>
          <w:szCs w:val="21"/>
        </w:rPr>
        <w:t xml:space="preserve">·  SIH25028, Smart Education theme</w:t>
      </w:r>
    </w:p>
    <w:p>
      <w:pPr>
        <w:pBdr>
          <w:bottom w:val="single" w:color="1F4E79" w:sz="8" w:space="6"/>
        </w:pBdr>
        <w:spacing w:after="150" w:before="0" w:line="250"/>
      </w:pPr>
      <w:r>
        <w:rPr>
          <w:rFonts w:ascii="Calibri" w:cs="Calibri" w:eastAsia="Calibri" w:hAnsi="Calibri"/>
          <w:color w:val="555555"/>
          <w:sz w:val="17"/>
          <w:szCs w:val="17"/>
        </w:rPr>
        <w:t xml:space="preserve">Pratyush P.  ·  Windows desktop technology demonstrator  ·  v1.2, stable  ·  21 August 2026</w:t>
      </w:r>
    </w:p>
    <w:p>
      <w:pPr>
        <w:spacing w:after="150" w:before="0" w:line="250"/>
      </w:pPr>
      <w:r>
        <w:rPr>
          <w:rFonts w:ascii="Calibri" w:cs="Calibri" w:eastAsia="Calibri" w:hAnsi="Calibri"/>
          <w:b/>
          <w:bCs/>
          <w:color w:val="1A1A1A"/>
          <w:sz w:val="19"/>
          <w:szCs w:val="19"/>
        </w:rPr>
        <w:t xml:space="preserve">This document describes Aula in full: </w:t>
      </w:r>
      <w:r>
        <w:rPr>
          <w:rFonts w:ascii="Calibri" w:cs="Calibri" w:eastAsia="Calibri" w:hAnsi="Calibri"/>
          <w:color w:val="1A1A1A"/>
          <w:sz w:val="19"/>
          <w:szCs w:val="19"/>
        </w:rPr>
        <w:t xml:space="preserve">the problem it addresses, its file system and technology stack, how 500 written constraints are compiled into executable checks and what algorithms those checks use, what serves as a backend in an application with no server, and four forward-looking questions — how agentic AI would be integrated and what currently prevents it, how the system would move to a server with student, teacher and administrator logins, how examination scheduling would be added, and what gaps remain. </w:t>
      </w:r>
      <w:r>
        <w:rPr>
          <w:rFonts w:ascii="Calibri" w:cs="Calibri" w:eastAsia="Calibri" w:hAnsi="Calibri"/>
          <w:i/>
          <w:iCs/>
          <w:color w:val="1A1A1A"/>
          <w:sz w:val="19"/>
          <w:szCs w:val="19"/>
        </w:rPr>
        <w:t xml:space="preserve">Every count in this document was measured on 21 August 2026 by running the project’s own verification harness and two throwaway analysis passes over the catalogue, not taken from the prose documentation, which lags the code.</w:t>
      </w:r>
    </w:p>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1 · THE PROBLEM</w:t>
      </w:r>
    </w:p>
    <w:p>
      <w:pPr>
        <w:spacing w:after="90" w:before="0" w:line="250"/>
      </w:pPr>
      <w:r>
        <w:rPr>
          <w:rFonts w:ascii="Calibri" w:cs="Calibri" w:eastAsia="Calibri" w:hAnsi="Calibri"/>
          <w:color w:val="1A1A1A"/>
          <w:sz w:val="19"/>
          <w:szCs w:val="19"/>
        </w:rPr>
        <w:t xml:space="preserve">University timetabling is a constraint satisfaction problem that grows viciously with size. The default institution in Aula — 24 cohorts, 90 courses, 28 rooms, 68 staff, 1,365 students — admits on the order of 10^400 assignments of sessions to day, slot, room and instructor. Almost every one of them is illegal. The hard part is not producing a timetable; it is producing one that satisfies every rule simultaneously and, when that is impossible, telling a human precisely which rule to relax.</w:t>
      </w:r>
    </w:p>
    <w:p>
      <w:pPr>
        <w:spacing w:after="90" w:before="0" w:line="250"/>
      </w:pPr>
      <w:r>
        <w:rPr>
          <w:rFonts w:ascii="Calibri" w:cs="Calibri" w:eastAsia="Calibri" w:hAnsi="Calibri"/>
          <w:color w:val="1A1A1A"/>
          <w:sz w:val="19"/>
          <w:szCs w:val="19"/>
        </w:rPr>
        <w:t xml:space="preserve">Current practice is either manual spreadsheet work that does not scale, or commercial schedulers that hide their reasoning and hand back a grid with no account of why a class did not fit. NEP 2020 makes the combinatorics worse rather than better: students within one programme now choose different elective baskets, so a schedule has to be clash-free at the level of elective groups, not fixed cohorts.</w:t>
      </w:r>
    </w:p>
    <w:p>
      <w:pPr>
        <w:spacing w:after="90" w:before="0" w:line="250"/>
      </w:pPr>
      <w:r>
        <w:rPr>
          <w:rFonts w:ascii="Calibri" w:cs="Calibri" w:eastAsia="Calibri" w:hAnsi="Calibri"/>
          <w:color w:val="1A1A1A"/>
          <w:sz w:val="19"/>
          <w:szCs w:val="19"/>
        </w:rPr>
        <w:t xml:space="preserve">SIH25028 asks for automated generation, optimised classroom utilisation, multi-department constraint handling, NEP-friendly flexible electives, dynamic handling of staff absence, drag-and-drop manual adjustment with live clash alerts, and transparent exportable output. Aula addresses all seven on a single machine, with no cloud dependency and no student-facing product.</w:t>
      </w:r>
    </w:p>
    <w:p>
      <w:pPr>
        <w:pBdr>
          <w:top w:val="single" w:color="EAF1F8" w:sz="2" w:space="5"/>
          <w:bottom w:val="single" w:color="EAF1F8" w:sz="2" w:space="5"/>
          <w:left w:val="single" w:color="1F4E79" w:sz="18" w:space="8"/>
          <w:right w:val="single" w:color="EAF1F8" w:sz="2" w:space="5"/>
        </w:pBdr>
        <w:shd w:fill="EAF1F8" w:color="auto" w:val="clear"/>
        <w:spacing w:after="110" w:before="90" w:line="250"/>
        <w:ind w:left="120" w:right="120"/>
      </w:pPr>
      <w:r>
        <w:rPr>
          <w:rFonts w:ascii="Calibri" w:cs="Calibri" w:eastAsia="Calibri" w:hAnsi="Calibri"/>
          <w:b/>
          <w:bCs/>
          <w:color w:val="1A1A1A"/>
          <w:sz w:val="19"/>
          <w:szCs w:val="19"/>
        </w:rPr>
        <w:t xml:space="preserve">The thesis. </w:t>
      </w:r>
      <w:r>
        <w:rPr>
          <w:rFonts w:ascii="Calibri" w:cs="Calibri" w:eastAsia="Calibri" w:hAnsi="Calibri"/>
          <w:color w:val="1A1A1A"/>
          <w:sz w:val="19"/>
          <w:szCs w:val="19"/>
        </w:rPr>
        <w:t xml:space="preserve">A timetable engine is only trustworthy if it can explain a refusal. Aula attributes every rejected placement to a numbered constraint, and it refuses to describe a constraint as enforced unless code actually decides it. 301 of the 500 catalogue entries are wired to engine logic; the remaining 199 are labelled advisory and exported for human sign-off rather than quietly faked.</w:t>
      </w:r>
    </w:p>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2 · REPOSITORY &amp; FILE SYSTEM</w:t>
      </w:r>
    </w:p>
    <w:p>
      <w:pPr>
        <w:spacing w:after="90" w:before="0" w:line="250"/>
      </w:pPr>
      <w:r>
        <w:rPr>
          <w:rFonts w:ascii="Calibri" w:cs="Calibri" w:eastAsia="Calibri" w:hAnsi="Calibri"/>
          <w:color w:val="1A1A1A"/>
          <w:sz w:val="19"/>
          <w:szCs w:val="19"/>
        </w:rPr>
        <w:t xml:space="preserve">The repository separates the application from the material that governs how it was built. Everything under desktop/ is the product; everything above it is process — the decision log, the execution timeline, the local-model delegation harness and the working agreement that binds them.</w:t>
      </w:r>
    </w:p>
    <w:p>
      <w:pPr>
        <w:shd w:fill="F4F6F8" w:color="auto" w:val="clear"/>
        <w:spacing w:after="0" w:before="0" w:line="210"/>
        <w:ind w:left="110" w:right="110"/>
      </w:pPr>
      <w:r>
        <w:rPr>
          <w:rFonts w:ascii="Consolas" w:cs="Consolas" w:eastAsia="Consolas" w:hAnsi="Consolas"/>
          <w:color w:val="24292F"/>
          <w:sz w:val="15"/>
          <w:szCs w:val="15"/>
        </w:rPr>
        <w:t xml:space="preserve">classroom_ai_manager/</w:t>
      </w:r>
    </w:p>
    <w:p>
      <w:pPr>
        <w:shd w:fill="F4F6F8" w:color="auto" w:val="clear"/>
        <w:spacing w:after="0" w:before="0" w:line="210"/>
        <w:ind w:left="110" w:right="110"/>
      </w:pPr>
      <w:r>
        <w:rPr>
          <w:rFonts w:ascii="Consolas" w:cs="Consolas" w:eastAsia="Consolas" w:hAnsi="Consolas"/>
          <w:color w:val="24292F"/>
          <w:sz w:val="15"/>
          <w:szCs w:val="15"/>
        </w:rPr>
        <w:t xml:space="preserve">├─ CLAUDE.md          working agreement: measurement rules, delegation policy,</w:t>
      </w:r>
    </w:p>
    <w:p>
      <w:pPr>
        <w:shd w:fill="F4F6F8" w:color="auto" w:val="clear"/>
        <w:spacing w:after="0" w:before="0" w:line="210"/>
        <w:ind w:left="110" w:right="110"/>
      </w:pPr>
      <w:r>
        <w:rPr>
          <w:rFonts w:ascii="Consolas" w:cs="Consolas" w:eastAsia="Consolas" w:hAnsi="Consolas"/>
          <w:color w:val="24292F"/>
          <w:sz w:val="15"/>
          <w:szCs w:val="15"/>
        </w:rPr>
        <w:t xml:space="preserve">│                     model routing, verification baseline</w:t>
      </w:r>
    </w:p>
    <w:p>
      <w:pPr>
        <w:shd w:fill="F4F6F8" w:color="auto" w:val="clear"/>
        <w:spacing w:after="0" w:before="0" w:line="210"/>
        <w:ind w:left="110" w:right="110"/>
      </w:pPr>
      <w:r>
        <w:rPr>
          <w:rFonts w:ascii="Consolas" w:cs="Consolas" w:eastAsia="Consolas" w:hAnsi="Consolas"/>
          <w:color w:val="24292F"/>
          <w:sz w:val="15"/>
          <w:szCs w:val="15"/>
        </w:rPr>
        <w:t xml:space="preserve">├─ CONTEXT.md         immutable execution timeline and bug log (append-only)</w:t>
      </w:r>
    </w:p>
    <w:p>
      <w:pPr>
        <w:shd w:fill="F4F6F8" w:color="auto" w:val="clear"/>
        <w:spacing w:after="0" w:before="0" w:line="210"/>
        <w:ind w:left="110" w:right="110"/>
      </w:pPr>
      <w:r>
        <w:rPr>
          <w:rFonts w:ascii="Consolas" w:cs="Consolas" w:eastAsia="Consolas" w:hAnsi="Consolas"/>
          <w:color w:val="24292F"/>
          <w:sz w:val="15"/>
          <w:szCs w:val="15"/>
        </w:rPr>
        <w:t xml:space="preserve">├─ decisions.md       numbered architecture decisions, D-01 onward</w:t>
      </w:r>
    </w:p>
    <w:p>
      <w:pPr>
        <w:shd w:fill="F4F6F8" w:color="auto" w:val="clear"/>
        <w:spacing w:after="0" w:before="0" w:line="210"/>
        <w:ind w:left="110" w:right="110"/>
      </w:pPr>
      <w:r>
        <w:rPr>
          <w:rFonts w:ascii="Consolas" w:cs="Consolas" w:eastAsia="Consolas" w:hAnsi="Consolas"/>
          <w:color w:val="24292F"/>
          <w:sz w:val="15"/>
          <w:szCs w:val="15"/>
        </w:rPr>
        <w:t xml:space="preserve">├─ explanation.md     long-form prose explainer</w:t>
      </w:r>
    </w:p>
    <w:p>
      <w:pPr>
        <w:shd w:fill="F4F6F8" w:color="auto" w:val="clear"/>
        <w:spacing w:after="0" w:before="0" w:line="210"/>
        <w:ind w:left="110" w:right="110"/>
      </w:pPr>
      <w:r>
        <w:rPr>
          <w:rFonts w:ascii="Consolas" w:cs="Consolas" w:eastAsia="Consolas" w:hAnsi="Consolas"/>
          <w:color w:val="24292F"/>
          <w:sz w:val="15"/>
          <w:szCs w:val="15"/>
        </w:rPr>
        <w:t xml:space="preserve">├─ SIH25028_TechDemonstrator_Design_and_Build.md   the problem restated</w:t>
      </w:r>
    </w:p>
    <w:p>
      <w:pPr>
        <w:shd w:fill="F4F6F8" w:color="auto" w:val="clear"/>
        <w:spacing w:after="0" w:before="0" w:line="210"/>
        <w:ind w:left="110" w:right="110"/>
      </w:pPr>
      <w:r>
        <w:rPr>
          <w:rFonts w:ascii="Consolas" w:cs="Consolas" w:eastAsia="Consolas" w:hAnsi="Consolas"/>
          <w:color w:val="24292F"/>
          <w:sz w:val="15"/>
          <w:szCs w:val="15"/>
        </w:rPr>
        <w:t xml:space="preserve">├─ docs/              review notes</w:t>
      </w:r>
    </w:p>
    <w:p>
      <w:pPr>
        <w:shd w:fill="F4F6F8" w:color="auto" w:val="clear"/>
        <w:spacing w:after="0" w:before="0" w:line="210"/>
        <w:ind w:left="110" w:right="110"/>
      </w:pPr>
      <w:r>
        <w:rPr>
          <w:rFonts w:ascii="Consolas" w:cs="Consolas" w:eastAsia="Consolas" w:hAnsi="Consolas"/>
          <w:color w:val="24292F"/>
          <w:sz w:val="15"/>
          <w:szCs w:val="15"/>
        </w:rPr>
        <w:t xml:space="preserve">├─ .orchestrator/     local-model delegation harness</w:t>
      </w:r>
    </w:p>
    <w:p>
      <w:pPr>
        <w:shd w:fill="F4F6F8" w:color="auto" w:val="clear"/>
        <w:spacing w:after="0" w:before="0" w:line="210"/>
        <w:ind w:left="110" w:right="110"/>
      </w:pPr>
      <w:r>
        <w:rPr>
          <w:rFonts w:ascii="Consolas" w:cs="Consolas" w:eastAsia="Consolas" w:hAnsi="Consolas"/>
          <w:color w:val="24292F"/>
          <w:sz w:val="15"/>
          <w:szCs w:val="15"/>
        </w:rPr>
        <w:t xml:space="preserve">│   ├─ delegate.sh    one generation packet -&gt; Ollama /api/generate</w:t>
      </w:r>
    </w:p>
    <w:p>
      <w:pPr>
        <w:shd w:fill="F4F6F8" w:color="auto" w:val="clear"/>
        <w:spacing w:after="0" w:before="0" w:line="210"/>
        <w:ind w:left="110" w:right="110"/>
      </w:pPr>
      <w:r>
        <w:rPr>
          <w:rFonts w:ascii="Consolas" w:cs="Consolas" w:eastAsia="Consolas" w:hAnsi="Consolas"/>
          <w:color w:val="24292F"/>
          <w:sz w:val="15"/>
          <w:szCs w:val="15"/>
        </w:rPr>
        <w:t xml:space="preserve">│   ├─ ask.sh         file + question -&gt; extraction, answers NOT_FOUND</w:t>
      </w:r>
    </w:p>
    <w:p>
      <w:pPr>
        <w:shd w:fill="F4F6F8" w:color="auto" w:val="clear"/>
        <w:spacing w:after="0" w:before="0" w:line="210"/>
        <w:ind w:left="110" w:right="110"/>
      </w:pPr>
      <w:r>
        <w:rPr>
          <w:rFonts w:ascii="Consolas" w:cs="Consolas" w:eastAsia="Consolas" w:hAnsi="Consolas"/>
          <w:color w:val="24292F"/>
          <w:sz w:val="15"/>
          <w:szCs w:val="15"/>
        </w:rPr>
        <w:t xml:space="preserve">│   ├─ warm.sh        keeps the reader model resident</w:t>
      </w:r>
    </w:p>
    <w:p>
      <w:pPr>
        <w:shd w:fill="F4F6F8" w:color="auto" w:val="clear"/>
        <w:spacing w:after="0" w:before="0" w:line="210"/>
        <w:ind w:left="110" w:right="110"/>
      </w:pPr>
      <w:r>
        <w:rPr>
          <w:rFonts w:ascii="Consolas" w:cs="Consolas" w:eastAsia="Consolas" w:hAnsi="Consolas"/>
          <w:color w:val="24292F"/>
          <w:sz w:val="15"/>
          <w:szCs w:val="15"/>
        </w:rPr>
        <w:t xml:space="preserve">│   └─ session.md     per-unit log: route, model, attempts, failures</w:t>
      </w:r>
    </w:p>
    <w:p>
      <w:pPr>
        <w:shd w:fill="F4F6F8" w:color="auto" w:val="clear"/>
        <w:spacing w:after="0" w:before="0" w:line="210"/>
        <w:ind w:left="110" w:right="110"/>
      </w:pPr>
      <w:r>
        <w:rPr>
          <w:rFonts w:ascii="Consolas" w:cs="Consolas" w:eastAsia="Consolas" w:hAnsi="Consolas"/>
          <w:color w:val="24292F"/>
          <w:sz w:val="15"/>
          <w:szCs w:val="15"/>
        </w:rPr>
        <w:t xml:space="preserve">└─ desktop/           the application — 17,037 lines of TS/TSX/CSS</w:t>
      </w:r>
    </w:p>
    <w:p>
      <w:pPr>
        <w:shd w:fill="F4F6F8" w:color="auto" w:val="clear"/>
        <w:spacing w:after="0" w:before="0" w:line="210"/>
        <w:ind w:left="110" w:right="110"/>
      </w:pPr>
      <w:r>
        <w:rPr>
          <w:rFonts w:ascii="Consolas" w:cs="Consolas" w:eastAsia="Consolas" w:hAnsi="Consolas"/>
          <w:color w:val="24292F"/>
          <w:sz w:val="15"/>
          <w:szCs w:val="15"/>
        </w:rPr>
        <w:t xml:space="preserve">    ├─ electron/</w:t>
      </w:r>
    </w:p>
    <w:p>
      <w:pPr>
        <w:shd w:fill="F4F6F8" w:color="auto" w:val="clear"/>
        <w:spacing w:after="0" w:before="0" w:line="210"/>
        <w:ind w:left="110" w:right="110"/>
      </w:pPr>
      <w:r>
        <w:rPr>
          <w:rFonts w:ascii="Consolas" w:cs="Consolas" w:eastAsia="Consolas" w:hAnsi="Consolas"/>
          <w:color w:val="24292F"/>
          <w:sz w:val="15"/>
          <w:szCs w:val="15"/>
        </w:rPr>
        <w:t xml:space="preserve">    │   ├─ main.ts        window, menu, file dialogs, Ollama relay</w:t>
      </w:r>
    </w:p>
    <w:p>
      <w:pPr>
        <w:shd w:fill="F4F6F8" w:color="auto" w:val="clear"/>
        <w:spacing w:after="0" w:before="0" w:line="210"/>
        <w:ind w:left="110" w:right="110"/>
      </w:pPr>
      <w:r>
        <w:rPr>
          <w:rFonts w:ascii="Consolas" w:cs="Consolas" w:eastAsia="Consolas" w:hAnsi="Consolas"/>
          <w:color w:val="24292F"/>
          <w:sz w:val="15"/>
          <w:szCs w:val="15"/>
        </w:rPr>
        <w:t xml:space="preserve">    │   └─ preload.ts     contextBridge — the only renderer/Node channel</w:t>
      </w:r>
    </w:p>
    <w:p>
      <w:pPr>
        <w:shd w:fill="F4F6F8" w:color="auto" w:val="clear"/>
        <w:spacing w:after="0" w:before="0" w:line="210"/>
        <w:ind w:left="110" w:right="110"/>
      </w:pPr>
      <w:r>
        <w:rPr>
          <w:rFonts w:ascii="Consolas" w:cs="Consolas" w:eastAsia="Consolas" w:hAnsi="Consolas"/>
          <w:color w:val="24292F"/>
          <w:sz w:val="15"/>
          <w:szCs w:val="15"/>
        </w:rPr>
        <w:t xml:space="preserve">    ├─ scripts/</w:t>
      </w:r>
    </w:p>
    <w:p>
      <w:pPr>
        <w:shd w:fill="F4F6F8" w:color="auto" w:val="clear"/>
        <w:spacing w:after="0" w:before="0" w:line="210"/>
        <w:ind w:left="110" w:right="110"/>
      </w:pPr>
      <w:r>
        <w:rPr>
          <w:rFonts w:ascii="Consolas" w:cs="Consolas" w:eastAsia="Consolas" w:hAnsi="Consolas"/>
          <w:color w:val="24292F"/>
          <w:sz w:val="15"/>
          <w:szCs w:val="15"/>
        </w:rPr>
        <w:t xml:space="preserve">    │   ├─ harness.ts     headless verification suite (78 checks)</w:t>
      </w:r>
    </w:p>
    <w:p>
      <w:pPr>
        <w:shd w:fill="F4F6F8" w:color="auto" w:val="clear"/>
        <w:spacing w:after="0" w:before="0" w:line="210"/>
        <w:ind w:left="110" w:right="110"/>
      </w:pPr>
      <w:r>
        <w:rPr>
          <w:rFonts w:ascii="Consolas" w:cs="Consolas" w:eastAsia="Consolas" w:hAnsi="Consolas"/>
          <w:color w:val="24292F"/>
          <w:sz w:val="15"/>
          <w:szCs w:val="15"/>
        </w:rPr>
        <w:t xml:space="preserve">    │   └─ diagnose.ts    is an unplaced meeting time or structure?</w:t>
      </w:r>
    </w:p>
    <w:p>
      <w:pPr>
        <w:shd w:fill="F4F6F8" w:color="auto" w:val="clear"/>
        <w:spacing w:after="0" w:before="0" w:line="210"/>
        <w:ind w:left="110" w:right="110"/>
      </w:pPr>
      <w:r>
        <w:rPr>
          <w:rFonts w:ascii="Consolas" w:cs="Consolas" w:eastAsia="Consolas" w:hAnsi="Consolas"/>
          <w:color w:val="24292F"/>
          <w:sz w:val="15"/>
          <w:szCs w:val="15"/>
        </w:rPr>
        <w:t xml:space="preserve">    └─ src/</w:t>
      </w:r>
    </w:p>
    <w:p>
      <w:pPr>
        <w:shd w:fill="F4F6F8" w:color="auto" w:val="clear"/>
        <w:spacing w:after="0" w:before="0" w:line="210"/>
        <w:ind w:left="110" w:right="110"/>
      </w:pPr>
      <w:r>
        <w:rPr>
          <w:rFonts w:ascii="Consolas" w:cs="Consolas" w:eastAsia="Consolas" w:hAnsi="Consolas"/>
          <w:color w:val="24292F"/>
          <w:sz w:val="15"/>
          <w:szCs w:val="15"/>
        </w:rPr>
        <w:t xml:space="preserve">        ├─ data/          pure data and types — imports no engine, no React</w:t>
      </w:r>
    </w:p>
    <w:p>
      <w:pPr>
        <w:shd w:fill="F4F6F8" w:color="auto" w:val="clear"/>
        <w:spacing w:after="0" w:before="0" w:line="210"/>
        <w:ind w:left="110" w:right="110"/>
      </w:pPr>
      <w:r>
        <w:rPr>
          <w:rFonts w:ascii="Consolas" w:cs="Consolas" w:eastAsia="Consolas" w:hAnsi="Consolas"/>
          <w:color w:val="24292F"/>
          <w:sz w:val="15"/>
          <w:szCs w:val="15"/>
        </w:rPr>
        <w:t xml:space="preserve">        │   ├─ model.ts           domain model and Session/SolveReport shapes</w:t>
      </w:r>
    </w:p>
    <w:p>
      <w:pPr>
        <w:shd w:fill="F4F6F8" w:color="auto" w:val="clear"/>
        <w:spacing w:after="0" w:before="0" w:line="210"/>
        <w:ind w:left="110" w:right="110"/>
      </w:pPr>
      <w:r>
        <w:rPr>
          <w:rFonts w:ascii="Consolas" w:cs="Consolas" w:eastAsia="Consolas" w:hAnsi="Consolas"/>
          <w:color w:val="24292F"/>
          <w:sz w:val="15"/>
          <w:szCs w:val="15"/>
        </w:rPr>
        <w:t xml:space="preserve">        │   ├─ config.ts          SetupConfig + summarise() feasibility gate</w:t>
      </w:r>
    </w:p>
    <w:p>
      <w:pPr>
        <w:shd w:fill="F4F6F8" w:color="auto" w:val="clear"/>
        <w:spacing w:after="0" w:before="0" w:line="210"/>
        <w:ind w:left="110" w:right="110"/>
      </w:pPr>
      <w:r>
        <w:rPr>
          <w:rFonts w:ascii="Consolas" w:cs="Consolas" w:eastAsia="Consolas" w:hAnsi="Consolas"/>
          <w:color w:val="24292F"/>
          <w:sz w:val="15"/>
          <w:szCs w:val="15"/>
        </w:rPr>
        <w:t xml:space="preserve">        │   ├─ normalise.ts       hydration: every config passes through here</w:t>
      </w:r>
    </w:p>
    <w:p>
      <w:pPr>
        <w:shd w:fill="F4F6F8" w:color="auto" w:val="clear"/>
        <w:spacing w:after="0" w:before="0" w:line="210"/>
        <w:ind w:left="110" w:right="110"/>
      </w:pPr>
      <w:r>
        <w:rPr>
          <w:rFonts w:ascii="Consolas" w:cs="Consolas" w:eastAsia="Consolas" w:hAnsi="Consolas"/>
          <w:color w:val="24292F"/>
          <w:sz w:val="15"/>
          <w:szCs w:val="15"/>
        </w:rPr>
        <w:t xml:space="preserve">        │   ├─ records.ts         editable records, materialise-on-edit</w:t>
      </w:r>
    </w:p>
    <w:p>
      <w:pPr>
        <w:shd w:fill="F4F6F8" w:color="auto" w:val="clear"/>
        <w:spacing w:after="0" w:before="0" w:line="210"/>
        <w:ind w:left="110" w:right="110"/>
      </w:pPr>
      <w:r>
        <w:rPr>
          <w:rFonts w:ascii="Consolas" w:cs="Consolas" w:eastAsia="Consolas" w:hAnsi="Consolas"/>
          <w:color w:val="24292F"/>
          <w:sz w:val="15"/>
          <w:szCs w:val="15"/>
        </w:rPr>
        <w:t xml:space="preserve">        │   ├─ generator.ts       SetupConfig -&gt; Institution</w:t>
      </w:r>
    </w:p>
    <w:p>
      <w:pPr>
        <w:shd w:fill="F4F6F8" w:color="auto" w:val="clear"/>
        <w:spacing w:after="0" w:before="0" w:line="210"/>
        <w:ind w:left="110" w:right="110"/>
      </w:pPr>
      <w:r>
        <w:rPr>
          <w:rFonts w:ascii="Consolas" w:cs="Consolas" w:eastAsia="Consolas" w:hAnsi="Consolas"/>
          <w:color w:val="24292F"/>
          <w:sz w:val="15"/>
          <w:szCs w:val="15"/>
        </w:rPr>
        <w:t xml:space="preserve">        │   ├─ academicCalendar.ts term dates, closures, weekday impact</w:t>
      </w:r>
    </w:p>
    <w:p>
      <w:pPr>
        <w:shd w:fill="F4F6F8" w:color="auto" w:val="clear"/>
        <w:spacing w:after="0" w:before="0" w:line="210"/>
        <w:ind w:left="110" w:right="110"/>
      </w:pPr>
      <w:r>
        <w:rPr>
          <w:rFonts w:ascii="Consolas" w:cs="Consolas" w:eastAsia="Consolas" w:hAnsi="Consolas"/>
          <w:color w:val="24292F"/>
          <w:sz w:val="15"/>
          <w:szCs w:val="15"/>
        </w:rPr>
        <w:t xml:space="preserve">        │   ├─ metrics.ts         utilisation, load spread, gaps, lunch</w:t>
      </w:r>
    </w:p>
    <w:p>
      <w:pPr>
        <w:shd w:fill="F4F6F8" w:color="auto" w:val="clear"/>
        <w:spacing w:after="0" w:before="0" w:line="210"/>
        <w:ind w:left="110" w:right="110"/>
      </w:pPr>
      <w:r>
        <w:rPr>
          <w:rFonts w:ascii="Consolas" w:cs="Consolas" w:eastAsia="Consolas" w:hAnsi="Consolas"/>
          <w:color w:val="24292F"/>
          <w:sz w:val="15"/>
          <w:szCs w:val="15"/>
        </w:rPr>
        <w:t xml:space="preserve">        │   ├─ exporters.ts       CSV and JSON output</w:t>
      </w:r>
    </w:p>
    <w:p>
      <w:pPr>
        <w:shd w:fill="F4F6F8" w:color="auto" w:val="clear"/>
        <w:spacing w:after="0" w:before="0" w:line="210"/>
        <w:ind w:left="110" w:right="110"/>
      </w:pPr>
      <w:r>
        <w:rPr>
          <w:rFonts w:ascii="Consolas" w:cs="Consolas" w:eastAsia="Consolas" w:hAnsi="Consolas"/>
          <w:color w:val="24292F"/>
          <w:sz w:val="15"/>
          <w:szCs w:val="15"/>
        </w:rPr>
        <w:t xml:space="preserve">        │   ├─ help.ts            field-level explanations, in one place</w:t>
      </w:r>
    </w:p>
    <w:p>
      <w:pPr>
        <w:shd w:fill="F4F6F8" w:color="auto" w:val="clear"/>
        <w:spacing w:after="0" w:before="0" w:line="210"/>
        <w:ind w:left="110" w:right="110"/>
      </w:pPr>
      <w:r>
        <w:rPr>
          <w:rFonts w:ascii="Consolas" w:cs="Consolas" w:eastAsia="Consolas" w:hAnsi="Consolas"/>
          <w:color w:val="24292F"/>
          <w:sz w:val="15"/>
          <w:szCs w:val="15"/>
        </w:rPr>
        <w:t xml:space="preserve">        │   └─ constraints/</w:t>
      </w:r>
    </w:p>
    <w:p>
      <w:pPr>
        <w:shd w:fill="F4F6F8" w:color="auto" w:val="clear"/>
        <w:spacing w:after="0" w:before="0" w:line="210"/>
        <w:ind w:left="110" w:right="110"/>
      </w:pPr>
      <w:r>
        <w:rPr>
          <w:rFonts w:ascii="Consolas" w:cs="Consolas" w:eastAsia="Consolas" w:hAnsi="Consolas"/>
          <w:color w:val="24292F"/>
          <w:sz w:val="15"/>
          <w:szCs w:val="15"/>
        </w:rPr>
        <w:t xml:space="preserve">        │       ├─ types.ts       RuleKey union, ParamDef, ConstraintDef</w:t>
      </w:r>
    </w:p>
    <w:p>
      <w:pPr>
        <w:shd w:fill="F4F6F8" w:color="auto" w:val="clear"/>
        <w:spacing w:after="0" w:before="0" w:line="210"/>
        <w:ind w:left="110" w:right="110"/>
      </w:pPr>
      <w:r>
        <w:rPr>
          <w:rFonts w:ascii="Consolas" w:cs="Consolas" w:eastAsia="Consolas" w:hAnsi="Consolas"/>
          <w:color w:val="24292F"/>
          <w:sz w:val="15"/>
          <w:szCs w:val="15"/>
        </w:rPr>
        <w:t xml:space="preserve">        │       ├─ rows1-3.ts     the 500 constraints, verbatim</w:t>
      </w:r>
    </w:p>
    <w:p>
      <w:pPr>
        <w:shd w:fill="F4F6F8" w:color="auto" w:val="clear"/>
        <w:spacing w:after="0" w:before="0" w:line="210"/>
        <w:ind w:left="110" w:right="110"/>
      </w:pPr>
      <w:r>
        <w:rPr>
          <w:rFonts w:ascii="Consolas" w:cs="Consolas" w:eastAsia="Consolas" w:hAnsi="Consolas"/>
          <w:color w:val="24292F"/>
          <w:sz w:val="15"/>
          <w:szCs w:val="15"/>
        </w:rPr>
        <w:t xml:space="preserve">        │       ├─ catalogue.ts   assembly + auditCatalogue() integrity check</w:t>
      </w:r>
    </w:p>
    <w:p>
      <w:pPr>
        <w:shd w:fill="F4F6F8" w:color="auto" w:val="clear"/>
        <w:spacing w:after="0" w:before="0" w:line="210"/>
        <w:ind w:left="110" w:right="110"/>
      </w:pPr>
      <w:r>
        <w:rPr>
          <w:rFonts w:ascii="Consolas" w:cs="Consolas" w:eastAsia="Consolas" w:hAnsi="Consolas"/>
          <w:color w:val="24292F"/>
          <w:sz w:val="15"/>
          <w:szCs w:val="15"/>
        </w:rPr>
        <w:t xml:space="preserve">        │       └─ custom.ts      user-defined rule templates</w:t>
      </w:r>
    </w:p>
    <w:p>
      <w:pPr>
        <w:shd w:fill="F4F6F8" w:color="auto" w:val="clear"/>
        <w:spacing w:after="0" w:before="0" w:line="210"/>
        <w:ind w:left="110" w:right="110"/>
      </w:pPr>
      <w:r>
        <w:rPr>
          <w:rFonts w:ascii="Consolas" w:cs="Consolas" w:eastAsia="Consolas" w:hAnsi="Consolas"/>
          <w:color w:val="24292F"/>
          <w:sz w:val="15"/>
          <w:szCs w:val="15"/>
        </w:rPr>
        <w:t xml:space="preserve">        ├─ engine/        scheduling — imports data, never React or the DOM</w:t>
      </w:r>
    </w:p>
    <w:p>
      <w:pPr>
        <w:shd w:fill="F4F6F8" w:color="auto" w:val="clear"/>
        <w:spacing w:after="0" w:before="0" w:line="210"/>
        <w:ind w:left="110" w:right="110"/>
      </w:pPr>
      <w:r>
        <w:rPr>
          <w:rFonts w:ascii="Consolas" w:cs="Consolas" w:eastAsia="Consolas" w:hAnsi="Consolas"/>
          <w:color w:val="24292F"/>
          <w:sz w:val="15"/>
          <w:szCs w:val="15"/>
        </w:rPr>
        <w:t xml:space="preserve">        │   ├─ occupancy.ts       incremental O(1) index</w:t>
      </w:r>
    </w:p>
    <w:p>
      <w:pPr>
        <w:shd w:fill="F4F6F8" w:color="auto" w:val="clear"/>
        <w:spacing w:after="0" w:before="0" w:line="210"/>
        <w:ind w:left="110" w:right="110"/>
      </w:pPr>
      <w:r>
        <w:rPr>
          <w:rFonts w:ascii="Consolas" w:cs="Consolas" w:eastAsia="Consolas" w:hAnsi="Consolas"/>
          <w:color w:val="24292F"/>
          <w:sz w:val="15"/>
          <w:szCs w:val="15"/>
        </w:rPr>
        <w:t xml:space="preserve">        │   ├─ context.ts         shared lookups, RuleImpl contract, helpers</w:t>
      </w:r>
    </w:p>
    <w:p>
      <w:pPr>
        <w:shd w:fill="F4F6F8" w:color="auto" w:val="clear"/>
        <w:spacing w:after="0" w:before="0" w:line="210"/>
        <w:ind w:left="110" w:right="110"/>
      </w:pPr>
      <w:r>
        <w:rPr>
          <w:rFonts w:ascii="Consolas" w:cs="Consolas" w:eastAsia="Consolas" w:hAnsi="Consolas"/>
          <w:color w:val="24292F"/>
          <w:sz w:val="15"/>
          <w:szCs w:val="15"/>
        </w:rPr>
        <w:t xml:space="preserve">        │   ├─ rules.ts           124 rule implementations (1,338 lines)</w:t>
      </w:r>
    </w:p>
    <w:p>
      <w:pPr>
        <w:shd w:fill="F4F6F8" w:color="auto" w:val="clear"/>
        <w:spacing w:after="0" w:before="0" w:line="210"/>
        <w:ind w:left="110" w:right="110"/>
      </w:pPr>
      <w:r>
        <w:rPr>
          <w:rFonts w:ascii="Consolas" w:cs="Consolas" w:eastAsia="Consolas" w:hAnsi="Consolas"/>
          <w:color w:val="24292F"/>
          <w:sz w:val="15"/>
          <w:szCs w:val="15"/>
        </w:rPr>
        <w:t xml:space="preserve">        │   ├─ customRules.ts     evaluator for user-defined rules</w:t>
      </w:r>
    </w:p>
    <w:p>
      <w:pPr>
        <w:shd w:fill="F4F6F8" w:color="auto" w:val="clear"/>
        <w:spacing w:after="0" w:before="0" w:line="210"/>
        <w:ind w:left="110" w:right="110"/>
      </w:pPr>
      <w:r>
        <w:rPr>
          <w:rFonts w:ascii="Consolas" w:cs="Consolas" w:eastAsia="Consolas" w:hAnsi="Consolas"/>
          <w:color w:val="24292F"/>
          <w:sz w:val="15"/>
          <w:szCs w:val="15"/>
        </w:rPr>
        <w:t xml:space="preserve">        │   ├─ solver.ts          the scheduler (683 lines)</w:t>
      </w:r>
    </w:p>
    <w:p>
      <w:pPr>
        <w:shd w:fill="F4F6F8" w:color="auto" w:val="clear"/>
        <w:spacing w:after="0" w:before="0" w:line="210"/>
        <w:ind w:left="110" w:right="110"/>
      </w:pPr>
      <w:r>
        <w:rPr>
          <w:rFonts w:ascii="Consolas" w:cs="Consolas" w:eastAsia="Consolas" w:hAnsi="Consolas"/>
          <w:color w:val="24292F"/>
          <w:sz w:val="15"/>
          <w:szCs w:val="15"/>
        </w:rPr>
        <w:t xml:space="preserve">        │   ├─ worker.ts          Web Worker entry point</w:t>
      </w:r>
    </w:p>
    <w:p>
      <w:pPr>
        <w:shd w:fill="F4F6F8" w:color="auto" w:val="clear"/>
        <w:spacing w:after="0" w:before="0" w:line="210"/>
        <w:ind w:left="110" w:right="110"/>
      </w:pPr>
      <w:r>
        <w:rPr>
          <w:rFonts w:ascii="Consolas" w:cs="Consolas" w:eastAsia="Consolas" w:hAnsi="Consolas"/>
          <w:color w:val="24292F"/>
          <w:sz w:val="15"/>
          <w:szCs w:val="15"/>
        </w:rPr>
        <w:t xml:space="preserve">        │   ├─ client.ts          promise-shaped worker client</w:t>
      </w:r>
    </w:p>
    <w:p>
      <w:pPr>
        <w:shd w:fill="F4F6F8" w:color="auto" w:val="clear"/>
        <w:spacing w:after="0" w:before="0" w:line="210"/>
        <w:ind w:left="110" w:right="110"/>
      </w:pPr>
      <w:r>
        <w:rPr>
          <w:rFonts w:ascii="Consolas" w:cs="Consolas" w:eastAsia="Consolas" w:hAnsi="Consolas"/>
          <w:color w:val="24292F"/>
          <w:sz w:val="15"/>
          <w:szCs w:val="15"/>
        </w:rPr>
        <w:t xml:space="preserve">        │   └─ assistant.ts       briefing builder and Ollama protocol</w:t>
      </w:r>
    </w:p>
    <w:p>
      <w:pPr>
        <w:shd w:fill="F4F6F8" w:color="auto" w:val="clear"/>
        <w:spacing w:after="0" w:before="0" w:line="210"/>
        <w:ind w:left="110" w:right="110"/>
      </w:pPr>
      <w:r>
        <w:rPr>
          <w:rFonts w:ascii="Consolas" w:cs="Consolas" w:eastAsia="Consolas" w:hAnsi="Consolas"/>
          <w:color w:val="24292F"/>
          <w:sz w:val="15"/>
          <w:szCs w:val="15"/>
        </w:rPr>
        <w:t xml:space="preserve">        ├─ pages/         Overview, Timetable, Setup, Data, Calendar,</w:t>
      </w:r>
    </w:p>
    <w:p>
      <w:pPr>
        <w:shd w:fill="F4F6F8" w:color="auto" w:val="clear"/>
        <w:spacing w:after="0" w:before="0" w:line="210"/>
        <w:ind w:left="110" w:right="110"/>
      </w:pPr>
      <w:r>
        <w:rPr>
          <w:rFonts w:ascii="Consolas" w:cs="Consolas" w:eastAsia="Consolas" w:hAnsi="Consolas"/>
          <w:color w:val="24292F"/>
          <w:sz w:val="15"/>
          <w:szCs w:val="15"/>
        </w:rPr>
        <w:t xml:space="preserve">        │                 Scenarios, Constraints, Assistant</w:t>
      </w:r>
    </w:p>
    <w:p>
      <w:pPr>
        <w:shd w:fill="F4F6F8" w:color="auto" w:val="clear"/>
        <w:spacing w:after="0" w:before="0" w:line="210"/>
        <w:ind w:left="110" w:right="110"/>
      </w:pPr>
      <w:r>
        <w:rPr>
          <w:rFonts w:ascii="Consolas" w:cs="Consolas" w:eastAsia="Consolas" w:hAnsi="Consolas"/>
          <w:color w:val="24292F"/>
          <w:sz w:val="15"/>
          <w:szCs w:val="15"/>
        </w:rPr>
        <w:t xml:space="preserve">        ├─ components/    title bar, dialogs, custom-rule editor, UI atoms</w:t>
      </w:r>
    </w:p>
    <w:p>
      <w:pPr>
        <w:shd w:fill="F4F6F8" w:color="auto" w:val="clear"/>
        <w:spacing w:after="0" w:before="0" w:line="210"/>
        <w:ind w:left="110" w:right="110"/>
      </w:pPr>
      <w:r>
        <w:rPr>
          <w:rFonts w:ascii="Consolas" w:cs="Consolas" w:eastAsia="Consolas" w:hAnsi="Consolas"/>
          <w:color w:val="24292F"/>
          <w:sz w:val="15"/>
          <w:szCs w:val="15"/>
        </w:rPr>
        <w:t xml:space="preserve">        ├─ store.ts       the single Zustand store (830 lines)</w:t>
      </w:r>
    </w:p>
    <w:p>
      <w:pPr>
        <w:shd w:fill="F4F6F8" w:color="auto" w:val="clear"/>
        <w:spacing w:after="120" w:before="0" w:line="210"/>
        <w:ind w:left="110" w:right="110"/>
      </w:pPr>
      <w:r>
        <w:rPr>
          <w:rFonts w:ascii="Consolas" w:cs="Consolas" w:eastAsia="Consolas" w:hAnsi="Consolas"/>
          <w:color w:val="24292F"/>
          <w:sz w:val="15"/>
          <w:szCs w:val="15"/>
        </w:rPr>
        <w:t xml:space="preserve">        └─ platform.ts    Electron bridge with a browser fallback</w:t>
      </w:r>
    </w:p>
    <w:p>
      <w:pPr>
        <w:pStyle w:val="Heading2"/>
        <w:keepNext/>
        <w:spacing w:after="60" w:before="170"/>
      </w:pPr>
      <w:r>
        <w:rPr>
          <w:rFonts w:ascii="Calibri" w:cs="Calibri" w:eastAsia="Calibri" w:hAnsi="Calibri"/>
          <w:b/>
          <w:bCs/>
          <w:color w:val="2E6DA4"/>
          <w:sz w:val="19"/>
          <w:szCs w:val="19"/>
        </w:rPr>
        <w:t xml:space="preserve">The largest modules, and why they are large</w:t>
      </w:r>
    </w:p>
    <w:tbl>
      <w:tblPr>
        <w:tblW w:type="dxa" w:w="9360"/>
        <w:tblBorders>
          <w:top w:val="single" w:color="D0D7DE" w:sz="3"/>
          <w:left w:val="single" w:color="D0D7DE" w:sz="3"/>
          <w:bottom w:val="single" w:color="D0D7DE" w:sz="3"/>
          <w:right w:val="single" w:color="D0D7DE" w:sz="3"/>
          <w:insideH w:val="single" w:color="D0D7DE" w:sz="3"/>
          <w:insideV w:val="single" w:color="D0D7DE" w:sz="3"/>
        </w:tblBorders>
      </w:tblPr>
      <w:tblGrid>
        <w:gridCol w:w="2450"/>
        <w:gridCol w:w="900"/>
        <w:gridCol w:w="6010"/>
      </w:tblGrid>
      <w:tr>
        <w:trPr>
          <w:tblHeader/>
        </w:trPr>
        <w:tc>
          <w:tcPr>
            <w:tcW w:type="dxa" w:w="245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Module</w:t>
            </w:r>
          </w:p>
        </w:tc>
        <w:tc>
          <w:tcPr>
            <w:tcW w:type="dxa" w:w="90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Lines</w:t>
            </w:r>
          </w:p>
        </w:tc>
        <w:tc>
          <w:tcPr>
            <w:tcW w:type="dxa" w:w="601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What accounts for the size</w:t>
            </w:r>
          </w:p>
        </w:tc>
      </w:tr>
      <w:tr>
        <w:tc>
          <w:tcPr>
            <w:tcW w:type="dxa" w:w="2450"/>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src/engine/rules.ts</w:t>
            </w:r>
          </w:p>
        </w:tc>
        <w:tc>
          <w:tcPr>
            <w:tcW w:type="dxa" w:w="9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1,338</w:t>
            </w:r>
          </w:p>
        </w:tc>
        <w:tc>
          <w:tcPr>
            <w:tcW w:type="dxa" w:w="60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One implementation per enforced constraint family — 124 of them, each a small self-contained predicate or scoring function.</w:t>
            </w:r>
          </w:p>
        </w:tc>
      </w:tr>
      <w:tr>
        <w:tc>
          <w:tcPr>
            <w:tcW w:type="dxa" w:w="2450"/>
            <w:shd w:fill="F7F9FB" w:color="auto" w:val="clear"/>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src/pages/Setup.tsx</w:t>
            </w:r>
          </w:p>
        </w:tc>
        <w:tc>
          <w:tcPr>
            <w:tcW w:type="dxa" w:w="9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954</w:t>
            </w:r>
          </w:p>
        </w:tc>
        <w:tc>
          <w:tcPr>
            <w:tcW w:type="dxa" w:w="601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The wizard: institution, calendar and term dates, departments, programmes, buildings with floors and their room mix, staff, equipment — with live feasibility feedback at every step.</w:t>
            </w:r>
          </w:p>
        </w:tc>
      </w:tr>
      <w:tr>
        <w:tc>
          <w:tcPr>
            <w:tcW w:type="dxa" w:w="2450"/>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src/data/generator.ts</w:t>
            </w:r>
          </w:p>
        </w:tc>
        <w:tc>
          <w:tcPr>
            <w:tcW w:type="dxa" w:w="9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881</w:t>
            </w:r>
          </w:p>
        </w:tc>
        <w:tc>
          <w:tcPr>
            <w:tcW w:type="dxa" w:w="60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Turns figures into a concrete institution deterministically, and must never emit a demand the configured plant cannot satisfy.</w:t>
            </w:r>
          </w:p>
        </w:tc>
      </w:tr>
      <w:tr>
        <w:tc>
          <w:tcPr>
            <w:tcW w:type="dxa" w:w="2450"/>
            <w:shd w:fill="F7F9FB" w:color="auto" w:val="clear"/>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src/pages/DataStudio.tsx</w:t>
            </w:r>
          </w:p>
        </w:tc>
        <w:tc>
          <w:tcPr>
            <w:tcW w:type="dxa" w:w="9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854</w:t>
            </w:r>
          </w:p>
        </w:tc>
        <w:tc>
          <w:tcPr>
            <w:tcW w:type="dxa" w:w="601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Full CRUD over every entity type, plus the materialise-on-edit transition.</w:t>
            </w:r>
          </w:p>
        </w:tc>
      </w:tr>
      <w:tr>
        <w:tc>
          <w:tcPr>
            <w:tcW w:type="dxa" w:w="2450"/>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src/store.ts</w:t>
            </w:r>
          </w:p>
        </w:tc>
        <w:tc>
          <w:tcPr>
            <w:tcW w:type="dxa" w:w="9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830</w:t>
            </w:r>
          </w:p>
        </w:tc>
        <w:tc>
          <w:tcPr>
            <w:tcW w:type="dxa" w:w="60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One store; every mutation is a named action. Entity CRUD, calendar actions, custom rules, constraint states, substitutions, persistence.</w:t>
            </w:r>
          </w:p>
        </w:tc>
      </w:tr>
      <w:tr>
        <w:tc>
          <w:tcPr>
            <w:tcW w:type="dxa" w:w="2450"/>
            <w:shd w:fill="F7F9FB" w:color="auto" w:val="clear"/>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src/data/config.ts</w:t>
            </w:r>
          </w:p>
        </w:tc>
        <w:tc>
          <w:tcPr>
            <w:tcW w:type="dxa" w:w="9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692</w:t>
            </w:r>
          </w:p>
        </w:tc>
        <w:tc>
          <w:tcPr>
            <w:tcW w:type="dxa" w:w="601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SetupConfig plus summarise(), which blocks a solve on a structurally impossible configuration and names the fix.</w:t>
            </w:r>
          </w:p>
        </w:tc>
      </w:tr>
      <w:tr>
        <w:tc>
          <w:tcPr>
            <w:tcW w:type="dxa" w:w="2450"/>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src/engine/solver.ts</w:t>
            </w:r>
          </w:p>
        </w:tc>
        <w:tc>
          <w:tcPr>
            <w:tcW w:type="dxa" w:w="9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683</w:t>
            </w:r>
          </w:p>
        </w:tc>
        <w:tc>
          <w:tcPr>
            <w:tcW w:type="dxa" w:w="60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Demand model, three-pass placement, post-hoc audits, interactive move checking, displacement.</w:t>
            </w:r>
          </w:p>
        </w:tc>
      </w:tr>
      <w:tr>
        <w:tc>
          <w:tcPr>
            <w:tcW w:type="dxa" w:w="2450"/>
            <w:shd w:fill="F7F9FB" w:color="auto" w:val="clear"/>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scripts/harness.ts</w:t>
            </w:r>
          </w:p>
        </w:tc>
        <w:tc>
          <w:tcPr>
            <w:tcW w:type="dxa" w:w="9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636</w:t>
            </w:r>
          </w:p>
        </w:tc>
        <w:tc>
          <w:tcPr>
            <w:tcW w:type="dxa" w:w="601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78 checks that re-derive every hard invariant independently of the solver.</w:t>
            </w:r>
          </w:p>
        </w:tc>
      </w:tr>
    </w:tbl>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3 · TECHNOLOGY STACK</w:t>
      </w:r>
    </w:p>
    <w:tbl>
      <w:tblPr>
        <w:tblW w:type="dxa" w:w="9360"/>
        <w:tblBorders>
          <w:top w:val="single" w:color="D0D7DE" w:sz="3"/>
          <w:left w:val="single" w:color="D0D7DE" w:sz="3"/>
          <w:bottom w:val="single" w:color="D0D7DE" w:sz="3"/>
          <w:right w:val="single" w:color="D0D7DE" w:sz="3"/>
          <w:insideH w:val="single" w:color="D0D7DE" w:sz="3"/>
          <w:insideV w:val="single" w:color="D0D7DE" w:sz="3"/>
        </w:tblBorders>
      </w:tblPr>
      <w:tblGrid>
        <w:gridCol w:w="1550"/>
        <w:gridCol w:w="2200"/>
        <w:gridCol w:w="5610"/>
      </w:tblGrid>
      <w:tr>
        <w:trPr>
          <w:tblHeader/>
        </w:trPr>
        <w:tc>
          <w:tcPr>
            <w:tcW w:type="dxa" w:w="155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Layer</w:t>
            </w:r>
          </w:p>
        </w:tc>
        <w:tc>
          <w:tcPr>
            <w:tcW w:type="dxa" w:w="220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Technology</w:t>
            </w:r>
          </w:p>
        </w:tc>
        <w:tc>
          <w:tcPr>
            <w:tcW w:type="dxa" w:w="561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Why this choice</w:t>
            </w:r>
          </w:p>
        </w:tc>
      </w:tr>
      <w:tr>
        <w:tc>
          <w:tcPr>
            <w:tcW w:type="dxa" w:w="155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Desktop shell</w:t>
            </w:r>
          </w:p>
        </w:tc>
        <w:tc>
          <w:tcPr>
            <w:tcW w:type="dxa" w:w="22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Electron 43</w:t>
            </w:r>
          </w:p>
        </w:tc>
        <w:tc>
          <w:tcPr>
            <w:tcW w:type="dxa" w:w="56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A genuinely installable Windows application: native file dialogs, application menu, custom window chrome. contextIsolation on, nodeIntegration off, CommonJS preload.</w:t>
            </w:r>
          </w:p>
        </w:tc>
      </w:tr>
      <w:tr>
        <w:tc>
          <w:tcPr>
            <w:tcW w:type="dxa" w:w="155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Renderer</w:t>
            </w:r>
          </w:p>
        </w:tc>
        <w:tc>
          <w:tcPr>
            <w:tcW w:type="dxa" w:w="22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React 19 + TypeScript 6</w:t>
            </w:r>
          </w:p>
        </w:tc>
        <w:tc>
          <w:tcPr>
            <w:tcW w:type="dxa" w:w="561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Strict typing across a large domain model. noUnusedLocals, noUnusedParameters, erasableSyntaxOnly, no any at any module boundary — a malformed institution cannot reach the solver.</w:t>
            </w:r>
          </w:p>
        </w:tc>
      </w:tr>
      <w:tr>
        <w:tc>
          <w:tcPr>
            <w:tcW w:type="dxa" w:w="155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Routing</w:t>
            </w:r>
          </w:p>
        </w:tc>
        <w:tc>
          <w:tcPr>
            <w:tcW w:type="dxa" w:w="22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React Router 7</w:t>
            </w:r>
          </w:p>
        </w:tc>
        <w:tc>
          <w:tcPr>
            <w:tcW w:type="dxa" w:w="56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Eight pages behind a persistent shell and custom title bar.</w:t>
            </w:r>
          </w:p>
        </w:tc>
      </w:tr>
      <w:tr>
        <w:tc>
          <w:tcPr>
            <w:tcW w:type="dxa" w:w="155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Build</w:t>
            </w:r>
          </w:p>
        </w:tc>
        <w:tc>
          <w:tcPr>
            <w:tcW w:type="dxa" w:w="22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Vite 8 + vite-plugin-electron</w:t>
            </w:r>
          </w:p>
        </w:tc>
        <w:tc>
          <w:tcPr>
            <w:tcW w:type="dxa" w:w="561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Sub-second HMR in development; one command produces both renderer and Electron bundles.</w:t>
            </w:r>
          </w:p>
        </w:tc>
      </w:tr>
      <w:tr>
        <w:tc>
          <w:tcPr>
            <w:tcW w:type="dxa" w:w="155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State</w:t>
            </w:r>
          </w:p>
        </w:tc>
        <w:tc>
          <w:tcPr>
            <w:tcW w:type="dxa" w:w="22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Zustand 5</w:t>
            </w:r>
          </w:p>
        </w:tc>
        <w:tc>
          <w:tcPr>
            <w:tcW w:type="dxa" w:w="56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A single store with named actions. The whole application state is one inspectable object, which is also what makes an agent tool surface tractable later.</w:t>
            </w:r>
          </w:p>
        </w:tc>
      </w:tr>
      <w:tr>
        <w:tc>
          <w:tcPr>
            <w:tcW w:type="dxa" w:w="155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Compute</w:t>
            </w:r>
          </w:p>
        </w:tc>
        <w:tc>
          <w:tcPr>
            <w:tcW w:type="dxa" w:w="22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Bespoke constraint engine</w:t>
            </w:r>
          </w:p>
        </w:tc>
        <w:tc>
          <w:tcPr>
            <w:tcW w:type="dxa" w:w="561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No solver dependency. Runs in a Web Worker, deterministic for a given seed, bundles cleanly for headless Node testing.</w:t>
            </w:r>
          </w:p>
        </w:tc>
      </w:tr>
      <w:tr>
        <w:tc>
          <w:tcPr>
            <w:tcW w:type="dxa" w:w="155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Assistant</w:t>
            </w:r>
          </w:p>
        </w:tc>
        <w:tc>
          <w:tcPr>
            <w:tcW w:type="dxa" w:w="22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Ollama, gemma4:e4b</w:t>
            </w:r>
          </w:p>
        </w:tc>
        <w:tc>
          <w:tcPr>
            <w:tcW w:type="dxa" w:w="56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Runs on the operator’s own machine. No data leaves the device.</w:t>
            </w:r>
          </w:p>
        </w:tc>
      </w:tr>
      <w:tr>
        <w:tc>
          <w:tcPr>
            <w:tcW w:type="dxa" w:w="155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Packaging</w:t>
            </w:r>
          </w:p>
        </w:tc>
        <w:tc>
          <w:tcPr>
            <w:tcW w:type="dxa" w:w="22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electron-builder 26</w:t>
            </w:r>
          </w:p>
        </w:tc>
        <w:tc>
          <w:tcPr>
            <w:tcW w:type="dxa" w:w="561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NSIS installer plus a portable executable, x64, publish never.</w:t>
            </w:r>
          </w:p>
        </w:tc>
      </w:tr>
      <w:tr>
        <w:tc>
          <w:tcPr>
            <w:tcW w:type="dxa" w:w="155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Lint</w:t>
            </w:r>
          </w:p>
        </w:tc>
        <w:tc>
          <w:tcPr>
            <w:tcW w:type="dxa" w:w="22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oxlint</w:t>
            </w:r>
          </w:p>
        </w:tc>
        <w:tc>
          <w:tcPr>
            <w:tcW w:type="dxa" w:w="56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Fast enough to run on every save.</w:t>
            </w:r>
          </w:p>
        </w:tc>
      </w:tr>
    </w:tbl>
    <w:p>
      <w:pPr>
        <w:spacing w:after="120" w:before="100" w:line="250"/>
      </w:pPr>
      <w:r>
        <w:rPr>
          <w:rFonts w:ascii="Calibri" w:cs="Calibri" w:eastAsia="Calibri" w:hAnsi="Calibri"/>
          <w:b/>
          <w:bCs/>
          <w:color w:val="1A1A1A"/>
          <w:sz w:val="19"/>
          <w:szCs w:val="19"/>
        </w:rPr>
        <w:t xml:space="preserve">There is no server, no database and no network call</w:t>
      </w:r>
      <w:r>
        <w:rPr>
          <w:rFonts w:ascii="Calibri" w:cs="Calibri" w:eastAsia="Calibri" w:hAnsi="Calibri"/>
          <w:color w:val="1A1A1A"/>
          <w:sz w:val="19"/>
          <w:szCs w:val="19"/>
        </w:rPr>
        <w:t xml:space="preserve"> anywhere in the product, except to localhost:11434 for the optional assistant. That is a deliberate scope decision for a technology demonstrator, not an oversight — it removes deployment, authentication and data-protection questions from the critical path so the hard idea at the centre of the problem statement can be proved on one machine. Section 15 sets out what changes when that decision is reversed.</w:t>
      </w:r>
    </w:p>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4 · ARCHITECTURE</w:t>
      </w:r>
    </w:p>
    <w:p>
      <w:pPr>
        <w:pStyle w:val="Heading2"/>
        <w:keepNext/>
        <w:spacing w:after="60" w:before="170"/>
      </w:pPr>
      <w:r>
        <w:rPr>
          <w:rFonts w:ascii="Calibri" w:cs="Calibri" w:eastAsia="Calibri" w:hAnsi="Calibri"/>
          <w:b/>
          <w:bCs/>
          <w:color w:val="2E6DA4"/>
          <w:sz w:val="19"/>
          <w:szCs w:val="19"/>
        </w:rPr>
        <w:t xml:space="preserve">The two boundaries that carry the design</w:t>
      </w:r>
    </w:p>
    <w:p>
      <w:pPr>
        <w:pStyle w:val="ListParagraph"/>
        <w:numPr>
          <w:ilvl w:val="0"/>
          <w:numId w:val="2"/>
        </w:numPr>
        <w:spacing w:after="50" w:before="0" w:line="250"/>
      </w:pPr>
      <w:r>
        <w:rPr>
          <w:rFonts w:ascii="Calibri" w:cs="Calibri" w:eastAsia="Calibri" w:hAnsi="Calibri"/>
          <w:b/>
          <w:bCs/>
          <w:color w:val="1A1A1A"/>
          <w:sz w:val="19"/>
          <w:szCs w:val="19"/>
        </w:rPr>
        <w:t xml:space="preserve">src/data never imports src/engine or React. </w:t>
      </w:r>
      <w:r>
        <w:rPr>
          <w:rFonts w:ascii="Calibri" w:cs="Calibri" w:eastAsia="Calibri" w:hAnsi="Calibri"/>
          <w:color w:val="1A1A1A"/>
          <w:sz w:val="19"/>
          <w:szCs w:val="19"/>
        </w:rPr>
        <w:t xml:space="preserve">It is pure description: types, the domain model, the configuration schema, the constraint catalogue, the generator, the exporters.</w:t>
      </w:r>
    </w:p>
    <w:p>
      <w:pPr>
        <w:pStyle w:val="ListParagraph"/>
        <w:numPr>
          <w:ilvl w:val="0"/>
          <w:numId w:val="2"/>
        </w:numPr>
        <w:spacing w:after="50" w:before="0" w:line="250"/>
      </w:pPr>
      <w:r>
        <w:rPr>
          <w:rFonts w:ascii="Calibri" w:cs="Calibri" w:eastAsia="Calibri" w:hAnsi="Calibri"/>
          <w:b/>
          <w:bCs/>
          <w:color w:val="1A1A1A"/>
          <w:sz w:val="19"/>
          <w:szCs w:val="19"/>
        </w:rPr>
        <w:t xml:space="preserve">src/engine may import src/data, but never React or the DOM. </w:t>
      </w:r>
      <w:r>
        <w:rPr>
          <w:rFonts w:ascii="Calibri" w:cs="Calibri" w:eastAsia="Calibri" w:hAnsi="Calibri"/>
          <w:color w:val="1A1A1A"/>
          <w:sz w:val="19"/>
          <w:szCs w:val="19"/>
        </w:rPr>
        <w:t xml:space="preserve">This is the load-bearing rule. It is what lets scripts/harness.ts bundle the entire engine with esbuild and exercise it in Node — no browser, no mocking, no second implementation. The verification suite tests the solver that ships, and the same property is what would let the solver move to a server process unchanged.</w:t>
      </w:r>
    </w:p>
    <w:p>
      <w:pPr>
        <w:pStyle w:val="Heading2"/>
        <w:keepNext/>
        <w:spacing w:after="60" w:before="170"/>
      </w:pPr>
      <w:r>
        <w:rPr>
          <w:rFonts w:ascii="Calibri" w:cs="Calibri" w:eastAsia="Calibri" w:hAnsi="Calibri"/>
          <w:b/>
          <w:bCs/>
          <w:color w:val="2E6DA4"/>
          <w:sz w:val="19"/>
          <w:szCs w:val="19"/>
        </w:rPr>
        <w:t xml:space="preserve">Data flow</w:t>
      </w:r>
    </w:p>
    <w:p>
      <w:pPr>
        <w:shd w:fill="F4F6F8" w:color="auto" w:val="clear"/>
        <w:spacing w:after="0" w:before="0" w:line="210"/>
        <w:ind w:left="110" w:right="110"/>
      </w:pPr>
      <w:r>
        <w:rPr>
          <w:rFonts w:ascii="Consolas" w:cs="Consolas" w:eastAsia="Consolas" w:hAnsi="Consolas"/>
          <w:color w:val="24292F"/>
          <w:sz w:val="15"/>
          <w:szCs w:val="15"/>
        </w:rPr>
        <w:t xml:space="preserve">Setup wizard</w:t>
      </w:r>
    </w:p>
    <w:p>
      <w:pPr>
        <w:shd w:fill="F4F6F8" w:color="auto" w:val="clear"/>
        <w:spacing w:after="0" w:before="0" w:line="210"/>
        <w:ind w:left="110" w:right="110"/>
      </w:pPr>
      <w:r>
        <w:rPr>
          <w:rFonts w:ascii="Consolas" w:cs="Consolas" w:eastAsia="Consolas" w:hAnsi="Consolas"/>
          <w:color w:val="24292F"/>
          <w:sz w:val="15"/>
          <w:szCs w:val="15"/>
        </w:rPr>
        <w:t xml:space="preserve">    │  writes</w:t>
      </w:r>
    </w:p>
    <w:p>
      <w:pPr>
        <w:shd w:fill="F4F6F8" w:color="auto" w:val="clear"/>
        <w:spacing w:after="0" w:before="0" w:line="210"/>
        <w:ind w:left="110" w:right="110"/>
      </w:pPr>
      <w:r>
        <w:rPr>
          <w:rFonts w:ascii="Consolas" w:cs="Consolas" w:eastAsia="Consolas" w:hAnsi="Consolas"/>
          <w:color w:val="24292F"/>
          <w:sz w:val="15"/>
          <w:szCs w:val="15"/>
        </w:rPr>
        <w:t xml:space="preserve">    ▼</w:t>
      </w:r>
    </w:p>
    <w:p>
      <w:pPr>
        <w:shd w:fill="F4F6F8" w:color="auto" w:val="clear"/>
        <w:spacing w:after="0" w:before="0" w:line="210"/>
        <w:ind w:left="110" w:right="110"/>
      </w:pPr>
      <w:r>
        <w:rPr>
          <w:rFonts w:ascii="Consolas" w:cs="Consolas" w:eastAsia="Consolas" w:hAnsi="Consolas"/>
          <w:color w:val="24292F"/>
          <w:sz w:val="15"/>
          <w:szCs w:val="15"/>
        </w:rPr>
        <w:t xml:space="preserve">SetupConfig ──────► summarise()  ──► blocking errors and warnings,</w:t>
      </w:r>
    </w:p>
    <w:p>
      <w:pPr>
        <w:shd w:fill="F4F6F8" w:color="auto" w:val="clear"/>
        <w:spacing w:after="0" w:before="0" w:line="210"/>
        <w:ind w:left="110" w:right="110"/>
      </w:pPr>
      <w:r>
        <w:rPr>
          <w:rFonts w:ascii="Consolas" w:cs="Consolas" w:eastAsia="Consolas" w:hAnsi="Consolas"/>
          <w:color w:val="24292F"/>
          <w:sz w:val="15"/>
          <w:szCs w:val="15"/>
        </w:rPr>
        <w:t xml:space="preserve">    │                                shown before a solve is allowed</w:t>
      </w:r>
    </w:p>
    <w:p>
      <w:pPr>
        <w:shd w:fill="F4F6F8" w:color="auto" w:val="clear"/>
        <w:spacing w:after="0" w:before="0" w:line="210"/>
        <w:ind w:left="110" w:right="110"/>
      </w:pPr>
      <w:r>
        <w:rPr>
          <w:rFonts w:ascii="Consolas" w:cs="Consolas" w:eastAsia="Consolas" w:hAnsi="Consolas"/>
          <w:color w:val="24292F"/>
          <w:sz w:val="15"/>
          <w:szCs w:val="15"/>
        </w:rPr>
        <w:t xml:space="preserve">    │  generateInstitution()</w:t>
      </w:r>
    </w:p>
    <w:p>
      <w:pPr>
        <w:shd w:fill="F4F6F8" w:color="auto" w:val="clear"/>
        <w:spacing w:after="0" w:before="0" w:line="210"/>
        <w:ind w:left="110" w:right="110"/>
      </w:pPr>
      <w:r>
        <w:rPr>
          <w:rFonts w:ascii="Consolas" w:cs="Consolas" w:eastAsia="Consolas" w:hAnsi="Consolas"/>
          <w:color w:val="24292F"/>
          <w:sz w:val="15"/>
          <w:szCs w:val="15"/>
        </w:rPr>
        <w:t xml:space="preserve">    ▼</w:t>
      </w:r>
    </w:p>
    <w:p>
      <w:pPr>
        <w:shd w:fill="F4F6F8" w:color="auto" w:val="clear"/>
        <w:spacing w:after="0" w:before="0" w:line="210"/>
        <w:ind w:left="110" w:right="110"/>
      </w:pPr>
      <w:r>
        <w:rPr>
          <w:rFonts w:ascii="Consolas" w:cs="Consolas" w:eastAsia="Consolas" w:hAnsi="Consolas"/>
          <w:color w:val="24292F"/>
          <w:sz w:val="15"/>
          <w:szCs w:val="15"/>
        </w:rPr>
        <w:t xml:space="preserve">Institution  (campuses, buildings, rooms, departments, programmes,</w:t>
      </w:r>
    </w:p>
    <w:p>
      <w:pPr>
        <w:shd w:fill="F4F6F8" w:color="auto" w:val="clear"/>
        <w:spacing w:after="0" w:before="0" w:line="210"/>
        <w:ind w:left="110" w:right="110"/>
      </w:pPr>
      <w:r>
        <w:rPr>
          <w:rFonts w:ascii="Consolas" w:cs="Consolas" w:eastAsia="Consolas" w:hAnsi="Consolas"/>
          <w:color w:val="24292F"/>
          <w:sz w:val="15"/>
          <w:szCs w:val="15"/>
        </w:rPr>
        <w:t xml:space="preserve">    │         courses, cohorts, faculty, equipment, time grid, calendar)</w:t>
      </w:r>
    </w:p>
    <w:p>
      <w:pPr>
        <w:shd w:fill="F4F6F8" w:color="auto" w:val="clear"/>
        <w:spacing w:after="0" w:before="0" w:line="210"/>
        <w:ind w:left="110" w:right="110"/>
      </w:pPr>
      <w:r>
        <w:rPr>
          <w:rFonts w:ascii="Consolas" w:cs="Consolas" w:eastAsia="Consolas" w:hAnsi="Consolas"/>
          <w:color w:val="24292F"/>
          <w:sz w:val="15"/>
          <w:szCs w:val="15"/>
        </w:rPr>
        <w:t xml:space="preserve">    │</w:t>
      </w:r>
    </w:p>
    <w:p>
      <w:pPr>
        <w:shd w:fill="F4F6F8" w:color="auto" w:val="clear"/>
        <w:spacing w:after="0" w:before="0" w:line="210"/>
        <w:ind w:left="110" w:right="110"/>
      </w:pPr>
      <w:r>
        <w:rPr>
          <w:rFonts w:ascii="Consolas" w:cs="Consolas" w:eastAsia="Consolas" w:hAnsi="Consolas"/>
          <w:color w:val="24292F"/>
          <w:sz w:val="15"/>
          <w:szCs w:val="15"/>
        </w:rPr>
        <w:t xml:space="preserve">    │  ┌── overrides.faculty / .courses / .rooms / .sections</w:t>
      </w:r>
    </w:p>
    <w:p>
      <w:pPr>
        <w:shd w:fill="F4F6F8" w:color="auto" w:val="clear"/>
        <w:spacing w:after="0" w:before="0" w:line="210"/>
        <w:ind w:left="110" w:right="110"/>
      </w:pPr>
      <w:r>
        <w:rPr>
          <w:rFonts w:ascii="Consolas" w:cs="Consolas" w:eastAsia="Consolas" w:hAnsi="Consolas"/>
          <w:color w:val="24292F"/>
          <w:sz w:val="15"/>
          <w:szCs w:val="15"/>
        </w:rPr>
        <w:t xml:space="preserve">    │  │   take over once the operator edits that entity type</w:t>
      </w:r>
    </w:p>
    <w:p>
      <w:pPr>
        <w:shd w:fill="F4F6F8" w:color="auto" w:val="clear"/>
        <w:spacing w:after="0" w:before="0" w:line="210"/>
        <w:ind w:left="110" w:right="110"/>
      </w:pPr>
      <w:r>
        <w:rPr>
          <w:rFonts w:ascii="Consolas" w:cs="Consolas" w:eastAsia="Consolas" w:hAnsi="Consolas"/>
          <w:color w:val="24292F"/>
          <w:sz w:val="15"/>
          <w:szCs w:val="15"/>
        </w:rPr>
        <w:t xml:space="preserve">    │  ▼</w:t>
      </w:r>
    </w:p>
    <w:p>
      <w:pPr>
        <w:shd w:fill="F4F6F8" w:color="auto" w:val="clear"/>
        <w:spacing w:after="0" w:before="0" w:line="210"/>
        <w:ind w:left="110" w:right="110"/>
      </w:pPr>
      <w:r>
        <w:rPr>
          <w:rFonts w:ascii="Consolas" w:cs="Consolas" w:eastAsia="Consolas" w:hAnsi="Consolas"/>
          <w:color w:val="24292F"/>
          <w:sz w:val="15"/>
          <w:szCs w:val="15"/>
        </w:rPr>
        <w:t xml:space="preserve">    │  editable records (data/records.ts)</w:t>
      </w:r>
    </w:p>
    <w:p>
      <w:pPr>
        <w:shd w:fill="F4F6F8" w:color="auto" w:val="clear"/>
        <w:spacing w:after="0" w:before="0" w:line="210"/>
        <w:ind w:left="110" w:right="110"/>
      </w:pPr>
      <w:r>
        <w:rPr>
          <w:rFonts w:ascii="Consolas" w:cs="Consolas" w:eastAsia="Consolas" w:hAnsi="Consolas"/>
          <w:color w:val="24292F"/>
          <w:sz w:val="15"/>
          <w:szCs w:val="15"/>
        </w:rPr>
        <w:t xml:space="preserve">    │</w:t>
      </w:r>
    </w:p>
    <w:p>
      <w:pPr>
        <w:shd w:fill="F4F6F8" w:color="auto" w:val="clear"/>
        <w:spacing w:after="0" w:before="0" w:line="210"/>
        <w:ind w:left="110" w:right="110"/>
      </w:pPr>
      <w:r>
        <w:rPr>
          <w:rFonts w:ascii="Consolas" w:cs="Consolas" w:eastAsia="Consolas" w:hAnsi="Consolas"/>
          <w:color w:val="24292F"/>
          <w:sz w:val="15"/>
          <w:szCs w:val="15"/>
        </w:rPr>
        <w:t xml:space="preserve">    │  solve()  in a Web Worker</w:t>
      </w:r>
    </w:p>
    <w:p>
      <w:pPr>
        <w:shd w:fill="F4F6F8" w:color="auto" w:val="clear"/>
        <w:spacing w:after="0" w:before="0" w:line="210"/>
        <w:ind w:left="110" w:right="110"/>
      </w:pPr>
      <w:r>
        <w:rPr>
          <w:rFonts w:ascii="Consolas" w:cs="Consolas" w:eastAsia="Consolas" w:hAnsi="Consolas"/>
          <w:color w:val="24292F"/>
          <w:sz w:val="15"/>
          <w:szCs w:val="15"/>
        </w:rPr>
        <w:t xml:space="preserve">    ▼</w:t>
      </w:r>
    </w:p>
    <w:p>
      <w:pPr>
        <w:shd w:fill="F4F6F8" w:color="auto" w:val="clear"/>
        <w:spacing w:after="0" w:before="0" w:line="210"/>
        <w:ind w:left="110" w:right="110"/>
      </w:pPr>
      <w:r>
        <w:rPr>
          <w:rFonts w:ascii="Consolas" w:cs="Consolas" w:eastAsia="Consolas" w:hAnsi="Consolas"/>
          <w:color w:val="24292F"/>
          <w:sz w:val="15"/>
          <w:szCs w:val="15"/>
        </w:rPr>
        <w:t xml:space="preserve">SolveReport (sessions, violations, unplaced, bottlenecks, timings)</w:t>
      </w:r>
    </w:p>
    <w:p>
      <w:pPr>
        <w:shd w:fill="F4F6F8" w:color="auto" w:val="clear"/>
        <w:spacing w:after="0" w:before="0" w:line="210"/>
        <w:ind w:left="110" w:right="110"/>
      </w:pPr>
      <w:r>
        <w:rPr>
          <w:rFonts w:ascii="Consolas" w:cs="Consolas" w:eastAsia="Consolas" w:hAnsi="Consolas"/>
          <w:color w:val="24292F"/>
          <w:sz w:val="15"/>
          <w:szCs w:val="15"/>
        </w:rPr>
        <w:t xml:space="preserve">    │</w:t>
      </w:r>
    </w:p>
    <w:p>
      <w:pPr>
        <w:shd w:fill="F4F6F8" w:color="auto" w:val="clear"/>
        <w:spacing w:after="0" w:before="0" w:line="210"/>
        <w:ind w:left="110" w:right="110"/>
      </w:pPr>
      <w:r>
        <w:rPr>
          <w:rFonts w:ascii="Consolas" w:cs="Consolas" w:eastAsia="Consolas" w:hAnsi="Consolas"/>
          <w:color w:val="24292F"/>
          <w:sz w:val="15"/>
          <w:szCs w:val="15"/>
        </w:rPr>
        <w:t xml:space="preserve">    ├──► Timetable grid, drag-and-drop editing, substitutions</w:t>
      </w:r>
    </w:p>
    <w:p>
      <w:pPr>
        <w:shd w:fill="F4F6F8" w:color="auto" w:val="clear"/>
        <w:spacing w:after="0" w:before="0" w:line="210"/>
        <w:ind w:left="110" w:right="110"/>
      </w:pPr>
      <w:r>
        <w:rPr>
          <w:rFonts w:ascii="Consolas" w:cs="Consolas" w:eastAsia="Consolas" w:hAnsi="Consolas"/>
          <w:color w:val="24292F"/>
          <w:sz w:val="15"/>
          <w:szCs w:val="15"/>
        </w:rPr>
        <w:t xml:space="preserve">    ├──► Overview: metrics, heatmap, what did not fit and why</w:t>
      </w:r>
    </w:p>
    <w:p>
      <w:pPr>
        <w:shd w:fill="F4F6F8" w:color="auto" w:val="clear"/>
        <w:spacing w:after="0" w:before="0" w:line="210"/>
        <w:ind w:left="110" w:right="110"/>
      </w:pPr>
      <w:r>
        <w:rPr>
          <w:rFonts w:ascii="Consolas" w:cs="Consolas" w:eastAsia="Consolas" w:hAnsi="Consolas"/>
          <w:color w:val="24292F"/>
          <w:sz w:val="15"/>
          <w:szCs w:val="15"/>
        </w:rPr>
        <w:t xml:space="preserve">    ├──► Assistant briefing</w:t>
      </w:r>
    </w:p>
    <w:p>
      <w:pPr>
        <w:shd w:fill="F4F6F8" w:color="auto" w:val="clear"/>
        <w:spacing w:after="120" w:before="0" w:line="210"/>
        <w:ind w:left="110" w:right="110"/>
      </w:pPr>
      <w:r>
        <w:rPr>
          <w:rFonts w:ascii="Consolas" w:cs="Consolas" w:eastAsia="Consolas" w:hAnsi="Consolas"/>
          <w:color w:val="24292F"/>
          <w:sz w:val="15"/>
          <w:szCs w:val="15"/>
        </w:rPr>
        <w:t xml:space="preserve">    └──► CSV / JSON exports</w:t>
      </w:r>
    </w:p>
    <w:p>
      <w:pPr>
        <w:pStyle w:val="Heading2"/>
        <w:keepNext/>
        <w:spacing w:after="60" w:before="170"/>
      </w:pPr>
      <w:r>
        <w:rPr>
          <w:rFonts w:ascii="Calibri" w:cs="Calibri" w:eastAsia="Calibri" w:hAnsi="Calibri"/>
          <w:b/>
          <w:bCs/>
          <w:color w:val="2E6DA4"/>
          <w:sz w:val="19"/>
          <w:szCs w:val="19"/>
        </w:rPr>
        <w:t xml:space="preserve">Materialise-on-edit</w:t>
      </w:r>
    </w:p>
    <w:p>
      <w:pPr>
        <w:spacing w:after="90" w:before="0" w:line="250"/>
      </w:pPr>
      <w:r>
        <w:rPr>
          <w:rFonts w:ascii="Calibri" w:cs="Calibri" w:eastAsia="Calibri" w:hAnsi="Calibri"/>
          <w:color w:val="1A1A1A"/>
          <w:sz w:val="19"/>
          <w:szCs w:val="19"/>
        </w:rPr>
        <w:t xml:space="preserve">A SetupConfig normally holds only numbers: 68 staff, 40% assistant professors, six lecture rooms of 72 seats. The generator turns those into concrete entities deterministically from a seed. The moment the operator edits one staff member, the store snapshots all 68 generated staff into config.overrides.faculty as explicit records, applies the edit and saves; from then on the generator sees the overrides and stops generating staff entirely. Courses, rooms and section counts materialise independently, and each can be reset back to generated.</w:t>
      </w:r>
    </w:p>
    <w:p>
      <w:pPr>
        <w:spacing w:after="90" w:before="0" w:line="250"/>
      </w:pPr>
      <w:r>
        <w:rPr>
          <w:rFonts w:ascii="Calibri" w:cs="Calibri" w:eastAsia="Calibri" w:hAnsi="Calibri"/>
          <w:color w:val="1A1A1A"/>
          <w:sz w:val="19"/>
          <w:szCs w:val="19"/>
        </w:rPr>
        <w:t xml:space="preserve">The consequence is that a project file is always self-contained and reproducible: either the numbers regenerate the entities, or the entities are written down. It is also, incidentally, a natural version boundary — which matters in section 15.</w:t>
      </w:r>
    </w:p>
    <w:p>
      <w:r>
        <w:br w:type="page"/>
      </w:r>
    </w:p>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5 · THE BACKEND, IN AN APPLICATION WITH NO SERVER</w:t>
      </w:r>
    </w:p>
    <w:p>
      <w:pPr>
        <w:spacing w:after="90" w:before="0" w:line="250"/>
      </w:pPr>
      <w:r>
        <w:rPr>
          <w:rFonts w:ascii="Calibri" w:cs="Calibri" w:eastAsia="Calibri" w:hAnsi="Calibri"/>
          <w:color w:val="1A1A1A"/>
          <w:sz w:val="19"/>
          <w:szCs w:val="19"/>
        </w:rPr>
        <w:t xml:space="preserve">Aula has no backend in the conventional sense, but it has all the responsibilities of one — privileged operations, a persistence layer, a job runner and an inter-process boundary. They are distributed across three places.</w:t>
      </w:r>
    </w:p>
    <w:p>
      <w:pPr>
        <w:pStyle w:val="Heading2"/>
        <w:keepNext/>
        <w:spacing w:after="60" w:before="170"/>
      </w:pPr>
      <w:r>
        <w:rPr>
          <w:rFonts w:ascii="Calibri" w:cs="Calibri" w:eastAsia="Calibri" w:hAnsi="Calibri"/>
          <w:b/>
          <w:bCs/>
          <w:color w:val="2E6DA4"/>
          <w:sz w:val="19"/>
          <w:szCs w:val="19"/>
        </w:rPr>
        <w:t xml:space="preserve">5.1 The Electron main process — the privileged tier</w:t>
      </w:r>
    </w:p>
    <w:p>
      <w:pPr>
        <w:spacing w:after="90" w:before="0" w:line="250"/>
      </w:pPr>
      <w:r>
        <w:rPr>
          <w:rFonts w:ascii="Calibri" w:cs="Calibri" w:eastAsia="Calibri" w:hAnsi="Calibri"/>
          <w:color w:val="1A1A1A"/>
          <w:sz w:val="19"/>
          <w:szCs w:val="19"/>
        </w:rPr>
        <w:t xml:space="preserve">The main process is the only part of the application with filesystem and network access. The renderer is sandboxed: contextIsolation is on, nodeIntegration is off, and the preload script is emitted as CommonJS and exposes a single frozen bridge object. Everything privileged crosses that boundary as an explicit, named channel.</w:t>
      </w:r>
    </w:p>
    <w:tbl>
      <w:tblPr>
        <w:tblW w:type="dxa" w:w="9360"/>
        <w:tblBorders>
          <w:top w:val="single" w:color="D0D7DE" w:sz="3"/>
          <w:left w:val="single" w:color="D0D7DE" w:sz="3"/>
          <w:bottom w:val="single" w:color="D0D7DE" w:sz="3"/>
          <w:right w:val="single" w:color="D0D7DE" w:sz="3"/>
          <w:insideH w:val="single" w:color="D0D7DE" w:sz="3"/>
          <w:insideV w:val="single" w:color="D0D7DE" w:sz="3"/>
        </w:tblBorders>
      </w:tblPr>
      <w:tblGrid>
        <w:gridCol w:w="2350"/>
        <w:gridCol w:w="1500"/>
        <w:gridCol w:w="5510"/>
      </w:tblGrid>
      <w:tr>
        <w:trPr>
          <w:tblHeader/>
        </w:trPr>
        <w:tc>
          <w:tcPr>
            <w:tcW w:type="dxa" w:w="235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IPC channel</w:t>
            </w:r>
          </w:p>
        </w:tc>
        <w:tc>
          <w:tcPr>
            <w:tcW w:type="dxa" w:w="150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Kind</w:t>
            </w:r>
          </w:p>
        </w:tc>
        <w:tc>
          <w:tcPr>
            <w:tcW w:type="dxa" w:w="551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Responsibility</w:t>
            </w:r>
          </w:p>
        </w:tc>
      </w:tr>
      <w:tr>
        <w:tc>
          <w:tcPr>
            <w:tcW w:type="dxa" w:w="2350"/>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file:save</w:t>
            </w:r>
          </w:p>
        </w:tc>
        <w:tc>
          <w:tcPr>
            <w:tcW w:type="dxa" w:w="15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invoke</w:t>
            </w:r>
          </w:p>
        </w:tc>
        <w:tc>
          <w:tcPr>
            <w:tcW w:type="dxa" w:w="55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Native save dialog, then write. The renderer never touches the filesystem.</w:t>
            </w:r>
          </w:p>
        </w:tc>
      </w:tr>
      <w:tr>
        <w:tc>
          <w:tcPr>
            <w:tcW w:type="dxa" w:w="2350"/>
            <w:shd w:fill="F7F9FB" w:color="auto" w:val="clear"/>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file:open</w:t>
            </w:r>
          </w:p>
        </w:tc>
        <w:tc>
          <w:tcPr>
            <w:tcW w:type="dxa" w:w="15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invoke</w:t>
            </w:r>
          </w:p>
        </w:tc>
        <w:tc>
          <w:tcPr>
            <w:tcW w:type="dxa" w:w="551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Native open dialog with type filters, then read.</w:t>
            </w:r>
          </w:p>
        </w:tc>
      </w:tr>
      <w:tr>
        <w:tc>
          <w:tcPr>
            <w:tcW w:type="dxa" w:w="2350"/>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assistant:probe</w:t>
            </w:r>
          </w:p>
        </w:tc>
        <w:tc>
          <w:tcPr>
            <w:tcW w:type="dxa" w:w="15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invoke</w:t>
            </w:r>
          </w:p>
        </w:tc>
        <w:tc>
          <w:tcPr>
            <w:tcW w:type="dxa" w:w="55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GET /api/tags against Ollama with a 2.5-second abort, returning availability and the installed model list.</w:t>
            </w:r>
          </w:p>
        </w:tc>
      </w:tr>
      <w:tr>
        <w:tc>
          <w:tcPr>
            <w:tcW w:type="dxa" w:w="2350"/>
            <w:shd w:fill="F7F9FB" w:color="auto" w:val="clear"/>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assistant:chat</w:t>
            </w:r>
          </w:p>
        </w:tc>
        <w:tc>
          <w:tcPr>
            <w:tcW w:type="dxa" w:w="15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send</w:t>
            </w:r>
          </w:p>
        </w:tc>
        <w:tc>
          <w:tcPr>
            <w:tcW w:type="dxa" w:w="551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Streaming relay to POST /api/chat. Tokens are pushed back on assistant:chunk, completion on assistant:done, failure on assistant:error.</w:t>
            </w:r>
          </w:p>
        </w:tc>
      </w:tr>
      <w:tr>
        <w:tc>
          <w:tcPr>
            <w:tcW w:type="dxa" w:w="2350"/>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assistant:cancel</w:t>
            </w:r>
          </w:p>
        </w:tc>
        <w:tc>
          <w:tcPr>
            <w:tcW w:type="dxa" w:w="15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send</w:t>
            </w:r>
          </w:p>
        </w:tc>
        <w:tc>
          <w:tcPr>
            <w:tcW w:type="dxa" w:w="55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Aborts an in-flight answer through an AbortController held in a map keyed by requestId.</w:t>
            </w:r>
          </w:p>
        </w:tc>
      </w:tr>
      <w:tr>
        <w:tc>
          <w:tcPr>
            <w:tcW w:type="dxa" w:w="2350"/>
            <w:shd w:fill="F7F9FB" w:color="auto" w:val="clear"/>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window:*</w:t>
            </w:r>
          </w:p>
        </w:tc>
        <w:tc>
          <w:tcPr>
            <w:tcW w:type="dxa" w:w="15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send/invoke</w:t>
            </w:r>
          </w:p>
        </w:tc>
        <w:tc>
          <w:tcPr>
            <w:tcW w:type="dxa" w:w="551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Minimise, maximise toggle, close and maximised-state query, because the window is frameless and draws its own title bar.</w:t>
            </w:r>
          </w:p>
        </w:tc>
      </w:tr>
      <w:tr>
        <w:tc>
          <w:tcPr>
            <w:tcW w:type="dxa" w:w="2350"/>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menu:action</w:t>
            </w:r>
          </w:p>
        </w:tc>
        <w:tc>
          <w:tcPr>
            <w:tcW w:type="dxa" w:w="15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event</w:t>
            </w:r>
          </w:p>
        </w:tc>
        <w:tc>
          <w:tcPr>
            <w:tcW w:type="dxa" w:w="55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Application-menu commands pushed from main into the renderer.</w:t>
            </w:r>
          </w:p>
        </w:tc>
      </w:tr>
    </w:tbl>
    <w:p>
      <w:pPr>
        <w:spacing w:after="90" w:before="100" w:line="250"/>
      </w:pPr>
      <w:r>
        <w:rPr>
          <w:rFonts w:ascii="Calibri" w:cs="Calibri" w:eastAsia="Calibri" w:hAnsi="Calibri"/>
          <w:color w:val="1A1A1A"/>
          <w:sz w:val="19"/>
          <w:szCs w:val="19"/>
        </w:rPr>
        <w:t xml:space="preserve">The assistant relay exists for a specific reason. In a packaged build the renderer’s origin is file://, which Ollama rejects on CORS; the main process has no such restriction. This was found only after packaging — it works in development and fails in the installer.</w:t>
      </w:r>
    </w:p>
    <w:p>
      <w:pPr>
        <w:pStyle w:val="Heading2"/>
        <w:keepNext/>
        <w:spacing w:after="60" w:before="170"/>
      </w:pPr>
      <w:r>
        <w:rPr>
          <w:rFonts w:ascii="Calibri" w:cs="Calibri" w:eastAsia="Calibri" w:hAnsi="Calibri"/>
          <w:b/>
          <w:bCs/>
          <w:color w:val="2E6DA4"/>
          <w:sz w:val="19"/>
          <w:szCs w:val="19"/>
        </w:rPr>
        <w:t xml:space="preserve">5.2 The Web Worker — the job runner</w:t>
      </w:r>
    </w:p>
    <w:p>
      <w:pPr>
        <w:spacing w:after="90" w:before="0" w:line="250"/>
      </w:pPr>
      <w:r>
        <w:rPr>
          <w:rFonts w:ascii="Calibri" w:cs="Calibri" w:eastAsia="Calibri" w:hAnsi="Calibri"/>
          <w:color w:val="1A1A1A"/>
          <w:sz w:val="19"/>
          <w:szCs w:val="19"/>
        </w:rPr>
        <w:t xml:space="preserve">Generation and solving are CPU-bound and scale with the institution. On the UI thread a two-second solve would freeze the window and Windows would paint “(Not Responding)” on the title bar. engine/worker.ts runs both off-thread. The client keeps one long-lived worker and returns a promise per request, matching responses by requestId, so progress phases — “Building institution”, “Placing sessions” — stream back while the window stays interactive.</w:t>
      </w:r>
    </w:p>
    <w:p>
      <w:pPr>
        <w:spacing w:after="90" w:before="0" w:line="250"/>
      </w:pPr>
      <w:r>
        <w:rPr>
          <w:rFonts w:ascii="Calibri" w:cs="Calibri" w:eastAsia="Calibri" w:hAnsi="Calibri"/>
          <w:color w:val="1A1A1A"/>
          <w:sz w:val="19"/>
          <w:szCs w:val="19"/>
        </w:rPr>
        <w:t xml:space="preserve">This is already the shape of a server job queue. A request carries a configuration, the constraint states, the custom rules, a seed, a scenario emphasis and a wall-clock budget; a response carries progress, completion or an error. Nothing about that contract assumes it is running in a browser.</w:t>
      </w:r>
    </w:p>
    <w:p>
      <w:pPr>
        <w:pStyle w:val="Heading2"/>
        <w:keepNext/>
        <w:spacing w:after="60" w:before="170"/>
      </w:pPr>
      <w:r>
        <w:rPr>
          <w:rFonts w:ascii="Calibri" w:cs="Calibri" w:eastAsia="Calibri" w:hAnsi="Calibri"/>
          <w:b/>
          <w:bCs/>
          <w:color w:val="2E6DA4"/>
          <w:sz w:val="19"/>
          <w:szCs w:val="19"/>
        </w:rPr>
        <w:t xml:space="preserve">5.3 Persistence</w:t>
      </w:r>
    </w:p>
    <w:p>
      <w:pPr>
        <w:spacing w:after="90" w:before="0" w:line="250"/>
      </w:pPr>
      <w:r>
        <w:rPr>
          <w:rFonts w:ascii="Calibri" w:cs="Calibri" w:eastAsia="Calibri" w:hAnsi="Calibri"/>
          <w:color w:val="1A1A1A"/>
          <w:sz w:val="19"/>
          <w:szCs w:val="19"/>
        </w:rPr>
        <w:t xml:space="preserve">State is written two ways. A browser localStorage entry under the key aula.project.v1 holds the working project so the application reopens where it was left. An explicit project file, saved through the native dialog, carries a format tag, a version, a timestamp, the configuration, all 500 constraint states, the active scenario and a setup-complete flag.</w:t>
      </w:r>
    </w:p>
    <w:p>
      <w:pPr>
        <w:spacing w:after="90" w:before="0" w:line="250"/>
      </w:pPr>
      <w:r>
        <w:rPr>
          <w:rFonts w:ascii="Calibri" w:cs="Calibri" w:eastAsia="Calibri" w:hAnsi="Calibri"/>
          <w:color w:val="1A1A1A"/>
          <w:sz w:val="19"/>
          <w:szCs w:val="19"/>
        </w:rPr>
        <w:t xml:space="preserve">Two hydration rules protect a save. Saved constraint states are merged over freshly built defaults, so adding a constraint to the catalogue never invalidates an existing project. And every configuration is passed through normaliseConfig before use, which migrates legacy shapes, fills defaults and clamps values — skipping it once left the entire application blank.</w:t>
      </w:r>
    </w:p>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6 · THE CONSTRAINT CATALOGUE</w:t>
      </w:r>
    </w:p>
    <w:p>
      <w:pPr>
        <w:spacing w:after="90" w:before="0" w:line="250"/>
      </w:pPr>
      <w:r>
        <w:rPr>
          <w:rFonts w:ascii="Calibri" w:cs="Calibri" w:eastAsia="Calibri" w:hAnsi="Calibri"/>
          <w:color w:val="1A1A1A"/>
          <w:sz w:val="19"/>
          <w:szCs w:val="19"/>
        </w:rPr>
        <w:t xml:space="preserve">The catalogue holds all 500 constraints verbatim, numbered 1 to 500 across fifteen operational domains. Each entry carries its text, its domain, a hard/soft classification, an optional rule key, static arguments and any editable parameters. auditCatalogue() runs at start-up in development and fails loudly if an ordinal is missing, duplicated or sitting outside its domain’s range.</w:t>
      </w:r>
    </w:p>
    <w:tbl>
      <w:tblPr>
        <w:tblW w:type="dxa" w:w="9360"/>
        <w:tblBorders>
          <w:top w:val="single" w:color="D0D7DE" w:sz="3"/>
          <w:left w:val="single" w:color="D0D7DE" w:sz="3"/>
          <w:bottom w:val="single" w:color="D0D7DE" w:sz="3"/>
          <w:right w:val="single" w:color="D0D7DE" w:sz="3"/>
          <w:insideH w:val="single" w:color="D0D7DE" w:sz="3"/>
          <w:insideV w:val="single" w:color="D0D7DE" w:sz="3"/>
        </w:tblBorders>
      </w:tblPr>
      <w:tblGrid>
        <w:gridCol w:w="560"/>
        <w:gridCol w:w="3100"/>
        <w:gridCol w:w="900"/>
        <w:gridCol w:w="1000"/>
        <w:gridCol w:w="1000"/>
        <w:gridCol w:w="1000"/>
        <w:gridCol w:w="1800"/>
      </w:tblGrid>
      <w:tr>
        <w:trPr>
          <w:tblHeader/>
        </w:trPr>
        <w:tc>
          <w:tcPr>
            <w:tcW w:type="dxa" w:w="56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
            </w:r>
          </w:p>
        </w:tc>
        <w:tc>
          <w:tcPr>
            <w:tcW w:type="dxa" w:w="310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Domain</w:t>
            </w:r>
          </w:p>
        </w:tc>
        <w:tc>
          <w:tcPr>
            <w:tcW w:type="dxa" w:w="90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Range</w:t>
            </w:r>
          </w:p>
        </w:tc>
        <w:tc>
          <w:tcPr>
            <w:tcW w:type="dxa" w:w="100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Rows</w:t>
            </w:r>
          </w:p>
        </w:tc>
        <w:tc>
          <w:tcPr>
            <w:tcW w:type="dxa" w:w="100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Enforced</w:t>
            </w:r>
          </w:p>
        </w:tc>
        <w:tc>
          <w:tcPr>
            <w:tcW w:type="dxa" w:w="100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Advisory</w:t>
            </w:r>
          </w:p>
        </w:tc>
        <w:tc>
          <w:tcPr>
            <w:tcW w:type="dxa" w:w="180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Parameterised</w:t>
            </w:r>
          </w:p>
        </w:tc>
      </w:tr>
      <w:tr>
        <w:tc>
          <w:tcPr>
            <w:tcW w:type="dxa" w:w="5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I</w:t>
            </w:r>
          </w:p>
        </w:tc>
        <w:tc>
          <w:tcPr>
            <w:tcW w:type="dxa" w:w="31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Universal hard constraints</w:t>
            </w:r>
          </w:p>
        </w:tc>
        <w:tc>
          <w:tcPr>
            <w:tcW w:type="dxa" w:w="9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1–10</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10</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10</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0</w:t>
            </w:r>
          </w:p>
        </w:tc>
        <w:tc>
          <w:tcPr>
            <w:tcW w:type="dxa" w:w="18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0</w:t>
            </w:r>
          </w:p>
        </w:tc>
      </w:tr>
      <w:tr>
        <w:tc>
          <w:tcPr>
            <w:tcW w:type="dxa" w:w="56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II</w:t>
            </w:r>
          </w:p>
        </w:tc>
        <w:tc>
          <w:tcPr>
            <w:tcW w:type="dxa" w:w="31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Instructor workload &amp; legal</w:t>
            </w:r>
          </w:p>
        </w:tc>
        <w:tc>
          <w:tcPr>
            <w:tcW w:type="dxa" w:w="9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11–30</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20</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17</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3</w:t>
            </w:r>
          </w:p>
        </w:tc>
        <w:tc>
          <w:tcPr>
            <w:tcW w:type="dxa" w:w="18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11</w:t>
            </w:r>
          </w:p>
        </w:tc>
      </w:tr>
      <w:tr>
        <w:tc>
          <w:tcPr>
            <w:tcW w:type="dxa" w:w="5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III</w:t>
            </w:r>
          </w:p>
        </w:tc>
        <w:tc>
          <w:tcPr>
            <w:tcW w:type="dxa" w:w="31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Instructor preferences</w:t>
            </w:r>
          </w:p>
        </w:tc>
        <w:tc>
          <w:tcPr>
            <w:tcW w:type="dxa" w:w="9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31–40</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10</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9</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w:t>
            </w:r>
          </w:p>
        </w:tc>
        <w:tc>
          <w:tcPr>
            <w:tcW w:type="dxa" w:w="18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0</w:t>
            </w:r>
          </w:p>
        </w:tc>
      </w:tr>
      <w:tr>
        <w:tc>
          <w:tcPr>
            <w:tcW w:type="dxa" w:w="56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IV</w:t>
            </w:r>
          </w:p>
        </w:tc>
        <w:tc>
          <w:tcPr>
            <w:tcW w:type="dxa" w:w="31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Student cohort &amp; pathway</w:t>
            </w:r>
          </w:p>
        </w:tc>
        <w:tc>
          <w:tcPr>
            <w:tcW w:type="dxa" w:w="9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41–60</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20</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15</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5</w:t>
            </w:r>
          </w:p>
        </w:tc>
        <w:tc>
          <w:tcPr>
            <w:tcW w:type="dxa" w:w="18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4</w:t>
            </w:r>
          </w:p>
        </w:tc>
      </w:tr>
      <w:tr>
        <w:tc>
          <w:tcPr>
            <w:tcW w:type="dxa" w:w="5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V</w:t>
            </w:r>
          </w:p>
        </w:tc>
        <w:tc>
          <w:tcPr>
            <w:tcW w:type="dxa" w:w="31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Course &amp; curriculum sequencing</w:t>
            </w:r>
          </w:p>
        </w:tc>
        <w:tc>
          <w:tcPr>
            <w:tcW w:type="dxa" w:w="9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61–80</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20</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13</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7</w:t>
            </w:r>
          </w:p>
        </w:tc>
        <w:tc>
          <w:tcPr>
            <w:tcW w:type="dxa" w:w="18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2</w:t>
            </w:r>
          </w:p>
        </w:tc>
      </w:tr>
      <w:tr>
        <w:tc>
          <w:tcPr>
            <w:tcW w:type="dxa" w:w="56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VI</w:t>
            </w:r>
          </w:p>
        </w:tc>
        <w:tc>
          <w:tcPr>
            <w:tcW w:type="dxa" w:w="31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Standard time blocks &amp; grid rules</w:t>
            </w:r>
          </w:p>
        </w:tc>
        <w:tc>
          <w:tcPr>
            <w:tcW w:type="dxa" w:w="9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81–90</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10</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7</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3</w:t>
            </w:r>
          </w:p>
        </w:tc>
        <w:tc>
          <w:tcPr>
            <w:tcW w:type="dxa" w:w="18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3</w:t>
            </w:r>
          </w:p>
        </w:tc>
      </w:tr>
      <w:tr>
        <w:tc>
          <w:tcPr>
            <w:tcW w:type="dxa" w:w="5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VII</w:t>
            </w:r>
          </w:p>
        </w:tc>
        <w:tc>
          <w:tcPr>
            <w:tcW w:type="dxa" w:w="31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Room types &amp; physical capabilities</w:t>
            </w:r>
          </w:p>
        </w:tc>
        <w:tc>
          <w:tcPr>
            <w:tcW w:type="dxa" w:w="9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91–110</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20</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19</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w:t>
            </w:r>
          </w:p>
        </w:tc>
        <w:tc>
          <w:tcPr>
            <w:tcW w:type="dxa" w:w="18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w:t>
            </w:r>
          </w:p>
        </w:tc>
      </w:tr>
      <w:tr>
        <w:tc>
          <w:tcPr>
            <w:tcW w:type="dxa" w:w="56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VIII</w:t>
            </w:r>
          </w:p>
        </w:tc>
        <w:tc>
          <w:tcPr>
            <w:tcW w:type="dxa" w:w="31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Specialised equipment &amp; IT</w:t>
            </w:r>
          </w:p>
        </w:tc>
        <w:tc>
          <w:tcPr>
            <w:tcW w:type="dxa" w:w="9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111–125</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15</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15</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0</w:t>
            </w:r>
          </w:p>
        </w:tc>
        <w:tc>
          <w:tcPr>
            <w:tcW w:type="dxa" w:w="18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2</w:t>
            </w:r>
          </w:p>
        </w:tc>
      </w:tr>
      <w:tr>
        <w:tc>
          <w:tcPr>
            <w:tcW w:type="dxa" w:w="5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IX</w:t>
            </w:r>
          </w:p>
        </w:tc>
        <w:tc>
          <w:tcPr>
            <w:tcW w:type="dxa" w:w="31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Campus geography &amp; travel times</w:t>
            </w:r>
          </w:p>
        </w:tc>
        <w:tc>
          <w:tcPr>
            <w:tcW w:type="dxa" w:w="9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126–135</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10</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8</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2</w:t>
            </w:r>
          </w:p>
        </w:tc>
        <w:tc>
          <w:tcPr>
            <w:tcW w:type="dxa" w:w="18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3</w:t>
            </w:r>
          </w:p>
        </w:tc>
      </w:tr>
      <w:tr>
        <w:tc>
          <w:tcPr>
            <w:tcW w:type="dxa" w:w="56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X</w:t>
            </w:r>
          </w:p>
        </w:tc>
        <w:tc>
          <w:tcPr>
            <w:tcW w:type="dxa" w:w="31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Maintenance, setup &amp; logistics</w:t>
            </w:r>
          </w:p>
        </w:tc>
        <w:tc>
          <w:tcPr>
            <w:tcW w:type="dxa" w:w="9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136–145</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10</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8</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2</w:t>
            </w:r>
          </w:p>
        </w:tc>
        <w:tc>
          <w:tcPr>
            <w:tcW w:type="dxa" w:w="18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3</w:t>
            </w:r>
          </w:p>
        </w:tc>
      </w:tr>
      <w:tr>
        <w:tc>
          <w:tcPr>
            <w:tcW w:type="dxa" w:w="5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XI</w:t>
            </w:r>
          </w:p>
        </w:tc>
        <w:tc>
          <w:tcPr>
            <w:tcW w:type="dxa" w:w="31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Accessibility &amp; inclusivity</w:t>
            </w:r>
          </w:p>
        </w:tc>
        <w:tc>
          <w:tcPr>
            <w:tcW w:type="dxa" w:w="9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146–155</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10</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7</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3</w:t>
            </w:r>
          </w:p>
        </w:tc>
        <w:tc>
          <w:tcPr>
            <w:tcW w:type="dxa" w:w="18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w:t>
            </w:r>
          </w:p>
        </w:tc>
      </w:tr>
      <w:tr>
        <w:tc>
          <w:tcPr>
            <w:tcW w:type="dxa" w:w="56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XII</w:t>
            </w:r>
          </w:p>
        </w:tc>
        <w:tc>
          <w:tcPr>
            <w:tcW w:type="dxa" w:w="31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Departmental &amp; administrative</w:t>
            </w:r>
          </w:p>
        </w:tc>
        <w:tc>
          <w:tcPr>
            <w:tcW w:type="dxa" w:w="9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156–165</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10</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8</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2</w:t>
            </w:r>
          </w:p>
        </w:tc>
        <w:tc>
          <w:tcPr>
            <w:tcW w:type="dxa" w:w="18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4</w:t>
            </w:r>
          </w:p>
        </w:tc>
      </w:tr>
      <w:tr>
        <w:tc>
          <w:tcPr>
            <w:tcW w:type="dxa" w:w="5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XIII</w:t>
            </w:r>
          </w:p>
        </w:tc>
        <w:tc>
          <w:tcPr>
            <w:tcW w:type="dxa" w:w="31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Examination constraints</w:t>
            </w:r>
          </w:p>
        </w:tc>
        <w:tc>
          <w:tcPr>
            <w:tcW w:type="dxa" w:w="9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166–175</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10</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2</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8</w:t>
            </w:r>
          </w:p>
        </w:tc>
        <w:tc>
          <w:tcPr>
            <w:tcW w:type="dxa" w:w="18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3</w:t>
            </w:r>
          </w:p>
        </w:tc>
      </w:tr>
      <w:tr>
        <w:tc>
          <w:tcPr>
            <w:tcW w:type="dxa" w:w="56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XIV</w:t>
            </w:r>
          </w:p>
        </w:tc>
        <w:tc>
          <w:tcPr>
            <w:tcW w:type="dxa" w:w="31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Financial, environmental &amp; energy</w:t>
            </w:r>
          </w:p>
        </w:tc>
        <w:tc>
          <w:tcPr>
            <w:tcW w:type="dxa" w:w="9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176–180</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5</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4</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w:t>
            </w:r>
          </w:p>
        </w:tc>
        <w:tc>
          <w:tcPr>
            <w:tcW w:type="dxa" w:w="18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2</w:t>
            </w:r>
          </w:p>
        </w:tc>
      </w:tr>
      <w:tr>
        <w:tc>
          <w:tcPr>
            <w:tcW w:type="dxa" w:w="5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XV</w:t>
            </w:r>
          </w:p>
        </w:tc>
        <w:tc>
          <w:tcPr>
            <w:tcW w:type="dxa" w:w="31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Granular sub-constraints &amp; nuances</w:t>
            </w:r>
          </w:p>
        </w:tc>
        <w:tc>
          <w:tcPr>
            <w:tcW w:type="dxa" w:w="9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181–500</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320</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159</w:t>
            </w:r>
          </w:p>
        </w:tc>
        <w:tc>
          <w:tcPr>
            <w:tcW w:type="dxa" w:w="1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161</w:t>
            </w:r>
          </w:p>
        </w:tc>
        <w:tc>
          <w:tcPr>
            <w:tcW w:type="dxa" w:w="18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33</w:t>
            </w:r>
          </w:p>
        </w:tc>
      </w:tr>
      <w:tr>
        <w:tc>
          <w:tcPr>
            <w:tcW w:type="dxa" w:w="560"/>
            <w:shd w:fill="F7F9FB" w:color="auto" w:val="clear"/>
            <w:tcMar>
              <w:top w:type="dxa" w:w="55"/>
              <w:left w:type="dxa" w:w="105"/>
              <w:bottom w:type="dxa" w:w="55"/>
              <w:right w:type="dxa" w:w="105"/>
            </w:tcMar>
          </w:tcPr>
          <w:p>
            <w:pPr>
              <w:spacing w:after="0" w:before="0" w:line="230"/>
            </w:pPr>
            <w:r>
              <w:rPr>
                <w:rFonts w:ascii="Calibri" w:cs="Calibri" w:eastAsia="Calibri" w:hAnsi="Calibri"/>
                <w:b/>
                <w:bCs/>
                <w:color w:val="1A1A1A"/>
                <w:sz w:val="17"/>
                <w:szCs w:val="17"/>
              </w:rPr>
              <w:t xml:space="preserve"/>
            </w:r>
          </w:p>
        </w:tc>
        <w:tc>
          <w:tcPr>
            <w:tcW w:type="dxa" w:w="3100"/>
            <w:shd w:fill="F7F9FB" w:color="auto" w:val="clear"/>
            <w:tcMar>
              <w:top w:type="dxa" w:w="55"/>
              <w:left w:type="dxa" w:w="105"/>
              <w:bottom w:type="dxa" w:w="55"/>
              <w:right w:type="dxa" w:w="105"/>
            </w:tcMar>
          </w:tcPr>
          <w:p>
            <w:pPr>
              <w:spacing w:after="0" w:before="0" w:line="230"/>
            </w:pPr>
            <w:r>
              <w:rPr>
                <w:rFonts w:ascii="Calibri" w:cs="Calibri" w:eastAsia="Calibri" w:hAnsi="Calibri"/>
                <w:b/>
                <w:bCs/>
                <w:color w:val="1A1A1A"/>
                <w:sz w:val="17"/>
                <w:szCs w:val="17"/>
              </w:rPr>
              <w:t xml:space="preserve">Total</w:t>
            </w:r>
          </w:p>
        </w:tc>
        <w:tc>
          <w:tcPr>
            <w:tcW w:type="dxa" w:w="900"/>
            <w:shd w:fill="F7F9FB" w:color="auto" w:val="clear"/>
            <w:tcMar>
              <w:top w:type="dxa" w:w="55"/>
              <w:left w:type="dxa" w:w="105"/>
              <w:bottom w:type="dxa" w:w="55"/>
              <w:right w:type="dxa" w:w="105"/>
            </w:tcMar>
          </w:tcPr>
          <w:p>
            <w:pPr>
              <w:spacing w:after="0" w:before="0" w:line="230"/>
            </w:pPr>
            <w:r>
              <w:rPr>
                <w:rFonts w:ascii="Calibri" w:cs="Calibri" w:eastAsia="Calibri" w:hAnsi="Calibri"/>
                <w:b/>
                <w:bCs/>
                <w:color w:val="1A1A1A"/>
                <w:sz w:val="17"/>
                <w:szCs w:val="17"/>
              </w:rPr>
              <w:t xml:space="preserve">1–500</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b/>
                <w:bCs/>
                <w:color w:val="1A1A1A"/>
                <w:sz w:val="17"/>
                <w:szCs w:val="17"/>
              </w:rPr>
              <w:t xml:space="preserve">500</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b/>
                <w:bCs/>
                <w:color w:val="1A1A1A"/>
                <w:sz w:val="17"/>
                <w:szCs w:val="17"/>
              </w:rPr>
              <w:t xml:space="preserve">301</w:t>
            </w:r>
          </w:p>
        </w:tc>
        <w:tc>
          <w:tcPr>
            <w:tcW w:type="dxa" w:w="1000"/>
            <w:shd w:fill="F7F9FB" w:color="auto" w:val="clear"/>
            <w:tcMar>
              <w:top w:type="dxa" w:w="55"/>
              <w:left w:type="dxa" w:w="105"/>
              <w:bottom w:type="dxa" w:w="55"/>
              <w:right w:type="dxa" w:w="105"/>
            </w:tcMar>
          </w:tcPr>
          <w:p>
            <w:pPr>
              <w:spacing w:after="0" w:before="0" w:line="230"/>
            </w:pPr>
            <w:r>
              <w:rPr>
                <w:rFonts w:ascii="Calibri" w:cs="Calibri" w:eastAsia="Calibri" w:hAnsi="Calibri"/>
                <w:b/>
                <w:bCs/>
                <w:color w:val="1A1A1A"/>
                <w:sz w:val="17"/>
                <w:szCs w:val="17"/>
              </w:rPr>
              <w:t xml:space="preserve">199</w:t>
            </w:r>
          </w:p>
        </w:tc>
        <w:tc>
          <w:tcPr>
            <w:tcW w:type="dxa" w:w="1800"/>
            <w:shd w:fill="F7F9FB" w:color="auto" w:val="clear"/>
            <w:tcMar>
              <w:top w:type="dxa" w:w="55"/>
              <w:left w:type="dxa" w:w="105"/>
              <w:bottom w:type="dxa" w:w="55"/>
              <w:right w:type="dxa" w:w="105"/>
            </w:tcMar>
          </w:tcPr>
          <w:p>
            <w:pPr>
              <w:spacing w:after="0" w:before="0" w:line="230"/>
            </w:pPr>
            <w:r>
              <w:rPr>
                <w:rFonts w:ascii="Calibri" w:cs="Calibri" w:eastAsia="Calibri" w:hAnsi="Calibri"/>
                <w:b/>
                <w:bCs/>
                <w:color w:val="1A1A1A"/>
                <w:sz w:val="17"/>
                <w:szCs w:val="17"/>
              </w:rPr>
              <w:t xml:space="preserve">72</w:t>
            </w:r>
          </w:p>
        </w:tc>
      </w:tr>
    </w:tbl>
    <w:p>
      <w:pPr>
        <w:spacing w:after="110" w:before="100" w:line="250"/>
      </w:pPr>
      <w:r>
        <w:rPr>
          <w:rFonts w:ascii="Calibri" w:cs="Calibri" w:eastAsia="Calibri" w:hAnsi="Calibri"/>
          <w:color w:val="1A1A1A"/>
          <w:sz w:val="19"/>
          <w:szCs w:val="19"/>
        </w:rPr>
        <w:t xml:space="preserve">Across the whole catalogue: </w:t>
      </w:r>
      <w:r>
        <w:rPr>
          <w:rFonts w:ascii="Calibri" w:cs="Calibri" w:eastAsia="Calibri" w:hAnsi="Calibri"/>
          <w:b/>
          <w:bCs/>
          <w:color w:val="1A1A1A"/>
          <w:sz w:val="19"/>
          <w:szCs w:val="19"/>
        </w:rPr>
        <w:t xml:space="preserve">410 hard and 90 soft</w:t>
      </w:r>
      <w:r>
        <w:rPr>
          <w:rFonts w:ascii="Calibri" w:cs="Calibri" w:eastAsia="Calibri" w:hAnsi="Calibri"/>
          <w:color w:val="1A1A1A"/>
          <w:sz w:val="19"/>
          <w:szCs w:val="19"/>
        </w:rPr>
        <w:t xml:space="preserve">; </w:t>
      </w:r>
      <w:r>
        <w:rPr>
          <w:rFonts w:ascii="Calibri" w:cs="Calibri" w:eastAsia="Calibri" w:hAnsi="Calibri"/>
          <w:b/>
          <w:bCs/>
          <w:color w:val="1A1A1A"/>
          <w:sz w:val="19"/>
          <w:szCs w:val="19"/>
        </w:rPr>
        <w:t xml:space="preserve">301 enforced and 199 advisory</w:t>
      </w:r>
      <w:r>
        <w:rPr>
          <w:rFonts w:ascii="Calibri" w:cs="Calibri" w:eastAsia="Calibri" w:hAnsi="Calibri"/>
          <w:color w:val="1A1A1A"/>
          <w:sz w:val="19"/>
          <w:szCs w:val="19"/>
        </w:rPr>
        <w:t xml:space="preserve">; </w:t>
      </w:r>
      <w:r>
        <w:rPr>
          <w:rFonts w:ascii="Calibri" w:cs="Calibri" w:eastAsia="Calibri" w:hAnsi="Calibri"/>
          <w:b/>
          <w:bCs/>
          <w:color w:val="1A1A1A"/>
          <w:sz w:val="19"/>
          <w:szCs w:val="19"/>
        </w:rPr>
        <w:t xml:space="preserve">72 rows expose 88 editable parameters</w:t>
      </w:r>
      <w:r>
        <w:rPr>
          <w:rFonts w:ascii="Calibri" w:cs="Calibri" w:eastAsia="Calibri" w:hAnsi="Calibri"/>
          <w:color w:val="1A1A1A"/>
          <w:sz w:val="19"/>
          <w:szCs w:val="19"/>
        </w:rPr>
        <w:t xml:space="preserve"> between them. Of the 301 enforced rows, 227 are hard and 74 are soft.</w:t>
      </w:r>
    </w:p>
    <w:p>
      <w:pPr>
        <w:pBdr>
          <w:top w:val="single" w:color="EAF1F8" w:sz="2" w:space="5"/>
          <w:bottom w:val="single" w:color="EAF1F8" w:sz="2" w:space="5"/>
          <w:left w:val="single" w:color="1F4E79" w:sz="18" w:space="8"/>
          <w:right w:val="single" w:color="EAF1F8" w:sz="2" w:space="5"/>
        </w:pBdr>
        <w:shd w:fill="EAF1F8" w:color="auto" w:val="clear"/>
        <w:spacing w:after="110" w:before="90" w:line="250"/>
        <w:ind w:left="120" w:right="120"/>
      </w:pPr>
      <w:r>
        <w:rPr>
          <w:rFonts w:ascii="Calibri" w:cs="Calibri" w:eastAsia="Calibri" w:hAnsi="Calibri"/>
          <w:b/>
          <w:bCs/>
          <w:color w:val="1A1A1A"/>
          <w:sz w:val="19"/>
          <w:szCs w:val="19"/>
        </w:rPr>
        <w:t xml:space="preserve">Why 199 stay advisory. </w:t>
      </w:r>
      <w:r>
        <w:rPr>
          <w:rFonts w:ascii="Calibri" w:cs="Calibri" w:eastAsia="Calibri" w:hAnsi="Calibri"/>
          <w:color w:val="1A1A1A"/>
          <w:sz w:val="19"/>
          <w:szCs w:val="19"/>
        </w:rPr>
        <w:t xml:space="preserve">Exam-week seating, hazardous-waste pickup windows, catering rotas and ceremony logistics cannot be decided from a weekly-teaching data model. They remain switchable and weighted, are exported for a human to sign off, and are labelled advisory in the interface. Extending the model — an assessment entity, a facilities calendar — is the path to enforcing more of them, and section 16 works through exactly that for examinations.</w:t>
      </w:r>
    </w:p>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7 · FROM WRITTEN CONSTRAINT TO EXECUTABLE CHECK</w:t>
      </w:r>
    </w:p>
    <w:p>
      <w:pPr>
        <w:spacing w:after="90" w:before="0" w:line="250"/>
      </w:pPr>
      <w:r>
        <w:rPr>
          <w:rFonts w:ascii="Calibri" w:cs="Calibri" w:eastAsia="Calibri" w:hAnsi="Calibri"/>
          <w:color w:val="1A1A1A"/>
          <w:sz w:val="19"/>
          <w:szCs w:val="19"/>
        </w:rPr>
        <w:t xml:space="preserve">A constraint in Aula is data, and the chain from that data to a decision about one candidate placement is short and uniform.</w:t>
      </w:r>
    </w:p>
    <w:p>
      <w:pPr>
        <w:pStyle w:val="ListParagraph"/>
        <w:numPr>
          <w:ilvl w:val="0"/>
          <w:numId w:val="3"/>
        </w:numPr>
        <w:spacing w:after="50" w:before="0" w:line="250"/>
      </w:pPr>
      <w:r>
        <w:rPr>
          <w:rFonts w:ascii="Calibri" w:cs="Calibri" w:eastAsia="Calibri" w:hAnsi="Calibri"/>
          <w:b/>
          <w:bCs/>
          <w:color w:val="1A1A1A"/>
          <w:sz w:val="19"/>
          <w:szCs w:val="19"/>
        </w:rPr>
        <w:t xml:space="preserve">A row is authored verbatim</w:t>
      </w:r>
      <w:r>
        <w:rPr>
          <w:rFonts w:ascii="Calibri" w:cs="Calibri" w:eastAsia="Calibri" w:hAnsi="Calibri"/>
          <w:color w:val="1A1A1A"/>
          <w:sz w:val="19"/>
          <w:szCs w:val="19"/>
        </w:rPr>
        <w:t xml:space="preserve"> in rows1–3.ts, carrying its ordinal, its text, its domain, a hard/soft flag, an optional rule key, static args and editable params.</w:t>
      </w:r>
    </w:p>
    <w:p>
      <w:pPr>
        <w:pStyle w:val="ListParagraph"/>
        <w:numPr>
          <w:ilvl w:val="0"/>
          <w:numId w:val="3"/>
        </w:numPr>
        <w:spacing w:after="50" w:before="0" w:line="250"/>
      </w:pPr>
      <w:r>
        <w:rPr>
          <w:rFonts w:ascii="Calibri" w:cs="Calibri" w:eastAsia="Calibri" w:hAnsi="Calibri"/>
          <w:b/>
          <w:bCs/>
          <w:color w:val="1A1A1A"/>
          <w:sz w:val="19"/>
          <w:szCs w:val="19"/>
        </w:rPr>
        <w:t xml:space="preserve">catalogue.ts assembles</w:t>
      </w:r>
      <w:r>
        <w:rPr>
          <w:rFonts w:ascii="Calibri" w:cs="Calibri" w:eastAsia="Calibri" w:hAnsi="Calibri"/>
          <w:color w:val="1A1A1A"/>
          <w:sz w:val="19"/>
          <w:szCs w:val="19"/>
        </w:rPr>
        <w:t xml:space="preserve"> the rows into a flat, sorted, integrity-checked array, filling each row’s hardness from its domain default unless the row overrides it.</w:t>
      </w:r>
    </w:p>
    <w:p>
      <w:pPr>
        <w:pStyle w:val="ListParagraph"/>
        <w:numPr>
          <w:ilvl w:val="0"/>
          <w:numId w:val="3"/>
        </w:numPr>
        <w:spacing w:after="50" w:before="0" w:line="250"/>
      </w:pPr>
      <w:r>
        <w:rPr>
          <w:rFonts w:ascii="Calibri" w:cs="Calibri" w:eastAsia="Calibri" w:hAnsi="Calibri"/>
          <w:b/>
          <w:bCs/>
          <w:color w:val="1A1A1A"/>
          <w:sz w:val="19"/>
          <w:szCs w:val="19"/>
        </w:rPr>
        <w:t xml:space="preserve">A row with no rule key is advisory</w:t>
      </w:r>
      <w:r>
        <w:rPr>
          <w:rFonts w:ascii="Calibri" w:cs="Calibri" w:eastAsia="Calibri" w:hAnsi="Calibri"/>
          <w:color w:val="1A1A1A"/>
          <w:sz w:val="19"/>
          <w:szCs w:val="19"/>
        </w:rPr>
        <w:t xml:space="preserve"> — tracked, weighted, exported, never checked. A row with a rule key names an entry in the registry RULES in engine/rules.ts, typed as Record&lt;RuleKey, RuleImpl&gt;.</w:t>
      </w:r>
    </w:p>
    <w:p>
      <w:pPr>
        <w:pStyle w:val="ListParagraph"/>
        <w:numPr>
          <w:ilvl w:val="0"/>
          <w:numId w:val="3"/>
        </w:numPr>
        <w:spacing w:after="50" w:before="0" w:line="250"/>
      </w:pPr>
      <w:r>
        <w:rPr>
          <w:rFonts w:ascii="Calibri" w:cs="Calibri" w:eastAsia="Calibri" w:hAnsi="Calibri"/>
          <w:b/>
          <w:bCs/>
          <w:color w:val="1A1A1A"/>
          <w:sz w:val="19"/>
          <w:szCs w:val="19"/>
        </w:rPr>
        <w:t xml:space="preserve">RuleImpl has exactly three optional members. </w:t>
      </w:r>
      <w:r>
        <w:rPr>
          <w:rFonts w:ascii="Consolas" w:cs="Consolas" w:eastAsia="Consolas" w:hAnsi="Consolas"/>
          <w:color w:val="1A1A1A"/>
          <w:sz w:val="16"/>
          <w:szCs w:val="16"/>
        </w:rPr>
        <w:t xml:space="preserve">check(candidate, occupancy, ctx, params)</w:t>
      </w:r>
      <w:r>
        <w:rPr>
          <w:rFonts w:ascii="Calibri" w:cs="Calibri" w:eastAsia="Calibri" w:hAnsi="Calibri"/>
          <w:color w:val="1A1A1A"/>
          <w:sz w:val="19"/>
          <w:szCs w:val="19"/>
        </w:rPr>
        <w:t xml:space="preserve"> returns a refusal string or null; </w:t>
      </w:r>
      <w:r>
        <w:rPr>
          <w:rFonts w:ascii="Consolas" w:cs="Consolas" w:eastAsia="Consolas" w:hAnsi="Consolas"/>
          <w:color w:val="1A1A1A"/>
          <w:sz w:val="16"/>
          <w:szCs w:val="16"/>
        </w:rPr>
        <w:t xml:space="preserve">cost(...)</w:t>
      </w:r>
      <w:r>
        <w:rPr>
          <w:rFonts w:ascii="Calibri" w:cs="Calibri" w:eastAsia="Calibri" w:hAnsi="Calibri"/>
          <w:color w:val="1A1A1A"/>
          <w:sz w:val="19"/>
          <w:szCs w:val="19"/>
        </w:rPr>
        <w:t xml:space="preserve"> returns 0 to 1; </w:t>
      </w:r>
      <w:r>
        <w:rPr>
          <w:rFonts w:ascii="Consolas" w:cs="Consolas" w:eastAsia="Consolas" w:hAnsi="Consolas"/>
          <w:color w:val="1A1A1A"/>
          <w:sz w:val="16"/>
          <w:szCs w:val="16"/>
        </w:rPr>
        <w:t xml:space="preserve">audit(sessions, ctx, params)</w:t>
      </w:r>
      <w:r>
        <w:rPr>
          <w:rFonts w:ascii="Calibri" w:cs="Calibri" w:eastAsia="Calibri" w:hAnsi="Calibri"/>
          <w:color w:val="1A1A1A"/>
          <w:sz w:val="19"/>
          <w:szCs w:val="19"/>
        </w:rPr>
        <w:t xml:space="preserve"> returns messages about the finished schedule.</w:t>
      </w:r>
    </w:p>
    <w:p>
      <w:pPr>
        <w:pStyle w:val="ListParagraph"/>
        <w:numPr>
          <w:ilvl w:val="0"/>
          <w:numId w:val="3"/>
        </w:numPr>
        <w:spacing w:after="50" w:before="0" w:line="250"/>
      </w:pPr>
      <w:r>
        <w:rPr>
          <w:rFonts w:ascii="Calibri" w:cs="Calibri" w:eastAsia="Calibri" w:hAnsi="Calibri"/>
          <w:b/>
          <w:bCs/>
          <w:color w:val="1A1A1A"/>
          <w:sz w:val="19"/>
          <w:szCs w:val="19"/>
        </w:rPr>
        <w:t xml:space="preserve">Parameters are merged at solve time</w:t>
      </w:r>
      <w:r>
        <w:rPr>
          <w:rFonts w:ascii="Calibri" w:cs="Calibri" w:eastAsia="Calibri" w:hAnsi="Calibri"/>
          <w:color w:val="1A1A1A"/>
          <w:sz w:val="19"/>
          <w:szCs w:val="19"/>
        </w:rPr>
        <w:t xml:space="preserve"> as {...row.args, ...userState.values}. A rule never reads constraint prose — it reads numbers. Changing minimum overnight rest from 12 hours to 10 is a click, not a code change.</w:t>
      </w:r>
    </w:p>
    <w:p>
      <w:pPr>
        <w:pStyle w:val="ListParagraph"/>
        <w:numPr>
          <w:ilvl w:val="0"/>
          <w:numId w:val="3"/>
        </w:numPr>
        <w:spacing w:after="50" w:before="0" w:line="250"/>
      </w:pPr>
      <w:r>
        <w:rPr>
          <w:rFonts w:ascii="Calibri" w:cs="Calibri" w:eastAsia="Calibri" w:hAnsi="Calibri"/>
          <w:b/>
          <w:bCs/>
          <w:color w:val="1A1A1A"/>
          <w:sz w:val="19"/>
          <w:szCs w:val="19"/>
        </w:rPr>
        <w:t xml:space="preserve">activeRules() routes each enabled row</w:t>
      </w:r>
      <w:r>
        <w:rPr>
          <w:rFonts w:ascii="Calibri" w:cs="Calibri" w:eastAsia="Calibri" w:hAnsi="Calibri"/>
          <w:color w:val="1A1A1A"/>
          <w:sz w:val="19"/>
          <w:szCs w:val="19"/>
        </w:rPr>
        <w:t xml:space="preserve"> by hardness and by what its implementation offers: a hard row with a check becomes a gate, anything else with a cost or a check becomes a price, and an audit-only implementation runs after the schedule exists.</w:t>
      </w:r>
    </w:p>
    <w:p>
      <w:pPr>
        <w:pStyle w:val="ListParagraph"/>
        <w:numPr>
          <w:ilvl w:val="0"/>
          <w:numId w:val="3"/>
        </w:numPr>
        <w:spacing w:after="50" w:before="0" w:line="250"/>
      </w:pPr>
      <w:r>
        <w:rPr>
          <w:rFonts w:ascii="Calibri" w:cs="Calibri" w:eastAsia="Calibri" w:hAnsi="Calibri"/>
          <w:b/>
          <w:bCs/>
          <w:color w:val="1A1A1A"/>
          <w:sz w:val="19"/>
          <w:szCs w:val="19"/>
        </w:rPr>
        <w:t xml:space="preserve">Hard gates are sorted cheapest-first</w:t>
      </w:r>
      <w:r>
        <w:rPr>
          <w:rFonts w:ascii="Calibri" w:cs="Calibri" w:eastAsia="Calibri" w:hAnsi="Calibri"/>
          <w:color w:val="1A1A1A"/>
          <w:sz w:val="19"/>
          <w:szCs w:val="19"/>
        </w:rPr>
        <w:t xml:space="preserve"> by a table called FAST_FIRST, so the three constant-time overlap checks run before anything expensive and rejection is fast.</w:t>
      </w:r>
    </w:p>
    <w:p>
      <w:pPr>
        <w:spacing w:after="120" w:before="110" w:line="250"/>
      </w:pPr>
      <w:r>
        <w:rPr>
          <w:rFonts w:ascii="Calibri" w:cs="Calibri" w:eastAsia="Calibri" w:hAnsi="Calibri"/>
          <w:b/>
          <w:bCs/>
          <w:color w:val="1A1A1A"/>
          <w:sz w:val="19"/>
          <w:szCs w:val="19"/>
        </w:rPr>
        <w:t xml:space="preserve">Where the 301 enforced rows actually go: </w:t>
      </w:r>
      <w:r>
        <w:rPr>
          <w:rFonts w:ascii="Calibri" w:cs="Calibri" w:eastAsia="Calibri" w:hAnsi="Calibri"/>
          <w:color w:val="1A1A1A"/>
          <w:sz w:val="19"/>
          <w:szCs w:val="19"/>
        </w:rPr>
        <w:t xml:space="preserve">208 become hard gates, 79 become soft prices, and 14 are audit-only. The registry behind them declares 124 rule keys, all implemented — 69 expose only check, 47 only cost, 8 only audit, and the three sets are disjoint. 121 of the 124 keys are referenced by at least one row; roomRestricted, facultyMaxPerDay and facultyQualified are declared and referenced by none. Qualification is instead enforced upstream, by pre-filtering in buildDemands and by canTeach in data/model.ts, which is why the rule was never wired.</w:t>
      </w:r>
    </w:p>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8 · THE ALGORITHMIC SHAPES</w:t>
      </w:r>
    </w:p>
    <w:p>
      <w:pPr>
        <w:spacing w:after="90" w:before="0" w:line="250"/>
      </w:pPr>
      <w:r>
        <w:rPr>
          <w:rFonts w:ascii="Calibri" w:cs="Calibri" w:eastAsia="Calibri" w:hAnsi="Calibri"/>
          <w:color w:val="1A1A1A"/>
          <w:sz w:val="19"/>
          <w:szCs w:val="19"/>
        </w:rPr>
        <w:t xml:space="preserve">“Constraint solving” is not one algorithm here. Each rule family is the cheapest computation that can decide its question against an incrementally maintained index, which is what keeps a full solve near two seconds rather than quadratic in the number of placements.</w:t>
      </w:r>
    </w:p>
    <w:tbl>
      <w:tblPr>
        <w:tblW w:type="dxa" w:w="9360"/>
        <w:tblBorders>
          <w:top w:val="single" w:color="D0D7DE" w:sz="3"/>
          <w:left w:val="single" w:color="D0D7DE" w:sz="3"/>
          <w:bottom w:val="single" w:color="D0D7DE" w:sz="3"/>
          <w:right w:val="single" w:color="D0D7DE" w:sz="3"/>
          <w:insideH w:val="single" w:color="D0D7DE" w:sz="3"/>
          <w:insideV w:val="single" w:color="D0D7DE" w:sz="3"/>
        </w:tblBorders>
      </w:tblPr>
      <w:tblGrid>
        <w:gridCol w:w="2000"/>
        <w:gridCol w:w="2350"/>
        <w:gridCol w:w="5010"/>
      </w:tblGrid>
      <w:tr>
        <w:trPr>
          <w:tblHeader/>
        </w:trPr>
        <w:tc>
          <w:tcPr>
            <w:tcW w:type="dxa" w:w="200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Shape</w:t>
            </w:r>
          </w:p>
        </w:tc>
        <w:tc>
          <w:tcPr>
            <w:tcW w:type="dxa" w:w="235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Rules</w:t>
            </w:r>
          </w:p>
        </w:tc>
        <w:tc>
          <w:tcPr>
            <w:tcW w:type="dxa" w:w="501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What actually happens</w:t>
            </w:r>
          </w:p>
        </w:tc>
      </w:tr>
      <w:tr>
        <w:tc>
          <w:tcPr>
            <w:tcW w:type="dxa" w:w="2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Constant-time set membership</w:t>
            </w:r>
          </w:p>
        </w:tc>
        <w:tc>
          <w:tcPr>
            <w:tcW w:type="dxa" w:w="2350"/>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facultyNoOverlap, roomNoOverlap, cohortNoOverlap</w:t>
            </w:r>
          </w:p>
        </w:tc>
        <w:tc>
          <w:tcPr>
            <w:tcW w:type="dxa" w:w="50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The Occupancy index holds composite keys such as `${facultyId}:${day}:${slot}` in Sets, maintained incrementally as sessions are added. Each check is one lookup per occupied slot. Recomputing occupancy per candidate is precisely what makes naive schedulers quadratic.</w:t>
            </w:r>
          </w:p>
        </w:tc>
      </w:tr>
      <w:tr>
        <w:tc>
          <w:tcPr>
            <w:tcW w:type="dxa" w:w="2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Field comparison</w:t>
            </w:r>
          </w:p>
        </w:tc>
        <w:tc>
          <w:tcPr>
            <w:tcW w:type="dxa" w:w="2350"/>
            <w:shd w:fill="F7F9FB" w:color="auto" w:val="clear"/>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roomCapacity, roomKindMatch, facultySabbatical, courseSuspended</w:t>
            </w:r>
          </w:p>
        </w:tc>
        <w:tc>
          <w:tcPr>
            <w:tcW w:type="dxa" w:w="501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A scalar or boolean read off the candidate — headcount against capacity, a room kind against a course’s required kind, a flag on a person or a course.</w:t>
            </w:r>
          </w:p>
        </w:tc>
      </w:tr>
      <w:tr>
        <w:tc>
          <w:tcPr>
            <w:tcW w:type="dxa" w:w="2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Counting semaphore</w:t>
            </w:r>
          </w:p>
        </w:tc>
        <w:tc>
          <w:tcPr>
            <w:tcW w:type="dxa" w:w="2350"/>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equipmentContention</w:t>
            </w:r>
          </w:p>
        </w:tc>
        <w:tc>
          <w:tcPr>
            <w:tcW w:type="dxa" w:w="50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Units of a shared pool already in use in that slot against the pool size. The default configuration has two portable smartboard carts, one VR headset kit and two survey kits, so the VR kit admits one booking and refuses the second.</w:t>
            </w:r>
          </w:p>
        </w:tc>
      </w:tr>
      <w:tr>
        <w:tc>
          <w:tcPr>
            <w:tcW w:type="dxa" w:w="2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Interval arithmetic</w:t>
            </w:r>
          </w:p>
        </w:tc>
        <w:tc>
          <w:tcPr>
            <w:tcW w:type="dxa" w:w="2350"/>
            <w:shd w:fill="F7F9FB" w:color="auto" w:val="clear"/>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roomTurnover, transitionGap, gridAlignment</w:t>
            </w:r>
          </w:p>
        </w:tc>
        <w:tc>
          <w:tcPr>
            <w:tcW w:type="dxa" w:w="501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A required turnover in minutes is converted into a whole number of slots, net of the grid’s passing time, and compared against the gap to the previous and next booking in that room that day.</w:t>
            </w:r>
          </w:p>
        </w:tc>
      </w:tr>
      <w:tr>
        <w:tc>
          <w:tcPr>
            <w:tcW w:type="dxa" w:w="2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Wall-clock arithmetic across a day boundary</w:t>
            </w:r>
          </w:p>
        </w:tc>
        <w:tc>
          <w:tcPr>
            <w:tcW w:type="dxa" w:w="2350"/>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facultyMinRest</w:t>
            </w:r>
          </w:p>
        </w:tc>
        <w:tc>
          <w:tcPr>
            <w:tcW w:type="dxa" w:w="50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The previous day’s last finish and the next day’s first start, plus 24 hours, compared against restHours. A rest rule cannot be expressed in slot indices alone.</w:t>
            </w:r>
          </w:p>
        </w:tc>
      </w:tr>
      <w:tr>
        <w:tc>
          <w:tcPr>
            <w:tcW w:type="dxa" w:w="2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Run-length scanning</w:t>
            </w:r>
          </w:p>
        </w:tc>
        <w:tc>
          <w:tcPr>
            <w:tcW w:type="dxa" w:w="2350"/>
            <w:shd w:fill="F7F9FB" w:color="auto" w:val="clear"/>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facultyMaxConsecutive, cohortMaxConsecutive</w:t>
            </w:r>
          </w:p>
        </w:tc>
        <w:tc>
          <w:tcPr>
            <w:tcW w:type="dxa" w:w="501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consecutiveRun marks every occupied slot of a day in a Set, then walks it counting the longest unbroken run, including the candidate.</w:t>
            </w:r>
          </w:p>
        </w:tc>
      </w:tr>
      <w:tr>
        <w:tc>
          <w:tcPr>
            <w:tcW w:type="dxa" w:w="2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Group partitioning</w:t>
            </w:r>
          </w:p>
        </w:tc>
        <w:tc>
          <w:tcPr>
            <w:tcW w:type="dxa" w:w="2350"/>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electiveGroupClashFree</w:t>
            </w:r>
          </w:p>
        </w:tc>
        <w:tc>
          <w:tcPr>
            <w:tcW w:type="dxa" w:w="50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A placement is refused when another course sharing the same electiveGroup already overlaps that cohort’s day. This is what makes the schedule clash-free at elective-basket level rather than cohort level — the NEP 2020 wrinkle.</w:t>
            </w:r>
          </w:p>
        </w:tc>
      </w:tr>
      <w:tr>
        <w:tc>
          <w:tcPr>
            <w:tcW w:type="dxa" w:w="2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Geography with weights</w:t>
            </w:r>
          </w:p>
        </w:tc>
        <w:tc>
          <w:tcPr>
            <w:tcW w:type="dxa" w:w="2350"/>
            <w:shd w:fill="F7F9FB" w:color="auto" w:val="clear"/>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interCampusTravel, walkWindow</w:t>
            </w:r>
          </w:p>
        </w:tc>
        <w:tc>
          <w:tcPr>
            <w:tcW w:type="dxa" w:w="501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interCampusTravel converts the gap between two of an instructor’s sessions into minutes and refuses a cross-campus pair below travelMinutes. walkWindow fires only on back-to-back sessions in different buildings and refuses when the greater of the building’s walkMinutes and the policy minimum exceeds the passing time the grid allows.</w:t>
            </w:r>
          </w:p>
        </w:tc>
      </w:tr>
      <w:tr>
        <w:tc>
          <w:tcPr>
            <w:tcW w:type="dxa" w:w="2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Neighbourhood aggregation</w:t>
            </w:r>
          </w:p>
        </w:tc>
        <w:tc>
          <w:tcPr>
            <w:tcW w:type="dxa" w:w="2350"/>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noisyAdjacency</w:t>
            </w:r>
          </w:p>
        </w:tc>
        <w:tc>
          <w:tcPr>
            <w:tcW w:type="dxa" w:w="50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A workshop or studio is priced by whether any room on the same building and floor is busy in that slot.</w:t>
            </w:r>
          </w:p>
        </w:tc>
      </w:tr>
      <w:tr>
        <w:tc>
          <w:tcPr>
            <w:tcW w:type="dxa" w:w="20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Calendar weighting</w:t>
            </w:r>
          </w:p>
        </w:tc>
        <w:tc>
          <w:tcPr>
            <w:tcW w:type="dxa" w:w="2350"/>
            <w:shd w:fill="F7F9FB" w:color="auto" w:val="clear"/>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spreadAcrossWeek</w:t>
            </w:r>
          </w:p>
        </w:tc>
        <w:tc>
          <w:tcPr>
            <w:tcW w:type="dxa" w:w="501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A repeat on a day the course already meets is priced, and so is a weekday the academic calendar has thinned. A course parked on a Thursday carrying four closures would otherwise quietly finish the syllabus short, so the shortfall is costed and meetings move to the weekdays that survive — without ever refusing the thin one.</w:t>
            </w:r>
          </w:p>
        </w:tc>
      </w:tr>
      <w:tr>
        <w:tc>
          <w:tcPr>
            <w:tcW w:type="dxa" w:w="20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Whole-schedule audit</w:t>
            </w:r>
          </w:p>
        </w:tc>
        <w:tc>
          <w:tcPr>
            <w:tcW w:type="dxa" w:w="2350"/>
            <w:tcMar>
              <w:top w:type="dxa" w:w="55"/>
              <w:left w:type="dxa" w:w="105"/>
              <w:bottom w:type="dxa" w:w="55"/>
              <w:right w:type="dxa" w:w="105"/>
            </w:tcMar>
          </w:tcPr>
          <w:p>
            <w:pPr>
              <w:spacing w:after="0" w:before="0" w:line="230"/>
            </w:pPr>
            <w:r>
              <w:rPr>
                <w:rFonts w:ascii="Consolas" w:cs="Consolas" w:eastAsia="Consolas" w:hAnsi="Consolas"/>
                <w:color w:val="1A1A1A"/>
                <w:sz w:val="16"/>
                <w:szCs w:val="16"/>
              </w:rPr>
              <w:t xml:space="preserve">annualOffering, creditContactHours, lowEnrolmentFlag</w:t>
            </w:r>
          </w:p>
        </w:tc>
        <w:tc>
          <w:tcPr>
            <w:tcW w:type="dxa" w:w="501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Properties only visible globally. annualOffering takes the set difference between core courses and courses that received any session at all, and reports the gap.</w:t>
            </w:r>
          </w:p>
        </w:tc>
      </w:tr>
    </w:tbl>
    <w:p>
      <w:r>
        <w:br w:type="page"/>
      </w:r>
    </w:p>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9 · THE SOLVER</w:t>
      </w:r>
    </w:p>
    <w:p>
      <w:pPr>
        <w:pStyle w:val="Heading2"/>
        <w:keepNext/>
        <w:spacing w:after="60" w:before="170"/>
      </w:pPr>
      <w:r>
        <w:rPr>
          <w:rFonts w:ascii="Calibri" w:cs="Calibri" w:eastAsia="Calibri" w:hAnsi="Calibri"/>
          <w:b/>
          <w:bCs/>
          <w:color w:val="2E6DA4"/>
          <w:sz w:val="19"/>
          <w:szCs w:val="19"/>
        </w:rPr>
        <w:t xml:space="preserve">9.1 The demand model</w:t>
      </w:r>
    </w:p>
    <w:p>
      <w:pPr>
        <w:spacing w:after="90" w:before="0" w:line="250"/>
      </w:pPr>
      <w:r>
        <w:rPr>
          <w:rFonts w:ascii="Calibri" w:cs="Calibri" w:eastAsia="Calibri" w:hAnsi="Calibri"/>
          <w:color w:val="1A1A1A"/>
          <w:sz w:val="19"/>
          <w:szCs w:val="19"/>
        </w:rPr>
        <w:t xml:space="preserve">Before placing anything, the solver builds a list of demands: for every cohort, for every course that cohort must take, one demand carrying how many meetings are needed, how many consecutive slots each meeting occupies, which rooms could physically host it, and which instructors are qualified and available. Room and instructor filtering happens here, once, rather than inside the search.</w:t>
      </w:r>
    </w:p>
    <w:p>
      <w:pPr>
        <w:spacing w:after="90" w:before="0" w:line="250"/>
      </w:pPr>
      <w:r>
        <w:rPr>
          <w:rFonts w:ascii="Calibri" w:cs="Calibri" w:eastAsia="Calibri" w:hAnsi="Calibri"/>
          <w:color w:val="1A1A1A"/>
          <w:sz w:val="19"/>
          <w:szCs w:val="19"/>
        </w:rPr>
        <w:t xml:space="preserve">Demands are then sorted by slack — roughly rooms × instructors, adjusted for headcount. The most constrained is placed first: a 200-seat lecture with one suitable hall and two qualified lecturers gets first choice, while a seminar with twenty options waits. This ordering alone accounts for most of the difference between “it fits” and “it doesn’t”, and it is the direct analogue of the saturation-degree heuristic used in graph colouring.</w:t>
      </w:r>
    </w:p>
    <w:p>
      <w:pPr>
        <w:spacing w:after="90" w:before="0" w:line="250"/>
      </w:pPr>
      <w:r>
        <w:rPr>
          <w:rFonts w:ascii="Calibri" w:cs="Calibri" w:eastAsia="Calibri" w:hAnsi="Calibri"/>
          <w:color w:val="1A1A1A"/>
          <w:sz w:val="19"/>
          <w:szCs w:val="19"/>
        </w:rPr>
        <w:t xml:space="preserve">Two structural impossibilities are detected before the search runs and reported precisely rather than being allowed to burn the budget: a course with no room that can host it at all, and a course with no qualified available instructor.</w:t>
      </w:r>
    </w:p>
    <w:p>
      <w:pPr>
        <w:pStyle w:val="Heading2"/>
        <w:keepNext/>
        <w:spacing w:after="60" w:before="170"/>
      </w:pPr>
      <w:r>
        <w:rPr>
          <w:rFonts w:ascii="Calibri" w:cs="Calibri" w:eastAsia="Calibri" w:hAnsi="Calibri"/>
          <w:b/>
          <w:bCs/>
          <w:color w:val="2E6DA4"/>
          <w:sz w:val="19"/>
          <w:szCs w:val="19"/>
        </w:rPr>
        <w:t xml:space="preserve">9.2 Placing one session</w:t>
      </w:r>
    </w:p>
    <w:p>
      <w:pPr>
        <w:spacing w:after="90" w:before="0" w:line="250"/>
      </w:pPr>
      <w:r>
        <w:rPr>
          <w:rFonts w:ascii="Calibri" w:cs="Calibri" w:eastAsia="Calibri" w:hAnsi="Calibri"/>
          <w:color w:val="1A1A1A"/>
          <w:sz w:val="19"/>
          <w:szCs w:val="19"/>
        </w:rPr>
        <w:t xml:space="preserve">For each candidate — day, slot, instructor, room — every enabled hard rule runs cheapest-first, and the first failure rejects the candidate and is counted against that constraint’s number. Surviving candidates are priced by every enabled soft rule multiplied by that rule’s weight: gaps, building changes, early starts, utilisation and staff welfare all contribute. The cheapest candidate wins, and a zero-cost candidate ends the search immediately.</w:t>
      </w:r>
    </w:p>
    <w:p>
      <w:pPr>
        <w:pStyle w:val="Heading2"/>
        <w:keepNext/>
        <w:spacing w:after="60" w:before="170"/>
      </w:pPr>
      <w:r>
        <w:rPr>
          <w:rFonts w:ascii="Calibri" w:cs="Calibri" w:eastAsia="Calibri" w:hAnsi="Calibri"/>
          <w:b/>
          <w:bCs/>
          <w:color w:val="2E6DA4"/>
          <w:sz w:val="19"/>
          <w:szCs w:val="19"/>
        </w:rPr>
        <w:t xml:space="preserve">9.3 Three escalating passes</w:t>
      </w:r>
    </w:p>
    <w:p>
      <w:pPr>
        <w:pStyle w:val="ListParagraph"/>
        <w:numPr>
          <w:ilvl w:val="0"/>
          <w:numId w:val="4"/>
        </w:numPr>
        <w:spacing w:after="50" w:before="0" w:line="250"/>
      </w:pPr>
      <w:r>
        <w:rPr>
          <w:rFonts w:ascii="Calibri" w:cs="Calibri" w:eastAsia="Calibri" w:hAnsi="Calibri"/>
          <w:b/>
          <w:bCs/>
          <w:color w:val="1A1A1A"/>
          <w:sz w:val="19"/>
          <w:szCs w:val="19"/>
        </w:rPr>
        <w:t xml:space="preserve">Bounded search. </w:t>
      </w:r>
      <w:r>
        <w:rPr>
          <w:rFonts w:ascii="Calibri" w:cs="Calibri" w:eastAsia="Calibri" w:hAnsi="Calibri"/>
          <w:color w:val="1A1A1A"/>
          <w:sz w:val="19"/>
          <w:szCs w:val="19"/>
        </w:rPr>
        <w:t xml:space="preserve">Rooms and instructors are shuffled per demand from the seed and capped at 14 rooms and the 6 least-loaded qualified instructors; the pass stops after 160 priced candidates or when the wall-clock budget expires. This is what keeps a full solve near two seconds.</w:t>
      </w:r>
    </w:p>
    <w:p>
      <w:pPr>
        <w:pStyle w:val="ListParagraph"/>
        <w:numPr>
          <w:ilvl w:val="0"/>
          <w:numId w:val="4"/>
        </w:numPr>
        <w:spacing w:after="50" w:before="0" w:line="250"/>
      </w:pPr>
      <w:r>
        <w:rPr>
          <w:rFonts w:ascii="Calibri" w:cs="Calibri" w:eastAsia="Calibri" w:hAnsi="Calibri"/>
          <w:b/>
          <w:bCs/>
          <w:color w:val="1A1A1A"/>
          <w:sz w:val="19"/>
          <w:szCs w:val="19"/>
        </w:rPr>
        <w:t xml:space="preserve">Exhaustive sweep. </w:t>
      </w:r>
      <w:r>
        <w:rPr>
          <w:rFonts w:ascii="Calibri" w:cs="Calibri" w:eastAsia="Calibri" w:hAnsi="Calibri"/>
          <w:color w:val="1A1A1A"/>
          <w:sz w:val="19"/>
          <w:szCs w:val="19"/>
        </w:rPr>
        <w:t xml:space="preserve">If the bounded pass finds nothing, every day, slot, room and instructor is examined with no cap, taking the first legal placement rather than the prettiest.</w:t>
      </w:r>
    </w:p>
    <w:p>
      <w:pPr>
        <w:pStyle w:val="ListParagraph"/>
        <w:numPr>
          <w:ilvl w:val="0"/>
          <w:numId w:val="4"/>
        </w:numPr>
        <w:spacing w:after="50" w:before="0" w:line="250"/>
      </w:pPr>
      <w:r>
        <w:rPr>
          <w:rFonts w:ascii="Calibri" w:cs="Calibri" w:eastAsia="Calibri" w:hAnsi="Calibri"/>
          <w:b/>
          <w:bCs/>
          <w:color w:val="1A1A1A"/>
          <w:sz w:val="19"/>
          <w:szCs w:val="19"/>
        </w:rPr>
        <w:t xml:space="preserve">Displacement. </w:t>
      </w:r>
      <w:r>
        <w:rPr>
          <w:rFonts w:ascii="Calibri" w:cs="Calibri" w:eastAsia="Calibri" w:hAnsi="Calibri"/>
          <w:color w:val="1A1A1A"/>
          <w:sz w:val="19"/>
          <w:szCs w:val="19"/>
        </w:rPr>
        <w:t xml:space="preserve">If that also fails, the solver looks for a placement whose only obstacle is an occupied room, moves the occupant to a different room — preferring its own day and slot — and takes its place. Every rule is re-checked for both sessions, so a displacement can never introduce a violation. It is bounded at 60 attempts, and the counter increments only when a swap is actually evaluated.</w:t>
      </w:r>
    </w:p>
    <w:p>
      <w:pPr>
        <w:spacing w:after="90" w:before="60" w:line="250"/>
      </w:pPr>
      <w:r>
        <w:rPr>
          <w:rFonts w:ascii="Calibri" w:cs="Calibri" w:eastAsia="Calibri" w:hAnsi="Calibri"/>
          <w:color w:val="1A1A1A"/>
          <w:sz w:val="19"/>
          <w:szCs w:val="19"/>
        </w:rPr>
        <w:t xml:space="preserve">The report counts how often passes 2 and 3 were needed, so the tightness of the institution is visible rather than hidden behind a number that fits.</w:t>
      </w:r>
    </w:p>
    <w:p>
      <w:pPr>
        <w:pStyle w:val="Heading2"/>
        <w:keepNext/>
        <w:spacing w:after="60" w:before="170"/>
      </w:pPr>
      <w:r>
        <w:rPr>
          <w:rFonts w:ascii="Calibri" w:cs="Calibri" w:eastAsia="Calibri" w:hAnsi="Calibri"/>
          <w:b/>
          <w:bCs/>
          <w:color w:val="2E6DA4"/>
          <w:sz w:val="19"/>
          <w:szCs w:val="19"/>
        </w:rPr>
        <w:t xml:space="preserve">9.4 What is guaranteed, and what is not</w:t>
      </w:r>
    </w:p>
    <w:p>
      <w:pPr>
        <w:spacing w:after="90" w:before="0" w:line="250"/>
      </w:pPr>
      <w:r>
        <w:rPr>
          <w:rFonts w:ascii="Calibri" w:cs="Calibri" w:eastAsia="Calibri" w:hAnsi="Calibri"/>
          <w:b/>
          <w:bCs/>
          <w:color w:val="1A1A1A"/>
          <w:sz w:val="19"/>
          <w:szCs w:val="19"/>
        </w:rPr>
        <w:t xml:space="preserve">Guaranteed: </w:t>
      </w:r>
      <w:r>
        <w:rPr>
          <w:rFonts w:ascii="Calibri" w:cs="Calibri" w:eastAsia="Calibri" w:hAnsi="Calibri"/>
          <w:color w:val="1A1A1A"/>
          <w:sz w:val="19"/>
          <w:szCs w:val="19"/>
        </w:rPr>
        <w:t xml:space="preserve">no enabled hard constraint is ever violated. After the solve, an independent invariant check recounts instructor, cohort and room double bookings from scratch and reports any as a broken engine invariant — a check on the solver, not on the schedule’s author.</w:t>
      </w:r>
    </w:p>
    <w:p>
      <w:pPr>
        <w:spacing w:after="110" w:before="0" w:line="250"/>
      </w:pPr>
      <w:r>
        <w:rPr>
          <w:rFonts w:ascii="Calibri" w:cs="Calibri" w:eastAsia="Calibri" w:hAnsi="Calibri"/>
          <w:b/>
          <w:bCs/>
          <w:color w:val="1A1A1A"/>
          <w:sz w:val="19"/>
          <w:szCs w:val="19"/>
        </w:rPr>
        <w:t xml:space="preserve">Not guaranteed: </w:t>
      </w:r>
      <w:r>
        <w:rPr>
          <w:rFonts w:ascii="Calibri" w:cs="Calibri" w:eastAsia="Calibri" w:hAnsi="Calibri"/>
          <w:color w:val="1A1A1A"/>
          <w:sz w:val="19"/>
          <w:szCs w:val="19"/>
        </w:rPr>
        <w:t xml:space="preserve">optimality. This is a constraint-guided greedy placer with least-slack ordering and a single level of backtracking, not a CP-SAT solver. It will not prove that no better soft-cost arrangement exists. What it gives instead is speed, determinism for a given seed, and a complete audit trail of every refusal.</w:t>
      </w:r>
    </w:p>
    <w:p>
      <w:pPr>
        <w:pStyle w:val="Heading2"/>
        <w:keepNext/>
        <w:spacing w:after="60" w:before="170"/>
      </w:pPr>
      <w:r>
        <w:rPr>
          <w:rFonts w:ascii="Calibri" w:cs="Calibri" w:eastAsia="Calibri" w:hAnsi="Calibri"/>
          <w:b/>
          <w:bCs/>
          <w:color w:val="2E6DA4"/>
          <w:sz w:val="19"/>
          <w:szCs w:val="19"/>
        </w:rPr>
        <w:t xml:space="preserve">9.5 Interactive editing uses the same rules</w:t>
      </w:r>
    </w:p>
    <w:p>
      <w:pPr>
        <w:spacing w:after="90" w:before="0" w:line="250"/>
      </w:pPr>
      <w:r>
        <w:rPr>
          <w:rFonts w:ascii="Calibri" w:cs="Calibri" w:eastAsia="Calibri" w:hAnsi="Calibri"/>
          <w:color w:val="1A1A1A"/>
          <w:sz w:val="19"/>
          <w:szCs w:val="19"/>
        </w:rPr>
        <w:t xml:space="preserve">Drag-and-drop is not a second code path. checkMove runs the identical hard rules against one candidate and returns either approval with a soft-cost delta, or up to four named rejections. When every failure is about the room, it searches for a suitable free room and offers a relocation instead of a refusal. Substitution proposals when a teacher is absent go through canTeach and the same availability rules.</w:t>
      </w:r>
    </w:p>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10 · CUSTOM CONSTRAINTS</w:t>
      </w:r>
    </w:p>
    <w:p>
      <w:pPr>
        <w:spacing w:after="90" w:before="0" w:line="250"/>
      </w:pPr>
      <w:r>
        <w:rPr>
          <w:rFonts w:ascii="Calibri" w:cs="Calibri" w:eastAsia="Calibri" w:hAnsi="Calibri"/>
          <w:color w:val="1A1A1A"/>
          <w:sz w:val="19"/>
          <w:szCs w:val="19"/>
        </w:rPr>
        <w:t xml:space="preserve">Institution-specific rules live separately from the published catalogue, numbered U001 upwards, so the 1–500 numbering is never disturbed. Eight templates are available — keep a slot free, keep a day free, no early starts, no late finishes, cap hours per day, cap consecutive hours, require a building, avoid a building — each scoped to everyone, a cohort, a staff member, a department, a course or a room.</w:t>
      </w:r>
    </w:p>
    <w:p>
      <w:pPr>
        <w:spacing w:after="90" w:before="0" w:line="250"/>
      </w:pPr>
      <w:r>
        <w:rPr>
          <w:rFonts w:ascii="Calibri" w:cs="Calibri" w:eastAsia="Calibri" w:hAnsi="Calibri"/>
          <w:color w:val="1A1A1A"/>
          <w:sz w:val="19"/>
          <w:szCs w:val="19"/>
        </w:rPr>
        <w:t xml:space="preserve">They are evaluated by customRules.ts, which honours the same contract as the catalogue rules: a violation message refuses a placement, and a soft rule’s violation is priced at its weight. The solver runs them in the same loop as catalogue rules, so a hard custom rule binds exactly as tightly as a hard catalogue rule, and appears in the same bottleneck reporting.</w:t>
      </w:r>
    </w:p>
    <w:p>
      <w:pPr>
        <w:pBdr>
          <w:top w:val="single" w:color="EAF1F8" w:sz="2" w:space="5"/>
          <w:bottom w:val="single" w:color="EAF1F8" w:sz="2" w:space="5"/>
          <w:left w:val="single" w:color="1F4E79" w:sz="18" w:space="8"/>
          <w:right w:val="single" w:color="EAF1F8" w:sz="2" w:space="5"/>
        </w:pBdr>
        <w:shd w:fill="EAF1F8" w:color="auto" w:val="clear"/>
        <w:spacing w:after="110" w:before="90" w:line="250"/>
        <w:ind w:left="120" w:right="120"/>
      </w:pPr>
      <w:r>
        <w:rPr>
          <w:rFonts w:ascii="Calibri" w:cs="Calibri" w:eastAsia="Calibri" w:hAnsi="Calibri"/>
          <w:b/>
          <w:bCs/>
          <w:color w:val="1A1A1A"/>
          <w:sz w:val="19"/>
          <w:szCs w:val="19"/>
        </w:rPr>
        <w:t xml:space="preserve">Why templates rather than free text. </w:t>
      </w:r>
      <w:r>
        <w:rPr>
          <w:rFonts w:ascii="Calibri" w:cs="Calibri" w:eastAsia="Calibri" w:hAnsi="Calibri"/>
          <w:color w:val="1A1A1A"/>
          <w:sz w:val="19"/>
          <w:szCs w:val="19"/>
        </w:rPr>
        <w:t xml:space="preserve">A rule the engine cannot evaluate is not a constraint — it is a note. Eight parameterised templates over six scopes can be checked deterministically and attributed when they refuse something; a free-text rule can only be displayed. Natural-language rule authoring is on the roadmap precisely because it must compile down to this same evaluable form.</w:t>
      </w:r>
    </w:p>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11 · VERIFICATION</w:t>
      </w:r>
    </w:p>
    <w:p>
      <w:pPr>
        <w:spacing w:after="90" w:before="0" w:line="250"/>
      </w:pPr>
      <w:r>
        <w:rPr>
          <w:rFonts w:ascii="Calibri" w:cs="Calibri" w:eastAsia="Calibri" w:hAnsi="Calibri"/>
          <w:color w:val="1A1A1A"/>
          <w:sz w:val="19"/>
          <w:szCs w:val="19"/>
        </w:rPr>
        <w:t xml:space="preserve">npm run verify bundles the engine with esbuild and runs it headless in Node. It does not ask the solver whether it succeeded; it re-derives the hard invariants from scratch — recounting double bookings, capacity breaches, room-type mismatches, unqualified assignments, sabbatical assignments and cap breaches itself. A solver bug cannot mark its own homework. It exits non-zero on any failure, so it can gate a build.</w:t>
      </w:r>
    </w:p>
    <w:p>
      <w:pPr>
        <w:spacing w:after="90" w:before="0" w:line="250"/>
      </w:pPr>
      <w:r>
        <w:rPr>
          <w:rFonts w:ascii="Calibri" w:cs="Calibri" w:eastAsia="Calibri" w:hAnsi="Calibri"/>
          <w:b/>
          <w:bCs/>
          <w:color w:val="1A1A1A"/>
          <w:sz w:val="19"/>
          <w:szCs w:val="19"/>
        </w:rPr>
        <w:t xml:space="preserve">Measured on 21 August 2026: 78 checks pass.</w:t>
      </w:r>
      <w:r>
        <w:rPr>
          <w:rFonts w:ascii="Calibri" w:cs="Calibri" w:eastAsia="Calibri" w:hAnsi="Calibri"/>
          <w:color w:val="1A1A1A"/>
          <w:sz w:val="19"/>
          <w:szCs w:val="19"/>
        </w:rPr>
        <w:t xml:space="preserve"> Coverage spans catalogue integrity, rule-implementation completeness, configuration feasibility, generation determinism, a full solve, independent re-derivation of every hard invariant, the editable-record round trip, room availability, section overrides, custom-rule enforcement, UTC date handling, one-off and full-weekday closures, weekly blackouts, observances against mandatory teaching, legacy holiday migration, floor placement and clamping, and every staff field reaching the solver.</w:t>
      </w:r>
    </w:p>
    <w:tbl>
      <w:tblPr>
        <w:tblW w:type="dxa" w:w="9360"/>
        <w:tblBorders>
          <w:top w:val="single" w:color="D0D7DE" w:sz="3"/>
          <w:left w:val="single" w:color="D0D7DE" w:sz="3"/>
          <w:bottom w:val="single" w:color="D0D7DE" w:sz="3"/>
          <w:right w:val="single" w:color="D0D7DE" w:sz="3"/>
          <w:insideH w:val="single" w:color="D0D7DE" w:sz="3"/>
          <w:insideV w:val="single" w:color="D0D7DE" w:sz="3"/>
        </w:tblBorders>
      </w:tblPr>
      <w:tblGrid>
        <w:gridCol w:w="3120"/>
        <w:gridCol w:w="3120"/>
        <w:gridCol w:w="3120"/>
      </w:tblGrid>
      <w:tr>
        <w:trPr>
          <w:tblHeader/>
        </w:trPr>
        <w:tc>
          <w:tcPr>
            <w:tcW w:type="dxa" w:w="312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Default institution</w:t>
            </w:r>
          </w:p>
        </w:tc>
        <w:tc>
          <w:tcPr>
            <w:tcW w:type="dxa" w:w="312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Result</w:t>
            </w:r>
          </w:p>
        </w:tc>
        <w:tc>
          <w:tcPr>
            <w:tcW w:type="dxa" w:w="312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Quality</w:t>
            </w:r>
          </w:p>
        </w:tc>
      </w:tr>
      <w:tr>
        <w:tc>
          <w:tcPr>
            <w:tcW w:type="dxa" w:w="312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 campus, 4 buildings, 28 rooms</w:t>
            </w:r>
          </w:p>
        </w:tc>
        <w:tc>
          <w:tcPr>
            <w:tcW w:type="dxa" w:w="312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360 of 360 meetings placed</w:t>
            </w:r>
          </w:p>
        </w:tc>
        <w:tc>
          <w:tcPr>
            <w:tcW w:type="dxa" w:w="312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Room utilisation 34.3%</w:t>
            </w:r>
          </w:p>
        </w:tc>
      </w:tr>
      <w:tr>
        <w:tc>
          <w:tcPr>
            <w:tcW w:type="dxa" w:w="312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5 departments, 5 programmes, 90 courses</w:t>
            </w:r>
          </w:p>
        </w:tc>
        <w:tc>
          <w:tcPr>
            <w:tcW w:type="dxa" w:w="312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0 clashes, 0 hard violations</w:t>
            </w:r>
          </w:p>
        </w:tc>
        <w:tc>
          <w:tcPr>
            <w:tcW w:type="dxa" w:w="312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Load spread ±2.35 h</w:t>
            </w:r>
          </w:p>
        </w:tc>
      </w:tr>
      <w:tr>
        <w:tc>
          <w:tcPr>
            <w:tcW w:type="dxa" w:w="312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24 cohorts, 1,365 students, 68 staff</w:t>
            </w:r>
          </w:p>
        </w:tc>
        <w:tc>
          <w:tcPr>
            <w:tcW w:type="dxa" w:w="312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Solved in ~2.4 s</w:t>
            </w:r>
          </w:p>
        </w:tc>
        <w:tc>
          <w:tcPr>
            <w:tcW w:type="dxa" w:w="312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Lunch protected on 100% of cohort-days</w:t>
            </w:r>
          </w:p>
        </w:tc>
      </w:tr>
      <w:tr>
        <w:tc>
          <w:tcPr>
            <w:tcW w:type="dxa" w:w="312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5 days × 8 × 60-minute slots, 10 min passing</w:t>
            </w:r>
          </w:p>
        </w:tc>
        <w:tc>
          <w:tcPr>
            <w:tcW w:type="dxa" w:w="312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Soft penalty 1,714</w:t>
            </w:r>
          </w:p>
        </w:tc>
        <w:tc>
          <w:tcPr>
            <w:tcW w:type="dxa" w:w="312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Room pressure 34% (384 into 1,120 room-slots)</w:t>
            </w:r>
          </w:p>
        </w:tc>
      </w:tr>
    </w:tbl>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12 · TECHNICAL HURDLES OVERCOME</w:t>
      </w:r>
    </w:p>
    <w:p>
      <w:pPr>
        <w:pStyle w:val="ListParagraph"/>
        <w:numPr>
          <w:ilvl w:val="0"/>
          <w:numId w:val="2"/>
        </w:numPr>
        <w:spacing w:after="50" w:before="0" w:line="250"/>
      </w:pPr>
      <w:r>
        <w:rPr>
          <w:rFonts w:ascii="Calibri" w:cs="Calibri" w:eastAsia="Calibri" w:hAnsi="Calibri"/>
          <w:b/>
          <w:bCs/>
          <w:color w:val="1A1A1A"/>
          <w:sz w:val="19"/>
          <w:szCs w:val="19"/>
        </w:rPr>
        <w:t xml:space="preserve">Impossible demands poisoning the explanation. </w:t>
      </w:r>
      <w:r>
        <w:rPr>
          <w:rFonts w:ascii="Calibri" w:cs="Calibri" w:eastAsia="Calibri" w:hAnsi="Calibri"/>
          <w:color w:val="1A1A1A"/>
          <w:sz w:val="19"/>
          <w:szCs w:val="19"/>
        </w:rPr>
        <w:t xml:space="preserve">The generator flagged year-1 cohorts as needing accessible rooms while the configured plant had none — constraint 384 blocked 11,211 placements and the application reported scarcity that did not exist. The fix was to make the generator compute which room kinds actually have an accessible room, mirroring exactly what constraints 147 and 384 check: step-free by floor, lift, or feature flag, and the building not marked inaccessible. If the solver is going to name a rule, that rule has to be the truth.</w:t>
      </w:r>
    </w:p>
    <w:p>
      <w:pPr>
        <w:pStyle w:val="ListParagraph"/>
        <w:numPr>
          <w:ilvl w:val="0"/>
          <w:numId w:val="2"/>
        </w:numPr>
        <w:spacing w:after="50" w:before="0" w:line="250"/>
      </w:pPr>
      <w:r>
        <w:rPr>
          <w:rFonts w:ascii="Calibri" w:cs="Calibri" w:eastAsia="Calibri" w:hAnsi="Calibri"/>
          <w:b/>
          <w:bCs/>
          <w:color w:val="1A1A1A"/>
          <w:sz w:val="19"/>
          <w:szCs w:val="19"/>
        </w:rPr>
        <w:t xml:space="preserve">A greedy solver stranding one session in 360. </w:t>
      </w:r>
      <w:r>
        <w:rPr>
          <w:rFonts w:ascii="Calibri" w:cs="Calibri" w:eastAsia="Calibri" w:hAnsi="Calibri"/>
          <w:color w:val="1A1A1A"/>
          <w:sz w:val="19"/>
          <w:szCs w:val="19"/>
        </w:rPr>
        <w:t xml:space="preserve">Re-solving an unchanged institution placed 359. Soft-cost differences had changed the greedy path, leaving one session behind an already-committed room booking that neither the bounded nor the exhaustive pass could reach — the obstacle was an existing placement, not an unexplored candidate. The bounded displacement pass was the answer. Back to 360/360.</w:t>
      </w:r>
    </w:p>
    <w:p>
      <w:pPr>
        <w:pStyle w:val="ListParagraph"/>
        <w:numPr>
          <w:ilvl w:val="0"/>
          <w:numId w:val="2"/>
        </w:numPr>
        <w:spacing w:after="50" w:before="0" w:line="250"/>
      </w:pPr>
      <w:r>
        <w:rPr>
          <w:rFonts w:ascii="Calibri" w:cs="Calibri" w:eastAsia="Calibri" w:hAnsi="Calibri"/>
          <w:b/>
          <w:bCs/>
          <w:color w:val="1A1A1A"/>
          <w:sz w:val="19"/>
          <w:szCs w:val="19"/>
        </w:rPr>
        <w:t xml:space="preserve">The displacement budget spent on empty rooms. </w:t>
      </w:r>
      <w:r>
        <w:rPr>
          <w:rFonts w:ascii="Calibri" w:cs="Calibri" w:eastAsia="Calibri" w:hAnsi="Calibri"/>
          <w:color w:val="1A1A1A"/>
          <w:sz w:val="19"/>
          <w:szCs w:val="19"/>
        </w:rPr>
        <w:t xml:space="preserve">The attempt counter incremented before checking whether the room was occupied, so the entire 60-attempt allowance was consumed walking empty cells and the pass reported “no displacement possible” without evaluating a single swap.</w:t>
      </w:r>
    </w:p>
    <w:p>
      <w:pPr>
        <w:pStyle w:val="ListParagraph"/>
        <w:numPr>
          <w:ilvl w:val="0"/>
          <w:numId w:val="2"/>
        </w:numPr>
        <w:spacing w:after="50" w:before="0" w:line="250"/>
      </w:pPr>
      <w:r>
        <w:rPr>
          <w:rFonts w:ascii="Calibri" w:cs="Calibri" w:eastAsia="Calibri" w:hAnsi="Calibri"/>
          <w:b/>
          <w:bCs/>
          <w:color w:val="1A1A1A"/>
          <w:sz w:val="19"/>
          <w:szCs w:val="19"/>
        </w:rPr>
        <w:t xml:space="preserve">The assistant died in the packaged build. </w:t>
      </w:r>
      <w:r>
        <w:rPr>
          <w:rFonts w:ascii="Calibri" w:cs="Calibri" w:eastAsia="Calibri" w:hAnsi="Calibri"/>
          <w:color w:val="1A1A1A"/>
          <w:sz w:val="19"/>
          <w:szCs w:val="19"/>
        </w:rPr>
        <w:t xml:space="preserve">Fetching Ollama from the renderer works in development and fails in the installer, where the origin is file:// and Ollama refuses it on CORS. The request now relays through the Electron main process, streaming tokens back over IPC.</w:t>
      </w:r>
    </w:p>
    <w:p>
      <w:pPr>
        <w:pStyle w:val="ListParagraph"/>
        <w:numPr>
          <w:ilvl w:val="0"/>
          <w:numId w:val="2"/>
        </w:numPr>
        <w:spacing w:after="50" w:before="0" w:line="250"/>
      </w:pPr>
      <w:r>
        <w:rPr>
          <w:rFonts w:ascii="Calibri" w:cs="Calibri" w:eastAsia="Calibri" w:hAnsi="Calibri"/>
          <w:b/>
          <w:bCs/>
          <w:color w:val="1A1A1A"/>
          <w:sz w:val="19"/>
          <w:szCs w:val="19"/>
        </w:rPr>
        <w:t xml:space="preserve">A silent preload failure with no error at all. </w:t>
      </w:r>
      <w:r>
        <w:rPr>
          <w:rFonts w:ascii="Calibri" w:cs="Calibri" w:eastAsia="Calibri" w:hAnsi="Calibri"/>
          <w:color w:val="1A1A1A"/>
          <w:sz w:val="19"/>
          <w:szCs w:val="19"/>
        </w:rPr>
        <w:t xml:space="preserve">The preload was emitted as CommonJS but named .mjs, so Electron parsed it as an ES module, require was undefined, and the bridge failed silently — taking the custom title bar and every file dialog with it. With a frameless window that left no way to close the application. It is now forced to .cjs, and a preload-error listener makes any future regression loud.</w:t>
      </w:r>
    </w:p>
    <w:p>
      <w:pPr>
        <w:pStyle w:val="ListParagraph"/>
        <w:numPr>
          <w:ilvl w:val="0"/>
          <w:numId w:val="2"/>
        </w:numPr>
        <w:spacing w:after="50" w:before="0" w:line="250"/>
      </w:pPr>
      <w:r>
        <w:rPr>
          <w:rFonts w:ascii="Calibri" w:cs="Calibri" w:eastAsia="Calibri" w:hAnsi="Calibri"/>
          <w:b/>
          <w:bCs/>
          <w:color w:val="1A1A1A"/>
          <w:sz w:val="19"/>
          <w:szCs w:val="19"/>
        </w:rPr>
        <w:t xml:space="preserve">Fixed-position dialogs rendering off-screen. </w:t>
      </w:r>
      <w:r>
        <w:rPr>
          <w:rFonts w:ascii="Calibri" w:cs="Calibri" w:eastAsia="Calibri" w:hAnsi="Calibri"/>
          <w:color w:val="1A1A1A"/>
          <w:sz w:val="19"/>
          <w:szCs w:val="19"/>
        </w:rPr>
        <w:t xml:space="preserve">Every page is wrapped in a container carrying a transform, so position: fixed resolved against the page box rather than the viewport; at a scroll offset of 900 the overlay measured top −720. A Portal component now routes dialogs out of the transformed subtree.</w:t>
      </w:r>
    </w:p>
    <w:p>
      <w:r>
        <w:br w:type="page"/>
      </w:r>
    </w:p>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13 · INTEGRATING AGENTIC AI</w:t>
      </w:r>
    </w:p>
    <w:p>
      <w:pPr>
        <w:pStyle w:val="Heading2"/>
        <w:keepNext/>
        <w:spacing w:after="60" w:before="170"/>
      </w:pPr>
      <w:r>
        <w:rPr>
          <w:rFonts w:ascii="Calibri" w:cs="Calibri" w:eastAsia="Calibri" w:hAnsi="Calibri"/>
          <w:b/>
          <w:bCs/>
          <w:color w:val="2E6DA4"/>
          <w:sz w:val="19"/>
          <w:szCs w:val="19"/>
        </w:rPr>
        <w:t xml:space="preserve">13.1 What the AI does today — and what it is not</w:t>
      </w:r>
    </w:p>
    <w:p>
      <w:pPr>
        <w:spacing w:after="90" w:before="0" w:line="250"/>
      </w:pPr>
      <w:r>
        <w:rPr>
          <w:rFonts w:ascii="Calibri" w:cs="Calibri" w:eastAsia="Calibri" w:hAnsi="Calibri"/>
          <w:color w:val="1A1A1A"/>
          <w:sz w:val="19"/>
          <w:szCs w:val="19"/>
        </w:rPr>
        <w:t xml:space="preserve">The Assistant page answers questions about the solved schedule using a language model running on the operator’s own machine through Ollama, defaulting to gemma4:e4b. probeAssistant calls /api/tags and prefers an exact model match, then the same family, then whatever is installed. Requests run with thinking off, temperature 0.2 and a context window of 8,192, and each carries a requestId so an in-flight answer can be aborted.</w:t>
      </w:r>
    </w:p>
    <w:p>
      <w:pPr>
        <w:spacing w:after="90" w:before="0" w:line="250"/>
      </w:pPr>
      <w:r>
        <w:rPr>
          <w:rFonts w:ascii="Calibri" w:cs="Calibri" w:eastAsia="Calibri" w:hAnsi="Calibri"/>
          <w:color w:val="1A1A1A"/>
          <w:sz w:val="19"/>
          <w:szCs w:val="19"/>
        </w:rPr>
        <w:t xml:space="preserve">buildBriefing assembles a compact factual summary of the solved schedule: departments, cohorts, room, staff and course counts, teaching days and slot labels, how many required meetings were placed and in what time, up to eight unplaced groups with their reasons, the six constraints that refused the most candidates, and which constraints the operator switched off. The model is instructed to answer only from that briefing and never to invent a figure. The briefing is deliberately bounded — a small model answers a tight briefing better than a dump of 360 sessions, which would crowd out the question itself.</w:t>
      </w:r>
    </w:p>
    <w:p>
      <w:pPr>
        <w:spacing w:after="90" w:before="0" w:line="250"/>
      </w:pPr>
      <w:r>
        <w:rPr>
          <w:rFonts w:ascii="Calibri" w:cs="Calibri" w:eastAsia="Calibri" w:hAnsi="Calibri"/>
          <w:color w:val="1A1A1A"/>
          <w:sz w:val="19"/>
          <w:szCs w:val="19"/>
        </w:rPr>
        <w:t xml:space="preserve">If Ollama is absent, the page falls back to a deterministic explainer that reads the report directly, and the interface states which one answered. The language model is an enhancement, never a dependency.</w:t>
      </w:r>
    </w:p>
    <w:p>
      <w:pPr>
        <w:pBdr>
          <w:top w:val="single" w:color="EAF1F8" w:sz="2" w:space="5"/>
          <w:bottom w:val="single" w:color="EAF1F8" w:sz="2" w:space="5"/>
          <w:left w:val="single" w:color="1F4E79" w:sz="18" w:space="8"/>
          <w:right w:val="single" w:color="EAF1F8" w:sz="2" w:space="5"/>
        </w:pBdr>
        <w:shd w:fill="EAF1F8" w:color="auto" w:val="clear"/>
        <w:spacing w:after="110" w:before="90" w:line="250"/>
        <w:ind w:left="120" w:right="120"/>
      </w:pPr>
      <w:r>
        <w:rPr>
          <w:rFonts w:ascii="Calibri" w:cs="Calibri" w:eastAsia="Calibri" w:hAnsi="Calibri"/>
          <w:b/>
          <w:bCs/>
          <w:color w:val="1A1A1A"/>
          <w:sz w:val="19"/>
          <w:szCs w:val="19"/>
        </w:rPr>
        <w:t xml:space="preserve">Stated plainly: </w:t>
      </w:r>
      <w:r>
        <w:rPr>
          <w:rFonts w:ascii="Calibri" w:cs="Calibri" w:eastAsia="Calibri" w:hAnsi="Calibri"/>
          <w:color w:val="1A1A1A"/>
          <w:sz w:val="19"/>
          <w:szCs w:val="19"/>
        </w:rPr>
        <w:t xml:space="preserve">this is retrieval-augmented question answering over a generated artefact. It is read-only. The model calls no tools, takes no actions, and cannot change the schedule. Calling it “agentic” today would be inaccurate.</w:t>
      </w:r>
    </w:p>
    <w:p>
      <w:pPr>
        <w:pStyle w:val="Heading2"/>
        <w:keepNext/>
        <w:spacing w:after="60" w:before="170"/>
      </w:pPr>
      <w:r>
        <w:rPr>
          <w:rFonts w:ascii="Calibri" w:cs="Calibri" w:eastAsia="Calibri" w:hAnsi="Calibri"/>
          <w:b/>
          <w:bCs/>
          <w:color w:val="2E6DA4"/>
          <w:sz w:val="19"/>
          <w:szCs w:val="19"/>
        </w:rPr>
        <w:t xml:space="preserve">13.2 What would make it agentic</w:t>
      </w:r>
    </w:p>
    <w:p>
      <w:pPr>
        <w:spacing w:after="90" w:before="0" w:line="250"/>
      </w:pPr>
      <w:r>
        <w:rPr>
          <w:rFonts w:ascii="Calibri" w:cs="Calibri" w:eastAsia="Calibri" w:hAnsi="Calibri"/>
          <w:color w:val="1A1A1A"/>
          <w:sz w:val="19"/>
          <w:szCs w:val="19"/>
        </w:rPr>
        <w:t xml:space="preserve">The gap is smaller than it looks, because the store already exposes the action surface a tool-calling loop needs, as named functions rather than scattered mutations: toggleConstraint, setWeight, setParam, addCustom, moveSession, checkMove, proposeSubstitutes, applySubstitutions, setSections, addEvent and regenerate.</w:t>
      </w:r>
    </w:p>
    <w:p>
      <w:pPr>
        <w:pStyle w:val="ListParagraph"/>
        <w:numPr>
          <w:ilvl w:val="0"/>
          <w:numId w:val="2"/>
        </w:numPr>
        <w:spacing w:after="50" w:before="0" w:line="250"/>
      </w:pPr>
      <w:r>
        <w:rPr>
          <w:rFonts w:ascii="Calibri" w:cs="Calibri" w:eastAsia="Calibri" w:hAnsi="Calibri"/>
          <w:b/>
          <w:bCs/>
          <w:color w:val="1A1A1A"/>
          <w:sz w:val="19"/>
          <w:szCs w:val="19"/>
        </w:rPr>
        <w:t xml:space="preserve">checkMove is already a dry-run tool. </w:t>
      </w:r>
      <w:r>
        <w:rPr>
          <w:rFonts w:ascii="Calibri" w:cs="Calibri" w:eastAsia="Calibri" w:hAnsi="Calibri"/>
          <w:color w:val="1A1A1A"/>
          <w:sz w:val="19"/>
          <w:szCs w:val="19"/>
        </w:rPr>
        <w:t xml:space="preserve">Given a session and a target day and slot it returns either approval with a soft-cost delta, or a list of named rejections, and it offers an alternative room when the room was the only problem. That is exactly the signature an agent needs to reason about a move before committing to it.</w:t>
      </w:r>
    </w:p>
    <w:p>
      <w:pPr>
        <w:pStyle w:val="ListParagraph"/>
        <w:numPr>
          <w:ilvl w:val="0"/>
          <w:numId w:val="2"/>
        </w:numPr>
        <w:spacing w:after="50" w:before="0" w:line="250"/>
      </w:pPr>
      <w:r>
        <w:rPr>
          <w:rFonts w:ascii="Calibri" w:cs="Calibri" w:eastAsia="Calibri" w:hAnsi="Calibri"/>
          <w:b/>
          <w:bCs/>
          <w:color w:val="1A1A1A"/>
          <w:sz w:val="19"/>
          <w:szCs w:val="19"/>
        </w:rPr>
        <w:t xml:space="preserve">The engine stays the authority. </w:t>
      </w:r>
      <w:r>
        <w:rPr>
          <w:rFonts w:ascii="Calibri" w:cs="Calibri" w:eastAsia="Calibri" w:hAnsi="Calibri"/>
          <w:color w:val="1A1A1A"/>
          <w:sz w:val="19"/>
          <w:szCs w:val="19"/>
        </w:rPr>
        <w:t xml:space="preserve">Any proposed action would be validated by firstHardFailure and checkMove before commit, so a model can only ever propose; it can never write a placement that breaks a hard constraint. This is the design principle that makes an agent safe here — the model searches, the engine decides.</w:t>
      </w:r>
    </w:p>
    <w:p>
      <w:pPr>
        <w:pStyle w:val="ListParagraph"/>
        <w:numPr>
          <w:ilvl w:val="0"/>
          <w:numId w:val="2"/>
        </w:numPr>
        <w:spacing w:after="50" w:before="0" w:line="250"/>
      </w:pPr>
      <w:r>
        <w:rPr>
          <w:rFonts w:ascii="Calibri" w:cs="Calibri" w:eastAsia="Calibri" w:hAnsi="Calibri"/>
          <w:b/>
          <w:bCs/>
          <w:color w:val="1A1A1A"/>
          <w:sz w:val="19"/>
          <w:szCs w:val="19"/>
        </w:rPr>
        <w:t xml:space="preserve">Every proposal is replayable. </w:t>
      </w:r>
      <w:r>
        <w:rPr>
          <w:rFonts w:ascii="Calibri" w:cs="Calibri" w:eastAsia="Calibri" w:hAnsi="Calibri"/>
          <w:color w:val="1A1A1A"/>
          <w:sz w:val="19"/>
          <w:szCs w:val="19"/>
        </w:rPr>
        <w:t xml:space="preserve">The solver is deterministic for a fixed seed, so an agent’s reasoning can be reproduced and audited exactly rather than taken on trust.</w:t>
      </w:r>
    </w:p>
    <w:p>
      <w:pPr>
        <w:pStyle w:val="ListParagraph"/>
        <w:numPr>
          <w:ilvl w:val="0"/>
          <w:numId w:val="2"/>
        </w:numPr>
        <w:spacing w:after="50" w:before="0" w:line="250"/>
      </w:pPr>
      <w:r>
        <w:rPr>
          <w:rFonts w:ascii="Calibri" w:cs="Calibri" w:eastAsia="Calibri" w:hAnsi="Calibri"/>
          <w:b/>
          <w:bCs/>
          <w:color w:val="1A1A1A"/>
          <w:sz w:val="19"/>
          <w:szCs w:val="19"/>
        </w:rPr>
        <w:t xml:space="preserve">The audit trail exists. </w:t>
      </w:r>
      <w:r>
        <w:rPr>
          <w:rFonts w:ascii="Calibri" w:cs="Calibri" w:eastAsia="Calibri" w:hAnsi="Calibri"/>
          <w:color w:val="1A1A1A"/>
          <w:sz w:val="19"/>
          <w:szCs w:val="19"/>
        </w:rPr>
        <w:t xml:space="preserve">An activity log already records what changed and why, which is what an agent loop would append to.</w:t>
      </w:r>
    </w:p>
    <w:p>
      <w:pPr>
        <w:spacing w:after="90" w:before="60" w:line="250"/>
      </w:pPr>
      <w:r>
        <w:rPr>
          <w:rFonts w:ascii="Calibri" w:cs="Calibri" w:eastAsia="Calibri" w:hAnsi="Calibri"/>
          <w:color w:val="1A1A1A"/>
          <w:sz w:val="19"/>
          <w:szCs w:val="19"/>
        </w:rPr>
        <w:t xml:space="preserve">A plausible first agentic capability is therefore narrow and useful: “this cohort has too many gaps on Wednesday — fix it.” The agent proposes a sequence of moves, each dry-run through checkMove, presents the net soft-cost change and the list of affected sessions, and applies nothing until the operator accepts.</w:t>
      </w:r>
    </w:p>
    <w:p>
      <w:pPr>
        <w:pStyle w:val="Heading2"/>
        <w:keepNext/>
        <w:spacing w:after="60" w:before="170"/>
      </w:pPr>
      <w:r>
        <w:rPr>
          <w:rFonts w:ascii="Calibri" w:cs="Calibri" w:eastAsia="Calibri" w:hAnsi="Calibri"/>
          <w:b/>
          <w:bCs/>
          <w:color w:val="2E6DA4"/>
          <w:sz w:val="19"/>
          <w:szCs w:val="19"/>
        </w:rPr>
        <w:t xml:space="preserve">13.3 The restraints and gaps that exist now</w:t>
      </w:r>
    </w:p>
    <w:p>
      <w:pPr>
        <w:pStyle w:val="ListParagraph"/>
        <w:numPr>
          <w:ilvl w:val="0"/>
          <w:numId w:val="2"/>
        </w:numPr>
        <w:spacing w:after="50" w:before="0" w:line="250"/>
      </w:pPr>
      <w:r>
        <w:rPr>
          <w:rFonts w:ascii="Calibri" w:cs="Calibri" w:eastAsia="Calibri" w:hAnsi="Calibri"/>
          <w:b/>
          <w:bCs/>
          <w:color w:val="1A1A1A"/>
          <w:sz w:val="19"/>
          <w:szCs w:val="19"/>
        </w:rPr>
        <w:t xml:space="preserve">No tool-calling schema is wired. </w:t>
      </w:r>
      <w:r>
        <w:rPr>
          <w:rFonts w:ascii="Calibri" w:cs="Calibri" w:eastAsia="Calibri" w:hAnsi="Calibri"/>
          <w:color w:val="1A1A1A"/>
          <w:sz w:val="19"/>
          <w:szCs w:val="19"/>
        </w:rPr>
        <w:t xml:space="preserve">The IPC relay carries chat messages only. Tool definitions, a call/result loop and a commit boundary would all be new work in the main process, since that is where the model connection lives.</w:t>
      </w:r>
    </w:p>
    <w:p>
      <w:pPr>
        <w:pStyle w:val="ListParagraph"/>
        <w:numPr>
          <w:ilvl w:val="0"/>
          <w:numId w:val="2"/>
        </w:numPr>
        <w:spacing w:after="50" w:before="0" w:line="250"/>
      </w:pPr>
      <w:r>
        <w:rPr>
          <w:rFonts w:ascii="Calibri" w:cs="Calibri" w:eastAsia="Calibri" w:hAnsi="Calibri"/>
          <w:b/>
          <w:bCs/>
          <w:color w:val="1A1A1A"/>
          <w:sz w:val="19"/>
          <w:szCs w:val="19"/>
        </w:rPr>
        <w:t xml:space="preserve">Hardware. </w:t>
      </w:r>
      <w:r>
        <w:rPr>
          <w:rFonts w:ascii="Calibri" w:cs="Calibri" w:eastAsia="Calibri" w:hAnsi="Calibri"/>
          <w:color w:val="1A1A1A"/>
          <w:sz w:val="19"/>
          <w:szCs w:val="19"/>
        </w:rPr>
        <w:t xml:space="preserve">The development machine is an RTX 4060 Laptop with 8 GB of VRAM. gemma4:e4b is a 9.6 GB model, so it already spills into system memory and runs partly on CPU; a resident 64K-context reader plus a second model at 32,768 context returns HTTP 500. Multi-step agent loops multiply calls against that ceiling, and each step costs seconds rather than milliseconds.</w:t>
      </w:r>
    </w:p>
    <w:p>
      <w:pPr>
        <w:pStyle w:val="ListParagraph"/>
        <w:numPr>
          <w:ilvl w:val="0"/>
          <w:numId w:val="2"/>
        </w:numPr>
        <w:spacing w:after="50" w:before="0" w:line="250"/>
      </w:pPr>
      <w:r>
        <w:rPr>
          <w:rFonts w:ascii="Calibri" w:cs="Calibri" w:eastAsia="Calibri" w:hAnsi="Calibri"/>
          <w:b/>
          <w:bCs/>
          <w:color w:val="1A1A1A"/>
          <w:sz w:val="19"/>
          <w:szCs w:val="19"/>
        </w:rPr>
        <w:t xml:space="preserve">The briefing is a fixed summary. </w:t>
      </w:r>
      <w:r>
        <w:rPr>
          <w:rFonts w:ascii="Calibri" w:cs="Calibri" w:eastAsia="Calibri" w:hAnsi="Calibri"/>
          <w:color w:val="1A1A1A"/>
          <w:sz w:val="19"/>
          <w:szCs w:val="19"/>
        </w:rPr>
        <w:t xml:space="preserve">Answering across all 500 catalogue rows, or reasoning about an arbitrary subset of 360 sessions, needs retrieval rather than one bounded prompt.</w:t>
      </w:r>
    </w:p>
    <w:p>
      <w:pPr>
        <w:pStyle w:val="ListParagraph"/>
        <w:numPr>
          <w:ilvl w:val="0"/>
          <w:numId w:val="2"/>
        </w:numPr>
        <w:spacing w:after="50" w:before="0" w:line="250"/>
      </w:pPr>
      <w:r>
        <w:rPr>
          <w:rFonts w:ascii="Calibri" w:cs="Calibri" w:eastAsia="Calibri" w:hAnsi="Calibri"/>
          <w:b/>
          <w:bCs/>
          <w:color w:val="1A1A1A"/>
          <w:sz w:val="19"/>
          <w:szCs w:val="19"/>
        </w:rPr>
        <w:t xml:space="preserve">No evaluation harness for the assistant. </w:t>
      </w:r>
      <w:r>
        <w:rPr>
          <w:rFonts w:ascii="Calibri" w:cs="Calibri" w:eastAsia="Calibri" w:hAnsi="Calibri"/>
          <w:color w:val="1A1A1A"/>
          <w:sz w:val="19"/>
          <w:szCs w:val="19"/>
        </w:rPr>
        <w:t xml:space="preserve">The solver has 78 headless checks; the assistant has none, so a regression in answer quality is invisible. Any agentic capability would need its own suite before it could be trusted with a commit boundary.</w:t>
      </w:r>
    </w:p>
    <w:p>
      <w:pPr>
        <w:pStyle w:val="ListParagraph"/>
        <w:numPr>
          <w:ilvl w:val="0"/>
          <w:numId w:val="2"/>
        </w:numPr>
        <w:spacing w:after="50" w:before="0" w:line="250"/>
      </w:pPr>
      <w:r>
        <w:rPr>
          <w:rFonts w:ascii="Calibri" w:cs="Calibri" w:eastAsia="Calibri" w:hAnsi="Calibri"/>
          <w:b/>
          <w:bCs/>
          <w:color w:val="1A1A1A"/>
          <w:sz w:val="19"/>
          <w:szCs w:val="19"/>
        </w:rPr>
        <w:t xml:space="preserve">The evidence from this project’s own delegation log. </w:t>
      </w:r>
      <w:r>
        <w:rPr>
          <w:rFonts w:ascii="Calibri" w:cs="Calibri" w:eastAsia="Calibri" w:hAnsi="Calibri"/>
          <w:color w:val="1A1A1A"/>
          <w:sz w:val="19"/>
          <w:szCs w:val="19"/>
        </w:rPr>
        <w:t xml:space="preserve">A delegated writing pass here satisfied every automated check — line count, key order, word limits, banned words — and still inverted the meaning of a field description. Structural gates do not catch semantic errors. That is the empirical argument for keeping the engine as decision-maker and the model strictly as proposer.</w:t>
      </w:r>
    </w:p>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14 · FROM DESKTOP TO A SERVER WITH STUDENT, TEACHER AND ADMINISTRATOR LOGINS</w:t>
      </w:r>
    </w:p>
    <w:p>
      <w:pPr>
        <w:pStyle w:val="Heading2"/>
        <w:keepNext/>
        <w:spacing w:after="60" w:before="170"/>
      </w:pPr>
      <w:r>
        <w:rPr>
          <w:rFonts w:ascii="Calibri" w:cs="Calibri" w:eastAsia="Calibri" w:hAnsi="Calibri"/>
          <w:b/>
          <w:bCs/>
          <w:color w:val="2E6DA4"/>
          <w:sz w:val="19"/>
          <w:szCs w:val="19"/>
        </w:rPr>
        <w:t xml:space="preserve">14.1 The asset that makes this cheap</w:t>
      </w:r>
    </w:p>
    <w:p>
      <w:pPr>
        <w:spacing w:after="90" w:before="0" w:line="250"/>
      </w:pPr>
      <w:r>
        <w:rPr>
          <w:rFonts w:ascii="Calibri" w:cs="Calibri" w:eastAsia="Calibri" w:hAnsi="Calibri"/>
          <w:color w:val="1A1A1A"/>
          <w:sz w:val="19"/>
          <w:szCs w:val="19"/>
        </w:rPr>
        <w:t xml:space="preserve">src/engine imports src/data but never React and never the DOM, and that boundary is already exercised: scripts/harness.ts bundles the entire engine with esbuild and runs it headless in Node. The solver therefore moves to a server process unchanged — no rewrite, no port, and no second implementation to keep in sync with the first. Everything below is about what surrounds the engine, not the engine itself.</w:t>
      </w:r>
    </w:p>
    <w:p>
      <w:pPr>
        <w:pStyle w:val="Heading2"/>
        <w:keepNext/>
        <w:spacing w:after="60" w:before="170"/>
      </w:pPr>
      <w:r>
        <w:rPr>
          <w:rFonts w:ascii="Calibri" w:cs="Calibri" w:eastAsia="Calibri" w:hAnsi="Calibri"/>
          <w:b/>
          <w:bCs/>
          <w:color w:val="2E6DA4"/>
          <w:sz w:val="19"/>
          <w:szCs w:val="19"/>
        </w:rPr>
        <w:t xml:space="preserve">14.2 What must be added</w:t>
      </w:r>
    </w:p>
    <w:tbl>
      <w:tblPr>
        <w:tblW w:type="dxa" w:w="9360"/>
        <w:tblBorders>
          <w:top w:val="single" w:color="D0D7DE" w:sz="3"/>
          <w:left w:val="single" w:color="D0D7DE" w:sz="3"/>
          <w:bottom w:val="single" w:color="D0D7DE" w:sz="3"/>
          <w:right w:val="single" w:color="D0D7DE" w:sz="3"/>
          <w:insideH w:val="single" w:color="D0D7DE" w:sz="3"/>
          <w:insideV w:val="single" w:color="D0D7DE" w:sz="3"/>
        </w:tblBorders>
      </w:tblPr>
      <w:tblGrid>
        <w:gridCol w:w="2100"/>
        <w:gridCol w:w="7260"/>
      </w:tblGrid>
      <w:tr>
        <w:trPr>
          <w:tblHeader/>
        </w:trPr>
        <w:tc>
          <w:tcPr>
            <w:tcW w:type="dxa" w:w="210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Concern</w:t>
            </w:r>
          </w:p>
        </w:tc>
        <w:tc>
          <w:tcPr>
            <w:tcW w:type="dxa" w:w="726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What it means here</w:t>
            </w:r>
          </w:p>
        </w:tc>
      </w:tr>
      <w:tr>
        <w:tc>
          <w:tcPr>
            <w:tcW w:type="dxa" w:w="2100"/>
            <w:tcMar>
              <w:top w:type="dxa" w:w="55"/>
              <w:left w:type="dxa" w:w="105"/>
              <w:bottom w:type="dxa" w:w="55"/>
              <w:right w:type="dxa" w:w="105"/>
            </w:tcMar>
          </w:tcPr>
          <w:p>
            <w:pPr>
              <w:spacing w:after="0" w:before="0" w:line="230"/>
            </w:pPr>
            <w:r>
              <w:rPr>
                <w:rFonts w:ascii="Calibri" w:cs="Calibri" w:eastAsia="Calibri" w:hAnsi="Calibri"/>
                <w:b/>
                <w:bCs/>
                <w:color w:val="1A1A1A"/>
                <w:sz w:val="17"/>
                <w:szCs w:val="17"/>
              </w:rPr>
              <w:t xml:space="preserve">Identity and roles</w:t>
            </w:r>
          </w:p>
        </w:tc>
        <w:tc>
          <w:tcPr>
            <w:tcW w:type="dxa" w:w="72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Three genuinely different surfaces. An administrator edits the configuration, the catalogue states and custom rules, and publishes schedules. A teacher edits their own availability, blocked periods and campus days, requests substitutions, and reads their own timetable. A student reads their cohort’s timetable and their elective basket, and nothing else.</w:t>
            </w:r>
          </w:p>
        </w:tc>
      </w:tr>
      <w:tr>
        <w:tc>
          <w:tcPr>
            <w:tcW w:type="dxa" w:w="2100"/>
            <w:shd w:fill="F7F9FB" w:color="auto" w:val="clear"/>
            <w:tcMar>
              <w:top w:type="dxa" w:w="55"/>
              <w:left w:type="dxa" w:w="105"/>
              <w:bottom w:type="dxa" w:w="55"/>
              <w:right w:type="dxa" w:w="105"/>
            </w:tcMar>
          </w:tcPr>
          <w:p>
            <w:pPr>
              <w:spacing w:after="0" w:before="0" w:line="230"/>
            </w:pPr>
            <w:r>
              <w:rPr>
                <w:rFonts w:ascii="Calibri" w:cs="Calibri" w:eastAsia="Calibri" w:hAnsi="Calibri"/>
                <w:b/>
                <w:bCs/>
                <w:color w:val="1A1A1A"/>
                <w:sz w:val="17"/>
                <w:szCs w:val="17"/>
              </w:rPr>
              <w:t xml:space="preserve">A datastore</w:t>
            </w:r>
          </w:p>
        </w:tc>
        <w:tc>
          <w:tcPr>
            <w:tcW w:type="dxa" w:w="726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The SetupConfig object becomes relational tables — campuses, buildings, rooms, departments, programmes, courses, cohorts, staff, calendar events, constraint states, custom rules — every one keyed by an institution id so a single deployment can serve several colleges.</w:t>
            </w:r>
          </w:p>
        </w:tc>
      </w:tr>
      <w:tr>
        <w:tc>
          <w:tcPr>
            <w:tcW w:type="dxa" w:w="2100"/>
            <w:tcMar>
              <w:top w:type="dxa" w:w="55"/>
              <w:left w:type="dxa" w:w="105"/>
              <w:bottom w:type="dxa" w:w="55"/>
              <w:right w:type="dxa" w:w="105"/>
            </w:tcMar>
          </w:tcPr>
          <w:p>
            <w:pPr>
              <w:spacing w:after="0" w:before="0" w:line="230"/>
            </w:pPr>
            <w:r>
              <w:rPr>
                <w:rFonts w:ascii="Calibri" w:cs="Calibri" w:eastAsia="Calibri" w:hAnsi="Calibri"/>
                <w:b/>
                <w:bCs/>
                <w:color w:val="1A1A1A"/>
                <w:sz w:val="17"/>
                <w:szCs w:val="17"/>
              </w:rPr>
              <w:t xml:space="preserve">Concurrency control</w:t>
            </w:r>
          </w:p>
        </w:tc>
        <w:tc>
          <w:tcPr>
            <w:tcW w:type="dxa" w:w="72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The desktop model assumes a single writer. Several administrators editing at once needs a version number on the configuration and a rejected write when that version has moved. Materialise-on-edit is already the natural version boundary: the moment an entity type is edited, the generated list is snapshotted into explicit records and the generator stops inventing it.</w:t>
            </w:r>
          </w:p>
        </w:tc>
      </w:tr>
      <w:tr>
        <w:tc>
          <w:tcPr>
            <w:tcW w:type="dxa" w:w="2100"/>
            <w:shd w:fill="F7F9FB" w:color="auto" w:val="clear"/>
            <w:tcMar>
              <w:top w:type="dxa" w:w="55"/>
              <w:left w:type="dxa" w:w="105"/>
              <w:bottom w:type="dxa" w:w="55"/>
              <w:right w:type="dxa" w:w="105"/>
            </w:tcMar>
          </w:tcPr>
          <w:p>
            <w:pPr>
              <w:spacing w:after="0" w:before="0" w:line="230"/>
            </w:pPr>
            <w:r>
              <w:rPr>
                <w:rFonts w:ascii="Calibri" w:cs="Calibri" w:eastAsia="Calibri" w:hAnsi="Calibri"/>
                <w:b/>
                <w:bCs/>
                <w:color w:val="1A1A1A"/>
                <w:sz w:val="17"/>
                <w:szCs w:val="17"/>
              </w:rPr>
              <w:t xml:space="preserve">A job queue</w:t>
            </w:r>
          </w:p>
        </w:tc>
        <w:tc>
          <w:tcPr>
            <w:tcW w:type="dxa" w:w="726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A full solve is CPU-bound and takes about 2.4 seconds on the default institution, growing with size — that is a job, not a request handler. The request returns a job id, and the worker already emits named progress phases the server can stream to the browser in the same message shape.</w:t>
            </w:r>
          </w:p>
        </w:tc>
      </w:tr>
      <w:tr>
        <w:tc>
          <w:tcPr>
            <w:tcW w:type="dxa" w:w="2100"/>
            <w:tcMar>
              <w:top w:type="dxa" w:w="55"/>
              <w:left w:type="dxa" w:w="105"/>
              <w:bottom w:type="dxa" w:w="55"/>
              <w:right w:type="dxa" w:w="105"/>
            </w:tcMar>
          </w:tcPr>
          <w:p>
            <w:pPr>
              <w:spacing w:after="0" w:before="0" w:line="230"/>
            </w:pPr>
            <w:r>
              <w:rPr>
                <w:rFonts w:ascii="Calibri" w:cs="Calibri" w:eastAsia="Calibri" w:hAnsi="Calibri"/>
                <w:b/>
                <w:bCs/>
                <w:color w:val="1A1A1A"/>
                <w:sz w:val="17"/>
                <w:szCs w:val="17"/>
              </w:rPr>
              <w:t xml:space="preserve">Caching</w:t>
            </w:r>
          </w:p>
        </w:tc>
        <w:tc>
          <w:tcPr>
            <w:tcW w:type="dxa" w:w="72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The solver is deterministic for a fixed seed, so an identical configuration, seed and constraint-state set can be served from cache instead of re-solved.</w:t>
            </w:r>
          </w:p>
        </w:tc>
      </w:tr>
      <w:tr>
        <w:tc>
          <w:tcPr>
            <w:tcW w:type="dxa" w:w="2100"/>
            <w:shd w:fill="F7F9FB" w:color="auto" w:val="clear"/>
            <w:tcMar>
              <w:top w:type="dxa" w:w="55"/>
              <w:left w:type="dxa" w:w="105"/>
              <w:bottom w:type="dxa" w:w="55"/>
              <w:right w:type="dxa" w:w="105"/>
            </w:tcMar>
          </w:tcPr>
          <w:p>
            <w:pPr>
              <w:spacing w:after="0" w:before="0" w:line="230"/>
            </w:pPr>
            <w:r>
              <w:rPr>
                <w:rFonts w:ascii="Calibri" w:cs="Calibri" w:eastAsia="Calibri" w:hAnsi="Calibri"/>
                <w:b/>
                <w:bCs/>
                <w:color w:val="1A1A1A"/>
                <w:sz w:val="17"/>
                <w:szCs w:val="17"/>
              </w:rPr>
              <w:t xml:space="preserve">Approval workflow</w:t>
            </w:r>
          </w:p>
        </w:tc>
        <w:tc>
          <w:tcPr>
            <w:tcW w:type="dxa" w:w="726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The pinned-session set and the activity log are the raw material. A teacher’s substitution request becomes a proposal an administrator approves, and every accepted change is already recorded.</w:t>
            </w:r>
          </w:p>
        </w:tc>
      </w:tr>
      <w:tr>
        <w:tc>
          <w:tcPr>
            <w:tcW w:type="dxa" w:w="2100"/>
            <w:tcMar>
              <w:top w:type="dxa" w:w="55"/>
              <w:left w:type="dxa" w:w="105"/>
              <w:bottom w:type="dxa" w:w="55"/>
              <w:right w:type="dxa" w:w="105"/>
            </w:tcMar>
          </w:tcPr>
          <w:p>
            <w:pPr>
              <w:spacing w:after="0" w:before="0" w:line="230"/>
            </w:pPr>
            <w:r>
              <w:rPr>
                <w:rFonts w:ascii="Calibri" w:cs="Calibri" w:eastAsia="Calibri" w:hAnsi="Calibri"/>
                <w:b/>
                <w:bCs/>
                <w:color w:val="1A1A1A"/>
                <w:sz w:val="17"/>
                <w:szCs w:val="17"/>
              </w:rPr>
              <w:t xml:space="preserve">Publication</w:t>
            </w:r>
          </w:p>
        </w:tc>
        <w:tc>
          <w:tcPr>
            <w:tcW w:type="dxa" w:w="72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Students and teachers must read a published, immutable version of a timetable, not whatever an administrator is mid-way through editing. That means a versioned schedule with an explicit publish step.</w:t>
            </w:r>
          </w:p>
        </w:tc>
      </w:tr>
    </w:tbl>
    <w:p>
      <w:pPr>
        <w:pStyle w:val="Heading2"/>
        <w:keepNext/>
        <w:spacing w:after="60" w:before="170"/>
      </w:pPr>
      <w:r>
        <w:rPr>
          <w:rFonts w:ascii="Calibri" w:cs="Calibri" w:eastAsia="Calibri" w:hAnsi="Calibri"/>
          <w:b/>
          <w:bCs/>
          <w:color w:val="2E6DA4"/>
          <w:sz w:val="19"/>
          <w:szCs w:val="19"/>
        </w:rPr>
        <w:t xml:space="preserve">14.3 What is genuinely absent</w:t>
      </w:r>
    </w:p>
    <w:p>
      <w:pPr>
        <w:pStyle w:val="ListParagraph"/>
        <w:numPr>
          <w:ilvl w:val="0"/>
          <w:numId w:val="2"/>
        </w:numPr>
        <w:spacing w:after="50" w:before="0" w:line="250"/>
      </w:pPr>
      <w:r>
        <w:rPr>
          <w:rFonts w:ascii="Calibri" w:cs="Calibri" w:eastAsia="Calibri" w:hAnsi="Calibri"/>
          <w:color w:val="1A1A1A"/>
          <w:sz w:val="19"/>
          <w:szCs w:val="19"/>
        </w:rPr>
        <w:t xml:space="preserve">No user table, no password or single-sign-on handling, no session management, no per-role API surface, no database migrations.</w:t>
      </w:r>
    </w:p>
    <w:p>
      <w:pPr>
        <w:pStyle w:val="ListParagraph"/>
        <w:numPr>
          <w:ilvl w:val="0"/>
          <w:numId w:val="2"/>
        </w:numPr>
        <w:spacing w:after="50" w:before="0" w:line="250"/>
      </w:pPr>
      <w:r>
        <w:rPr>
          <w:rFonts w:ascii="Calibri" w:cs="Calibri" w:eastAsia="Calibri" w:hAnsi="Calibri"/>
          <w:color w:val="1A1A1A"/>
          <w:sz w:val="19"/>
          <w:szCs w:val="19"/>
        </w:rPr>
        <w:t xml:space="preserve">No institution-scoping key anywhere in the current data model — every entity id today is unique only within one project file.</w:t>
      </w:r>
    </w:p>
    <w:p>
      <w:pPr>
        <w:pStyle w:val="ListParagraph"/>
        <w:numPr>
          <w:ilvl w:val="0"/>
          <w:numId w:val="2"/>
        </w:numPr>
        <w:spacing w:after="50" w:before="0" w:line="250"/>
      </w:pPr>
      <w:r>
        <w:rPr>
          <w:rFonts w:ascii="Calibri" w:cs="Calibri" w:eastAsia="Calibri" w:hAnsi="Calibri"/>
          <w:color w:val="1A1A1A"/>
          <w:sz w:val="19"/>
          <w:szCs w:val="19"/>
        </w:rPr>
        <w:t xml:space="preserve">No import path. generateInstitution is the single seam where a student information system or a CSV of real enrolment would attach; today the institution is generated deterministically from the wizard’s figures.</w:t>
      </w:r>
    </w:p>
    <w:p>
      <w:pPr>
        <w:pStyle w:val="ListParagraph"/>
        <w:numPr>
          <w:ilvl w:val="0"/>
          <w:numId w:val="2"/>
        </w:numPr>
        <w:spacing w:after="50" w:before="0" w:line="250"/>
      </w:pPr>
      <w:r>
        <w:rPr>
          <w:rFonts w:ascii="Calibri" w:cs="Calibri" w:eastAsia="Calibri" w:hAnsi="Calibri"/>
          <w:color w:val="1A1A1A"/>
          <w:sz w:val="19"/>
          <w:szCs w:val="19"/>
        </w:rPr>
        <w:t xml:space="preserve">Student personal data changes the compliance position entirely. The desktop build holds no personal data and makes no network call, which sidesteps the question; a hosted deployment holding enrolment records does not, and India’s DPDP Act obligations would attach to it.</w:t>
      </w:r>
    </w:p>
    <w:p>
      <w:pPr>
        <w:pStyle w:val="ListParagraph"/>
        <w:numPr>
          <w:ilvl w:val="0"/>
          <w:numId w:val="2"/>
        </w:numPr>
        <w:spacing w:after="50" w:before="0" w:line="250"/>
      </w:pPr>
      <w:r>
        <w:rPr>
          <w:rFonts w:ascii="Calibri" w:cs="Calibri" w:eastAsia="Calibri" w:hAnsi="Calibri"/>
          <w:color w:val="1A1A1A"/>
          <w:sz w:val="19"/>
          <w:szCs w:val="19"/>
        </w:rPr>
        <w:t xml:space="preserve">The assistant relays to localhost. A hosted deployment either runs a model server-side for everyone, at real and recurring cost, or drops the feature for non-desktop users.</w:t>
      </w:r>
    </w:p>
    <w:p>
      <w:pPr>
        <w:pBdr>
          <w:top w:val="single" w:color="EAF1F8" w:sz="2" w:space="5"/>
          <w:bottom w:val="single" w:color="EAF1F8" w:sz="2" w:space="5"/>
          <w:left w:val="single" w:color="1F4E79" w:sz="18" w:space="8"/>
          <w:right w:val="single" w:color="EAF1F8" w:sz="2" w:space="5"/>
        </w:pBdr>
        <w:shd w:fill="EAF1F8" w:color="auto" w:val="clear"/>
        <w:spacing w:after="110" w:before="90" w:line="250"/>
        <w:ind w:left="120" w:right="120"/>
      </w:pPr>
      <w:r>
        <w:rPr>
          <w:rFonts w:ascii="Calibri" w:cs="Calibri" w:eastAsia="Calibri" w:hAnsi="Calibri"/>
          <w:b/>
          <w:bCs/>
          <w:color w:val="1A1A1A"/>
          <w:sz w:val="19"/>
          <w:szCs w:val="19"/>
        </w:rPr>
        <w:t xml:space="preserve">Sequencing. </w:t>
      </w:r>
      <w:r>
        <w:rPr>
          <w:rFonts w:ascii="Calibri" w:cs="Calibri" w:eastAsia="Calibri" w:hAnsi="Calibri"/>
          <w:color w:val="1A1A1A"/>
          <w:sz w:val="19"/>
          <w:szCs w:val="19"/>
        </w:rPr>
        <w:t xml:space="preserve">The order that de-risks this is: extract the engine into a Node service behind the existing request/response contract; put the configuration in a database with versioning; add identity and the three read surfaces; add the publish step; and only then open write access beyond the administrator. Each step is independently shippable, and the first one is close to free.</w:t>
      </w:r>
    </w:p>
    <w:p>
      <w:r>
        <w:br w:type="page"/>
      </w:r>
    </w:p>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15 · INCORPORATING EXAMINATION SCHEDULING</w:t>
      </w:r>
    </w:p>
    <w:p>
      <w:pPr>
        <w:pStyle w:val="Heading2"/>
        <w:keepNext/>
        <w:spacing w:after="60" w:before="170"/>
      </w:pPr>
      <w:r>
        <w:rPr>
          <w:rFonts w:ascii="Calibri" w:cs="Calibri" w:eastAsia="Calibri" w:hAnsi="Calibri"/>
          <w:b/>
          <w:bCs/>
          <w:color w:val="2E6DA4"/>
          <w:sz w:val="19"/>
          <w:szCs w:val="19"/>
        </w:rPr>
        <w:t xml:space="preserve">15.1 The current position, stated honestly</w:t>
      </w:r>
    </w:p>
    <w:p>
      <w:pPr>
        <w:spacing w:after="90" w:before="0" w:line="250"/>
      </w:pPr>
      <w:r>
        <w:rPr>
          <w:rFonts w:ascii="Calibri" w:cs="Calibri" w:eastAsia="Calibri" w:hAnsi="Calibri"/>
          <w:color w:val="1A1A1A"/>
          <w:sz w:val="19"/>
          <w:szCs w:val="19"/>
        </w:rPr>
        <w:t xml:space="preserve">Domain XIII of the catalogue — constraints 166 to 175 — is examinations. All ten rows are stored verbatim, but only two are enforced and eight are advisory. The rule-key list in data/constraints/types.ts carries a section comment for examinations with no keys beneath it: there is no exam-specific rule implementation anywhere in the engine. The academic calendar already recognises an event kind called exam, so an operator can mark an examination period and watch it removed from teaching dates — but nothing schedules anything into that period. Aula builds the weekly teaching timetable, and examination scheduling is recorded as an explicit gap rather than quietly implied.</w:t>
      </w:r>
    </w:p>
    <w:p>
      <w:pPr>
        <w:pStyle w:val="Heading2"/>
        <w:keepNext/>
        <w:spacing w:after="60" w:before="170"/>
      </w:pPr>
      <w:r>
        <w:rPr>
          <w:rFonts w:ascii="Calibri" w:cs="Calibri" w:eastAsia="Calibri" w:hAnsi="Calibri"/>
          <w:b/>
          <w:bCs/>
          <w:color w:val="2E6DA4"/>
          <w:sz w:val="19"/>
          <w:szCs w:val="19"/>
        </w:rPr>
        <w:t xml:space="preserve">15.2 Why the eight advisory rows cannot simply be switched on</w:t>
      </w:r>
    </w:p>
    <w:p>
      <w:pPr>
        <w:pStyle w:val="ListParagraph"/>
        <w:numPr>
          <w:ilvl w:val="0"/>
          <w:numId w:val="2"/>
        </w:numPr>
        <w:spacing w:after="50" w:before="0" w:line="250"/>
      </w:pPr>
      <w:r>
        <w:rPr>
          <w:rFonts w:ascii="Calibri" w:cs="Calibri" w:eastAsia="Calibri" w:hAnsi="Calibri"/>
          <w:b/>
          <w:bCs/>
          <w:color w:val="1A1A1A"/>
          <w:sz w:val="19"/>
          <w:szCs w:val="19"/>
        </w:rPr>
        <w:t xml:space="preserve">A Session is the wrong shape. </w:t>
      </w:r>
      <w:r>
        <w:rPr>
          <w:rFonts w:ascii="Calibri" w:cs="Calibri" w:eastAsia="Calibri" w:hAnsi="Calibri"/>
          <w:color w:val="1A1A1A"/>
          <w:sz w:val="19"/>
          <w:szCs w:val="19"/>
        </w:rPr>
        <w:t xml:space="preserve">It is a repeating weekly placement — course, instructor, cohort, room, day index, slot index, length in slots. An examination is a one-off event on a dated calendar, which the weekly grid cannot express.</w:t>
      </w:r>
    </w:p>
    <w:p>
      <w:pPr>
        <w:pStyle w:val="ListParagraph"/>
        <w:numPr>
          <w:ilvl w:val="0"/>
          <w:numId w:val="2"/>
        </w:numPr>
        <w:spacing w:after="50" w:before="0" w:line="250"/>
      </w:pPr>
      <w:r>
        <w:rPr>
          <w:rFonts w:ascii="Calibri" w:cs="Calibri" w:eastAsia="Calibri" w:hAnsi="Calibri"/>
          <w:b/>
          <w:bCs/>
          <w:color w:val="1A1A1A"/>
          <w:sz w:val="19"/>
          <w:szCs w:val="19"/>
        </w:rPr>
        <w:t xml:space="preserve">There are no individual students. </w:t>
      </w:r>
      <w:r>
        <w:rPr>
          <w:rFonts w:ascii="Calibri" w:cs="Calibri" w:eastAsia="Calibri" w:hAnsi="Calibri"/>
          <w:color w:val="1A1A1A"/>
          <w:sz w:val="19"/>
          <w:szCs w:val="19"/>
        </w:rPr>
        <w:t xml:space="preserve">Constraint 166 says a student cannot sit two exams at once; constraint 167 says a student cannot sit three within 24 hours. Both are stated about a person. A cohort in Aula carries a size — a count — and nothing below it, so two courses taken by overlapping subsets of one cohort are indistinguishable from two courses taken by exactly the same students. Those constraints are undecidable from the current model, which is precisely why they are advisory rather than faked.</w:t>
      </w:r>
    </w:p>
    <w:p>
      <w:pPr>
        <w:pStyle w:val="ListParagraph"/>
        <w:numPr>
          <w:ilvl w:val="0"/>
          <w:numId w:val="2"/>
        </w:numPr>
        <w:spacing w:after="50" w:before="0" w:line="250"/>
      </w:pPr>
      <w:r>
        <w:rPr>
          <w:rFonts w:ascii="Calibri" w:cs="Calibri" w:eastAsia="Calibri" w:hAnsi="Calibri"/>
          <w:b/>
          <w:bCs/>
          <w:color w:val="1A1A1A"/>
          <w:sz w:val="19"/>
          <w:szCs w:val="19"/>
        </w:rPr>
        <w:t xml:space="preserve">One room per session. </w:t>
      </w:r>
      <w:r>
        <w:rPr>
          <w:rFonts w:ascii="Calibri" w:cs="Calibri" w:eastAsia="Calibri" w:hAnsi="Calibri"/>
          <w:color w:val="1A1A1A"/>
          <w:sz w:val="19"/>
          <w:szCs w:val="19"/>
        </w:rPr>
        <w:t xml:space="preserve">Constraint 169 computes exam room capacity at 50% of lecture capacity to leave empty seats between candidates. A Session holds a single room id, so a cohort too large for any one room at half capacity cannot be represented at all — and examinations routinely span several rooms.</w:t>
      </w:r>
    </w:p>
    <w:p>
      <w:pPr>
        <w:pStyle w:val="ListParagraph"/>
        <w:numPr>
          <w:ilvl w:val="0"/>
          <w:numId w:val="2"/>
        </w:numPr>
        <w:spacing w:after="50" w:before="0" w:line="250"/>
      </w:pPr>
      <w:r>
        <w:rPr>
          <w:rFonts w:ascii="Calibri" w:cs="Calibri" w:eastAsia="Calibri" w:hAnsi="Calibri"/>
          <w:b/>
          <w:bCs/>
          <w:color w:val="1A1A1A"/>
          <w:sz w:val="19"/>
          <w:szCs w:val="19"/>
        </w:rPr>
        <w:t xml:space="preserve">Invigilation is a different assignment. </w:t>
      </w:r>
      <w:r>
        <w:rPr>
          <w:rFonts w:ascii="Calibri" w:cs="Calibri" w:eastAsia="Calibri" w:hAnsi="Calibri"/>
          <w:color w:val="1A1A1A"/>
          <w:sz w:val="19"/>
          <w:szCs w:val="19"/>
        </w:rPr>
        <w:t xml:space="preserve">The person supervising an examination is not necessarily the person who taught the course, and their workload limits are not teaching limits.</w:t>
      </w:r>
    </w:p>
    <w:p>
      <w:pPr>
        <w:pStyle w:val="Heading2"/>
        <w:keepNext/>
        <w:spacing w:after="60" w:before="170"/>
      </w:pPr>
      <w:r>
        <w:rPr>
          <w:rFonts w:ascii="Calibri" w:cs="Calibri" w:eastAsia="Calibri" w:hAnsi="Calibri"/>
          <w:b/>
          <w:bCs/>
          <w:color w:val="2E6DA4"/>
          <w:sz w:val="19"/>
          <w:szCs w:val="19"/>
        </w:rPr>
        <w:t xml:space="preserve">15.3 What would have to be built</w:t>
      </w:r>
    </w:p>
    <w:p>
      <w:pPr>
        <w:pStyle w:val="ListParagraph"/>
        <w:numPr>
          <w:ilvl w:val="0"/>
          <w:numId w:val="5"/>
        </w:numPr>
        <w:spacing w:after="50" w:before="0" w:line="250"/>
      </w:pPr>
      <w:r>
        <w:rPr>
          <w:rFonts w:ascii="Calibri" w:cs="Calibri" w:eastAsia="Calibri" w:hAnsi="Calibri"/>
          <w:b/>
          <w:bCs/>
          <w:color w:val="1A1A1A"/>
          <w:sz w:val="19"/>
          <w:szCs w:val="19"/>
        </w:rPr>
        <w:t xml:space="preserve">An assessment entity, </w:t>
      </w:r>
      <w:r>
        <w:rPr>
          <w:rFonts w:ascii="Calibri" w:cs="Calibri" w:eastAsia="Calibri" w:hAnsi="Calibri"/>
          <w:color w:val="1A1A1A"/>
          <w:sz w:val="19"/>
          <w:szCs w:val="19"/>
        </w:rPr>
        <w:t xml:space="preserve">distinct from a course session: the course it examines, a duration, a permitted date window, a mode — written, practical or take-home — and a seating factor.</w:t>
      </w:r>
    </w:p>
    <w:p>
      <w:pPr>
        <w:pStyle w:val="ListParagraph"/>
        <w:numPr>
          <w:ilvl w:val="0"/>
          <w:numId w:val="5"/>
        </w:numPr>
        <w:spacing w:after="50" w:before="0" w:line="250"/>
      </w:pPr>
      <w:r>
        <w:rPr>
          <w:rFonts w:ascii="Calibri" w:cs="Calibri" w:eastAsia="Calibri" w:hAnsi="Calibri"/>
          <w:b/>
          <w:bCs/>
          <w:color w:val="1A1A1A"/>
          <w:sz w:val="19"/>
          <w:szCs w:val="19"/>
        </w:rPr>
        <w:t xml:space="preserve">Enrolment at student level, </w:t>
      </w:r>
      <w:r>
        <w:rPr>
          <w:rFonts w:ascii="Calibri" w:cs="Calibri" w:eastAsia="Calibri" w:hAnsi="Calibri"/>
          <w:color w:val="1A1A1A"/>
          <w:sz w:val="19"/>
          <w:szCs w:val="19"/>
        </w:rPr>
        <w:t xml:space="preserve">or at minimum membership of elective baskets, so the number of students shared between any two examinations is computable. This single addition is what turns constraints 166 and 167 from advisory into enforceable, and it is the pivot on which the whole feature turns.</w:t>
      </w:r>
    </w:p>
    <w:p>
      <w:pPr>
        <w:pStyle w:val="ListParagraph"/>
        <w:numPr>
          <w:ilvl w:val="0"/>
          <w:numId w:val="5"/>
        </w:numPr>
        <w:spacing w:after="50" w:before="0" w:line="250"/>
      </w:pPr>
      <w:r>
        <w:rPr>
          <w:rFonts w:ascii="Calibri" w:cs="Calibri" w:eastAsia="Calibri" w:hAnsi="Calibri"/>
          <w:b/>
          <w:bCs/>
          <w:color w:val="1A1A1A"/>
          <w:sz w:val="19"/>
          <w:szCs w:val="19"/>
        </w:rPr>
        <w:t xml:space="preserve">A one-to-many seating allocation, </w:t>
      </w:r>
      <w:r>
        <w:rPr>
          <w:rFonts w:ascii="Calibri" w:cs="Calibri" w:eastAsia="Calibri" w:hAnsi="Calibri"/>
          <w:color w:val="1A1A1A"/>
          <w:sz w:val="19"/>
          <w:szCs w:val="19"/>
        </w:rPr>
        <w:t xml:space="preserve">replacing the single room id, with capacity computed through the seating factor.</w:t>
      </w:r>
    </w:p>
    <w:p>
      <w:pPr>
        <w:pStyle w:val="ListParagraph"/>
        <w:numPr>
          <w:ilvl w:val="0"/>
          <w:numId w:val="5"/>
        </w:numPr>
        <w:spacing w:after="50" w:before="0" w:line="250"/>
      </w:pPr>
      <w:r>
        <w:rPr>
          <w:rFonts w:ascii="Calibri" w:cs="Calibri" w:eastAsia="Calibri" w:hAnsi="Calibri"/>
          <w:b/>
          <w:bCs/>
          <w:color w:val="1A1A1A"/>
          <w:sz w:val="19"/>
          <w:szCs w:val="19"/>
        </w:rPr>
        <w:t xml:space="preserve">An invigilation assignment </w:t>
      </w:r>
      <w:r>
        <w:rPr>
          <w:rFonts w:ascii="Calibri" w:cs="Calibri" w:eastAsia="Calibri" w:hAnsi="Calibri"/>
          <w:color w:val="1A1A1A"/>
          <w:sz w:val="19"/>
          <w:szCs w:val="19"/>
        </w:rPr>
        <w:t xml:space="preserve">with its own availability and workload rules — a second, smaller assignment problem layered on the first.</w:t>
      </w:r>
    </w:p>
    <w:p>
      <w:pPr>
        <w:pStyle w:val="ListParagraph"/>
        <w:numPr>
          <w:ilvl w:val="0"/>
          <w:numId w:val="5"/>
        </w:numPr>
        <w:spacing w:after="50" w:before="0" w:line="250"/>
      </w:pPr>
      <w:r>
        <w:rPr>
          <w:rFonts w:ascii="Calibri" w:cs="Calibri" w:eastAsia="Calibri" w:hAnsi="Calibri"/>
          <w:b/>
          <w:bCs/>
          <w:color w:val="1A1A1A"/>
          <w:sz w:val="19"/>
          <w:szCs w:val="19"/>
        </w:rPr>
        <w:t xml:space="preserve">A dated grid rather than a weekly one. </w:t>
      </w:r>
      <w:r>
        <w:rPr>
          <w:rFonts w:ascii="Calibri" w:cs="Calibri" w:eastAsia="Calibri" w:hAnsi="Calibri"/>
          <w:color w:val="1A1A1A"/>
          <w:sz w:val="19"/>
          <w:szCs w:val="19"/>
        </w:rPr>
        <w:t xml:space="preserve">The academic calendar already holds term dates, closures and a per-weekday count of surviving teaching dates, so the dated machinery exists and would be reused rather than written again.</w:t>
      </w:r>
    </w:p>
    <w:p>
      <w:pPr>
        <w:pStyle w:val="Heading2"/>
        <w:keepNext/>
        <w:spacing w:after="60" w:before="170"/>
      </w:pPr>
      <w:r>
        <w:rPr>
          <w:rFonts w:ascii="Calibri" w:cs="Calibri" w:eastAsia="Calibri" w:hAnsi="Calibri"/>
          <w:b/>
          <w:bCs/>
          <w:color w:val="2E6DA4"/>
          <w:sz w:val="19"/>
          <w:szCs w:val="19"/>
        </w:rPr>
        <w:t xml:space="preserve">15.4 The algorithm, and what transfers unchanged</w:t>
      </w:r>
    </w:p>
    <w:p>
      <w:pPr>
        <w:spacing w:after="90" w:before="0" w:line="250"/>
      </w:pPr>
      <w:r>
        <w:rPr>
          <w:rFonts w:ascii="Calibri" w:cs="Calibri" w:eastAsia="Calibri" w:hAnsi="Calibri"/>
          <w:color w:val="1A1A1A"/>
          <w:sz w:val="19"/>
          <w:szCs w:val="19"/>
        </w:rPr>
        <w:t xml:space="preserve">Examination timetabling with student-level enrolment is a graph colouring problem. Each examination is a node; an edge joins two examinations sharing at least one student; each colour is an examination slot. A saturation-degree heuristic — repeatedly colouring the node with the fewest remaining legal colours — is the standard first pass, and it is the direct analogue of the least-slack demand ordering the teaching solver already uses. Spreading examinations apart to satisfy constraint 167 is then a soft cost over that colouring, which is the same shape as the existing soft-pricing loop.</w:t>
      </w:r>
    </w:p>
    <w:p>
      <w:pPr>
        <w:spacing w:after="90" w:before="0" w:line="250"/>
      </w:pPr>
      <w:r>
        <w:rPr>
          <w:rFonts w:ascii="Calibri" w:cs="Calibri" w:eastAsia="Calibri" w:hAnsi="Calibri"/>
          <w:color w:val="1A1A1A"/>
          <w:sz w:val="19"/>
          <w:szCs w:val="19"/>
        </w:rPr>
        <w:t xml:space="preserve">What transfers without modification: the incremental occupancy index, the RuleImpl contract of check, cost and audit, the three-pass placement skeleton, the attribution of every refusal to a named constraint number, and the independent re-derivation of hard invariants in the verification harness. The empty examinations section in the rule-key list is the designated home for the new keys, so the published 1–500 numbering never changes.</w:t>
      </w:r>
    </w:p>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16 · KNOWN GAPS</w:t>
      </w:r>
    </w:p>
    <w:tbl>
      <w:tblPr>
        <w:tblW w:type="dxa" w:w="9360"/>
        <w:tblBorders>
          <w:top w:val="single" w:color="D0D7DE" w:sz="3"/>
          <w:left w:val="single" w:color="D0D7DE" w:sz="3"/>
          <w:bottom w:val="single" w:color="D0D7DE" w:sz="3"/>
          <w:right w:val="single" w:color="D0D7DE" w:sz="3"/>
          <w:insideH w:val="single" w:color="D0D7DE" w:sz="3"/>
          <w:insideV w:val="single" w:color="D0D7DE" w:sz="3"/>
        </w:tblBorders>
      </w:tblPr>
      <w:tblGrid>
        <w:gridCol w:w="900"/>
        <w:gridCol w:w="3200"/>
        <w:gridCol w:w="5260"/>
      </w:tblGrid>
      <w:tr>
        <w:trPr>
          <w:tblHeader/>
        </w:trPr>
        <w:tc>
          <w:tcPr>
            <w:tcW w:type="dxa" w:w="90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Ref</w:t>
            </w:r>
          </w:p>
        </w:tc>
        <w:tc>
          <w:tcPr>
            <w:tcW w:type="dxa" w:w="320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Gap</w:t>
            </w:r>
          </w:p>
        </w:tc>
        <w:tc>
          <w:tcPr>
            <w:tcW w:type="dxa" w:w="526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Consequence and path forward</w:t>
            </w:r>
          </w:p>
        </w:tc>
      </w:tr>
      <w:tr>
        <w:tc>
          <w:tcPr>
            <w:tcW w:type="dxa" w:w="9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GAP-01</w:t>
            </w:r>
          </w:p>
        </w:tc>
        <w:tc>
          <w:tcPr>
            <w:tcW w:type="dxa" w:w="32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199 of 500 constraints are advisory</w:t>
            </w:r>
          </w:p>
        </w:tc>
        <w:tc>
          <w:tcPr>
            <w:tcW w:type="dxa" w:w="52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Tracked, weighted, switchable and exported for sign-off, but not engine-decided. Extending the data model — an assessment entity, a facilities calendar — is the path to enforcing more.</w:t>
            </w:r>
          </w:p>
        </w:tc>
      </w:tr>
      <w:tr>
        <w:tc>
          <w:tcPr>
            <w:tcW w:type="dxa" w:w="9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GAP-02</w:t>
            </w:r>
          </w:p>
        </w:tc>
        <w:tc>
          <w:tcPr>
            <w:tcW w:type="dxa" w:w="32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The solver does not prove optimality</w:t>
            </w:r>
          </w:p>
        </w:tc>
        <w:tc>
          <w:tcPr>
            <w:tcW w:type="dxa" w:w="526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A constraint-guided greedy placer with one level of backtracking. Guarantees every enabled hard constraint and minimises weighted soft cost, but cannot show no better arrangement exists. A CP-SAT backend would.</w:t>
            </w:r>
          </w:p>
        </w:tc>
      </w:tr>
      <w:tr>
        <w:tc>
          <w:tcPr>
            <w:tcW w:type="dxa" w:w="9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GAP-03</w:t>
            </w:r>
          </w:p>
        </w:tc>
        <w:tc>
          <w:tcPr>
            <w:tcW w:type="dxa" w:w="32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Cohort gap minimisation is the weakest soft objective</w:t>
            </w:r>
          </w:p>
        </w:tc>
        <w:tc>
          <w:tcPr>
            <w:tcW w:type="dxa" w:w="52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Typical output leaves roughly nine free slots per cohort per week.</w:t>
            </w:r>
          </w:p>
        </w:tc>
      </w:tr>
      <w:tr>
        <w:tc>
          <w:tcPr>
            <w:tcW w:type="dxa" w:w="9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GAP-04</w:t>
            </w:r>
          </w:p>
        </w:tc>
        <w:tc>
          <w:tcPr>
            <w:tcW w:type="dxa" w:w="32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No CSV or SIS import</w:t>
            </w:r>
          </w:p>
        </w:tc>
        <w:tc>
          <w:tcPr>
            <w:tcW w:type="dxa" w:w="526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Institution data is generated from the wizard’s figures. generateInstitution is the single seam where a real feed would attach.</w:t>
            </w:r>
          </w:p>
        </w:tc>
      </w:tr>
      <w:tr>
        <w:tc>
          <w:tcPr>
            <w:tcW w:type="dxa" w:w="9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GAP-05</w:t>
            </w:r>
          </w:p>
        </w:tc>
        <w:tc>
          <w:tcPr>
            <w:tcW w:type="dxa" w:w="32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Exam scheduling is out of scope</w:t>
            </w:r>
          </w:p>
        </w:tc>
        <w:tc>
          <w:tcPr>
            <w:tcW w:type="dxa" w:w="52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The application builds the weekly teaching timetable. Section 15 sets out what closing this requires.</w:t>
            </w:r>
          </w:p>
        </w:tc>
      </w:tr>
      <w:tr>
        <w:tc>
          <w:tcPr>
            <w:tcW w:type="dxa" w:w="9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GAP-06</w:t>
            </w:r>
          </w:p>
        </w:tc>
        <w:tc>
          <w:tcPr>
            <w:tcW w:type="dxa" w:w="32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The assistant needs Ollama installed locally</w:t>
            </w:r>
          </w:p>
        </w:tc>
        <w:tc>
          <w:tcPr>
            <w:tcW w:type="dxa" w:w="526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Without it the page falls back to the deterministic explainer. By design, but the richer answers are unavailable on a clean machine.</w:t>
            </w:r>
          </w:p>
        </w:tc>
      </w:tr>
      <w:tr>
        <w:tc>
          <w:tcPr>
            <w:tcW w:type="dxa" w:w="9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GAP-07</w:t>
            </w:r>
          </w:p>
        </w:tc>
        <w:tc>
          <w:tcPr>
            <w:tcW w:type="dxa" w:w="32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Custom rules offer eight templates</w:t>
            </w:r>
          </w:p>
        </w:tc>
        <w:tc>
          <w:tcPr>
            <w:tcW w:type="dxa" w:w="52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Anything outside them must be expressed by retuning a catalogue constraint. Free-text authoring must compile to an evaluable form to be worth adding.</w:t>
            </w:r>
          </w:p>
        </w:tc>
      </w:tr>
      <w:tr>
        <w:tc>
          <w:tcPr>
            <w:tcW w:type="dxa" w:w="9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w:t>
            </w:r>
          </w:p>
        </w:tc>
        <w:tc>
          <w:tcPr>
            <w:tcW w:type="dxa" w:w="32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The build is not code-signed</w:t>
            </w:r>
          </w:p>
        </w:tc>
        <w:tc>
          <w:tcPr>
            <w:tcW w:type="dxa" w:w="526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Windows SmartScreen warns on first run.</w:t>
            </w:r>
          </w:p>
        </w:tc>
      </w:tr>
      <w:tr>
        <w:tc>
          <w:tcPr>
            <w:tcW w:type="dxa" w:w="9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w:t>
            </w:r>
          </w:p>
        </w:tc>
        <w:tc>
          <w:tcPr>
            <w:tcW w:type="dxa" w:w="32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Two periods a week in every room lifts pressure to 36%</w:t>
            </w:r>
          </w:p>
        </w:tc>
        <w:tc>
          <w:tcPr>
            <w:tcW w:type="dxa" w:w="52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On some seeds this strands the last meeting of a course behind instructors all committed elsewhere. Displacement moves rooms, not people, so it cannot rescue that case; the shortfall is reported by constraint number.</w:t>
            </w:r>
          </w:p>
        </w:tc>
      </w:tr>
    </w:tbl>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17 · ROADMAP</w:t>
      </w:r>
    </w:p>
    <w:p>
      <w:pPr>
        <w:pStyle w:val="ListParagraph"/>
        <w:numPr>
          <w:ilvl w:val="0"/>
          <w:numId w:val="2"/>
        </w:numPr>
        <w:spacing w:after="50" w:before="0" w:line="250"/>
      </w:pPr>
      <w:r>
        <w:rPr>
          <w:rFonts w:ascii="Calibri" w:cs="Calibri" w:eastAsia="Calibri" w:hAnsi="Calibri"/>
          <w:b/>
          <w:bCs/>
          <w:color w:val="1A1A1A"/>
          <w:sz w:val="19"/>
          <w:szCs w:val="19"/>
        </w:rPr>
        <w:t xml:space="preserve">A CP-SAT backend (Google OR-Tools). </w:t>
      </w:r>
      <w:r>
        <w:rPr>
          <w:rFonts w:ascii="Calibri" w:cs="Calibri" w:eastAsia="Calibri" w:hAnsi="Calibri"/>
          <w:color w:val="1A1A1A"/>
          <w:sz w:val="19"/>
          <w:szCs w:val="19"/>
        </w:rPr>
        <w:t xml:space="preserve">The largest single upgrade: swap the greedy placer for a constraint-programming solver behind the same interface, so a schedule is provably optimal on soft cost rather than merely legal and fast. The RuleImpl contract already separates “is this legal” from “how good is this”, which is the split a CP model needs.</w:t>
      </w:r>
    </w:p>
    <w:p>
      <w:pPr>
        <w:pStyle w:val="ListParagraph"/>
        <w:numPr>
          <w:ilvl w:val="0"/>
          <w:numId w:val="2"/>
        </w:numPr>
        <w:spacing w:after="50" w:before="0" w:line="250"/>
      </w:pPr>
      <w:r>
        <w:rPr>
          <w:rFonts w:ascii="Calibri" w:cs="Calibri" w:eastAsia="Calibri" w:hAnsi="Calibri"/>
          <w:b/>
          <w:bCs/>
          <w:color w:val="1A1A1A"/>
          <w:sz w:val="19"/>
          <w:szCs w:val="19"/>
        </w:rPr>
        <w:t xml:space="preserve">Student-level enrolment, then examinations. </w:t>
      </w:r>
      <w:r>
        <w:rPr>
          <w:rFonts w:ascii="Calibri" w:cs="Calibri" w:eastAsia="Calibri" w:hAnsi="Calibri"/>
          <w:color w:val="1A1A1A"/>
          <w:sz w:val="19"/>
          <w:szCs w:val="19"/>
        </w:rPr>
        <w:t xml:space="preserve">One data-model addition unlocks constraints 166 and 167 and the whole of section 15.</w:t>
      </w:r>
    </w:p>
    <w:p>
      <w:pPr>
        <w:pStyle w:val="ListParagraph"/>
        <w:numPr>
          <w:ilvl w:val="0"/>
          <w:numId w:val="2"/>
        </w:numPr>
        <w:spacing w:after="50" w:before="0" w:line="250"/>
      </w:pPr>
      <w:r>
        <w:rPr>
          <w:rFonts w:ascii="Calibri" w:cs="Calibri" w:eastAsia="Calibri" w:hAnsi="Calibri"/>
          <w:b/>
          <w:bCs/>
          <w:color w:val="1A1A1A"/>
          <w:sz w:val="19"/>
          <w:szCs w:val="19"/>
        </w:rPr>
        <w:t xml:space="preserve">The engine as a Node service. </w:t>
      </w:r>
      <w:r>
        <w:rPr>
          <w:rFonts w:ascii="Calibri" w:cs="Calibri" w:eastAsia="Calibri" w:hAnsi="Calibri"/>
          <w:color w:val="1A1A1A"/>
          <w:sz w:val="19"/>
          <w:szCs w:val="19"/>
        </w:rPr>
        <w:t xml:space="preserve">Independently shippable, close to free given the existing boundary, and the prerequisite for everything in section 14.</w:t>
      </w:r>
    </w:p>
    <w:p>
      <w:pPr>
        <w:pStyle w:val="ListParagraph"/>
        <w:numPr>
          <w:ilvl w:val="0"/>
          <w:numId w:val="2"/>
        </w:numPr>
        <w:spacing w:after="50" w:before="0" w:line="250"/>
      </w:pPr>
      <w:r>
        <w:rPr>
          <w:rFonts w:ascii="Calibri" w:cs="Calibri" w:eastAsia="Calibri" w:hAnsi="Calibri"/>
          <w:b/>
          <w:bCs/>
          <w:color w:val="1A1A1A"/>
          <w:sz w:val="19"/>
          <w:szCs w:val="19"/>
        </w:rPr>
        <w:t xml:space="preserve">Identity and the three read surfaces, then the publish step. </w:t>
      </w:r>
      <w:r>
        <w:rPr>
          <w:rFonts w:ascii="Calibri" w:cs="Calibri" w:eastAsia="Calibri" w:hAnsi="Calibri"/>
          <w:color w:val="1A1A1A"/>
          <w:sz w:val="19"/>
          <w:szCs w:val="19"/>
        </w:rPr>
        <w:t xml:space="preserve">Read access for students and teachers before write access beyond the administrator.</w:t>
      </w:r>
    </w:p>
    <w:p>
      <w:pPr>
        <w:pStyle w:val="ListParagraph"/>
        <w:numPr>
          <w:ilvl w:val="0"/>
          <w:numId w:val="2"/>
        </w:numPr>
        <w:spacing w:after="50" w:before="0" w:line="250"/>
      </w:pPr>
      <w:r>
        <w:rPr>
          <w:rFonts w:ascii="Calibri" w:cs="Calibri" w:eastAsia="Calibri" w:hAnsi="Calibri"/>
          <w:b/>
          <w:bCs/>
          <w:color w:val="1A1A1A"/>
          <w:sz w:val="19"/>
          <w:szCs w:val="19"/>
        </w:rPr>
        <w:t xml:space="preserve">SIS and CSV import at the generateInstitution seam. </w:t>
      </w:r>
      <w:r>
        <w:rPr>
          <w:rFonts w:ascii="Calibri" w:cs="Calibri" w:eastAsia="Calibri" w:hAnsi="Calibri"/>
          <w:color w:val="1A1A1A"/>
          <w:sz w:val="19"/>
          <w:szCs w:val="19"/>
        </w:rPr>
        <w:t xml:space="preserve">Replaces figures with live enrolment and makes the elective-basket work real rather than synthetic.</w:t>
      </w:r>
    </w:p>
    <w:p>
      <w:pPr>
        <w:pStyle w:val="ListParagraph"/>
        <w:numPr>
          <w:ilvl w:val="0"/>
          <w:numId w:val="2"/>
        </w:numPr>
        <w:spacing w:after="50" w:before="0" w:line="250"/>
      </w:pPr>
      <w:r>
        <w:rPr>
          <w:rFonts w:ascii="Calibri" w:cs="Calibri" w:eastAsia="Calibri" w:hAnsi="Calibri"/>
          <w:b/>
          <w:bCs/>
          <w:color w:val="1A1A1A"/>
          <w:sz w:val="19"/>
          <w:szCs w:val="19"/>
        </w:rPr>
        <w:t xml:space="preserve">An agent loop bound to checkMove, behind an accept boundary. </w:t>
      </w:r>
      <w:r>
        <w:rPr>
          <w:rFonts w:ascii="Calibri" w:cs="Calibri" w:eastAsia="Calibri" w:hAnsi="Calibri"/>
          <w:color w:val="1A1A1A"/>
          <w:sz w:val="19"/>
          <w:szCs w:val="19"/>
        </w:rPr>
        <w:t xml:space="preserve">Narrow first capability, an evaluation suite before trust, and the engine retaining the decision.</w:t>
      </w:r>
    </w:p>
    <w:p>
      <w:pPr>
        <w:pStyle w:val="ListParagraph"/>
        <w:numPr>
          <w:ilvl w:val="0"/>
          <w:numId w:val="2"/>
        </w:numPr>
        <w:spacing w:after="50" w:before="0" w:line="250"/>
      </w:pPr>
      <w:r>
        <w:rPr>
          <w:rFonts w:ascii="Calibri" w:cs="Calibri" w:eastAsia="Calibri" w:hAnsi="Calibri"/>
          <w:b/>
          <w:bCs/>
          <w:color w:val="1A1A1A"/>
          <w:sz w:val="19"/>
          <w:szCs w:val="19"/>
        </w:rPr>
        <w:t xml:space="preserve">Scenario comparison and utilisation reporting. </w:t>
      </w:r>
      <w:r>
        <w:rPr>
          <w:rFonts w:ascii="Calibri" w:cs="Calibri" w:eastAsia="Calibri" w:hAnsi="Calibri"/>
          <w:color w:val="1A1A1A"/>
          <w:sz w:val="19"/>
          <w:szCs w:val="19"/>
        </w:rPr>
        <w:t xml:space="preserve">Generate several candidate timetables and rank them, with before/after reporting for the ~30% classroom-utilisation gain the problem statement targets.</w:t>
      </w:r>
    </w:p>
    <w:p>
      <w:pPr>
        <w:pStyle w:val="Heading1"/>
        <w:keepNext/>
        <w:pBdr>
          <w:bottom w:val="single" w:color="1F4E79" w:sz="6" w:space="3"/>
        </w:pBdr>
        <w:spacing w:after="90" w:before="240"/>
      </w:pPr>
      <w:r>
        <w:rPr>
          <w:rFonts w:ascii="Calibri" w:cs="Calibri" w:eastAsia="Calibri" w:hAnsi="Calibri"/>
          <w:b/>
          <w:bCs/>
          <w:color w:val="1F4E79"/>
          <w:spacing w:val="24"/>
          <w:sz w:val="21"/>
          <w:szCs w:val="21"/>
        </w:rPr>
        <w:t xml:space="preserve">18 · PRESENTING THIS WORK</w:t>
      </w:r>
    </w:p>
    <w:tbl>
      <w:tblPr>
        <w:tblW w:type="dxa" w:w="9360"/>
        <w:tblBorders>
          <w:top w:val="single" w:color="D0D7DE" w:sz="3"/>
          <w:left w:val="single" w:color="D0D7DE" w:sz="3"/>
          <w:bottom w:val="single" w:color="D0D7DE" w:sz="3"/>
          <w:right w:val="single" w:color="D0D7DE" w:sz="3"/>
          <w:insideH w:val="single" w:color="D0D7DE" w:sz="3"/>
          <w:insideV w:val="single" w:color="D0D7DE" w:sz="3"/>
        </w:tblBorders>
      </w:tblPr>
      <w:tblGrid>
        <w:gridCol w:w="2000"/>
        <w:gridCol w:w="1500"/>
        <w:gridCol w:w="5860"/>
      </w:tblGrid>
      <w:tr>
        <w:trPr>
          <w:tblHeader/>
        </w:trPr>
        <w:tc>
          <w:tcPr>
            <w:tcW w:type="dxa" w:w="200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Phase</w:t>
            </w:r>
          </w:p>
        </w:tc>
        <w:tc>
          <w:tcPr>
            <w:tcW w:type="dxa" w:w="150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Time</w:t>
            </w:r>
          </w:p>
        </w:tc>
        <w:tc>
          <w:tcPr>
            <w:tcW w:type="dxa" w:w="5860"/>
            <w:shd w:fill="EAF1F8" w:color="auto" w:val="clear"/>
            <w:tcMar>
              <w:top w:type="dxa" w:w="55"/>
              <w:left w:type="dxa" w:w="105"/>
              <w:bottom w:type="dxa" w:w="55"/>
              <w:right w:type="dxa" w:w="105"/>
            </w:tcMar>
          </w:tcPr>
          <w:p>
            <w:pPr>
              <w:spacing w:after="0" w:before="0" w:line="230"/>
            </w:pPr>
            <w:r>
              <w:rPr>
                <w:rFonts w:ascii="Calibri" w:cs="Calibri" w:eastAsia="Calibri" w:hAnsi="Calibri"/>
                <w:b/>
                <w:bCs/>
                <w:color w:val="1F4E79"/>
                <w:sz w:val="17"/>
                <w:szCs w:val="17"/>
              </w:rPr>
              <w:t xml:space="preserve">Key focus</w:t>
            </w:r>
          </w:p>
        </w:tc>
      </w:tr>
      <w:tr>
        <w:tc>
          <w:tcPr>
            <w:tcW w:type="dxa" w:w="2000"/>
            <w:tcMar>
              <w:top w:type="dxa" w:w="55"/>
              <w:left w:type="dxa" w:w="105"/>
              <w:bottom w:type="dxa" w:w="55"/>
              <w:right w:type="dxa" w:w="105"/>
            </w:tcMar>
          </w:tcPr>
          <w:p>
            <w:pPr>
              <w:spacing w:after="0" w:before="0" w:line="230"/>
            </w:pPr>
            <w:r>
              <w:rPr>
                <w:rFonts w:ascii="Calibri" w:cs="Calibri" w:eastAsia="Calibri" w:hAnsi="Calibri"/>
                <w:b/>
                <w:bCs/>
                <w:color w:val="1A1A1A"/>
                <w:sz w:val="17"/>
                <w:szCs w:val="17"/>
              </w:rPr>
              <w:t xml:space="preserve">The hook</w:t>
            </w:r>
          </w:p>
        </w:tc>
        <w:tc>
          <w:tcPr>
            <w:tcW w:type="dxa" w:w="15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15%</w:t>
            </w:r>
          </w:p>
        </w:tc>
        <w:tc>
          <w:tcPr>
            <w:tcW w:type="dxa" w:w="58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The 10^400 search space and the failure mode of every alternative: a grid handed back with no account of why a class did not fit.</w:t>
            </w:r>
          </w:p>
        </w:tc>
      </w:tr>
      <w:tr>
        <w:tc>
          <w:tcPr>
            <w:tcW w:type="dxa" w:w="2000"/>
            <w:shd w:fill="F7F9FB" w:color="auto" w:val="clear"/>
            <w:tcMar>
              <w:top w:type="dxa" w:w="55"/>
              <w:left w:type="dxa" w:w="105"/>
              <w:bottom w:type="dxa" w:w="55"/>
              <w:right w:type="dxa" w:w="105"/>
            </w:tcMar>
          </w:tcPr>
          <w:p>
            <w:pPr>
              <w:spacing w:after="0" w:before="0" w:line="230"/>
            </w:pPr>
            <w:r>
              <w:rPr>
                <w:rFonts w:ascii="Calibri" w:cs="Calibri" w:eastAsia="Calibri" w:hAnsi="Calibri"/>
                <w:b/>
                <w:bCs/>
                <w:color w:val="1A1A1A"/>
                <w:sz w:val="17"/>
                <w:szCs w:val="17"/>
              </w:rPr>
              <w:t xml:space="preserve">Technical deep-dive</w:t>
            </w:r>
          </w:p>
        </w:tc>
        <w:tc>
          <w:tcPr>
            <w:tcW w:type="dxa" w:w="150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50%</w:t>
            </w:r>
          </w:p>
        </w:tc>
        <w:tc>
          <w:tcPr>
            <w:tcW w:type="dxa" w:w="5860"/>
            <w:shd w:fill="F7F9FB" w:color="auto" w:val="clear"/>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The two architectural boundaries, the constraint-as-data dispatch chain, the algorithmic shapes, the three-pass solver, and one hurdle told as a story.</w:t>
            </w:r>
          </w:p>
        </w:tc>
      </w:tr>
      <w:tr>
        <w:tc>
          <w:tcPr>
            <w:tcW w:type="dxa" w:w="2000"/>
            <w:tcMar>
              <w:top w:type="dxa" w:w="55"/>
              <w:left w:type="dxa" w:w="105"/>
              <w:bottom w:type="dxa" w:w="55"/>
              <w:right w:type="dxa" w:w="105"/>
            </w:tcMar>
          </w:tcPr>
          <w:p>
            <w:pPr>
              <w:spacing w:after="0" w:before="0" w:line="230"/>
            </w:pPr>
            <w:r>
              <w:rPr>
                <w:rFonts w:ascii="Calibri" w:cs="Calibri" w:eastAsia="Calibri" w:hAnsi="Calibri"/>
                <w:b/>
                <w:bCs/>
                <w:color w:val="1A1A1A"/>
                <w:sz w:val="17"/>
                <w:szCs w:val="17"/>
              </w:rPr>
              <w:t xml:space="preserve">Future scope &amp; Q&amp;A</w:t>
            </w:r>
          </w:p>
        </w:tc>
        <w:tc>
          <w:tcPr>
            <w:tcW w:type="dxa" w:w="150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35%</w:t>
            </w:r>
          </w:p>
        </w:tc>
        <w:tc>
          <w:tcPr>
            <w:tcW w:type="dxa" w:w="5860"/>
            <w:tcMar>
              <w:top w:type="dxa" w:w="55"/>
              <w:left w:type="dxa" w:w="105"/>
              <w:bottom w:type="dxa" w:w="55"/>
              <w:right w:type="dxa" w:w="105"/>
            </w:tcMar>
          </w:tcPr>
          <w:p>
            <w:pPr>
              <w:spacing w:after="0" w:before="0" w:line="230"/>
            </w:pPr>
            <w:r>
              <w:rPr>
                <w:rFonts w:ascii="Calibri" w:cs="Calibri" w:eastAsia="Calibri" w:hAnsi="Calibri"/>
                <w:color w:val="1A1A1A"/>
                <w:sz w:val="17"/>
                <w:szCs w:val="17"/>
              </w:rPr>
              <w:t xml:space="preserve">CP-SAT, examinations via student-level enrolment, the server migration, agentic AI with the engine as authority — and the honest gap list.</w:t>
            </w:r>
          </w:p>
        </w:tc>
      </w:tr>
    </w:tbl>
    <w:p>
      <w:pPr>
        <w:pBdr>
          <w:top w:val="single" w:color="EAF1F8" w:sz="2" w:space="5"/>
          <w:bottom w:val="single" w:color="EAF1F8" w:sz="2" w:space="5"/>
          <w:left w:val="single" w:color="1F4E79" w:sz="18" w:space="8"/>
          <w:right w:val="single" w:color="EAF1F8" w:sz="2" w:space="5"/>
        </w:pBdr>
        <w:shd w:fill="EAF1F8" w:color="auto" w:val="clear"/>
        <w:spacing w:after="110" w:before="90" w:line="250"/>
        <w:ind w:left="120" w:right="120"/>
      </w:pPr>
      <w:r>
        <w:rPr>
          <w:rFonts w:ascii="Calibri" w:cs="Calibri" w:eastAsia="Calibri" w:hAnsi="Calibri"/>
          <w:b/>
          <w:bCs/>
          <w:color w:val="1A1A1A"/>
          <w:sz w:val="19"/>
          <w:szCs w:val="19"/>
        </w:rPr>
        <w:t xml:space="preserve">Delivery note. </w:t>
      </w:r>
      <w:r>
        <w:rPr>
          <w:rFonts w:ascii="Calibri" w:cs="Calibri" w:eastAsia="Calibri" w:hAnsi="Calibri"/>
          <w:color w:val="1A1A1A"/>
          <w:sz w:val="19"/>
          <w:szCs w:val="19"/>
        </w:rPr>
        <w:t xml:space="preserve">Keep the focus on the why before the how; the displacement pass lands only once the audience has felt the pain of a timetable that fails without saying why. The strongest close is the honesty line — 301 enforced, 199 advisory, nothing pretending — because it is the claim no competitor makes, and it is the same principle that keeps the language model a proposer rather than a decision-maker.</w:t>
      </w:r>
    </w:p>
    <w:sectPr>
      <w:footerReference w:type="default" r:id="rId7"/>
      <w:pgSz w:w="11906" w:h="16838" w:orient="portrait"/>
      <w:pgMar w:top="700" w:right="760" w:bottom="62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3" w:space="5"/>
      </w:pBdr>
      <w:spacing w:before="60"/>
      <w:jc w:val="right"/>
    </w:pPr>
    <w:r>
      <w:rPr>
        <w:rFonts w:ascii="Calibri" w:cs="Calibri" w:eastAsia="Calibri" w:hAnsi="Calibri"/>
        <w:color w:val="555555"/>
        <w:sz w:val="15"/>
        <w:szCs w:val="15"/>
      </w:rPr>
      <w:t xml:space="preserve">Aula · SIH25028 · Pratyush P.        </w:t>
    </w:r>
    <w:r>
      <w:rPr>
        <w:rFonts w:ascii="Calibri" w:cs="Calibri" w:eastAsia="Calibri" w:hAnsi="Calibri"/>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5" w:hanging="230"/>
      </w:pPr>
    </w:lvl>
    <w:lvl w:ilvl="1" w15:tentative="1">
      <w:start w:val="1"/>
      <w:numFmt w:val="bullet"/>
      <w:lvlText w:val="–"/>
      <w:lvlJc w:val="left"/>
      <w:pPr>
        <w:ind w:left="691" w:hanging="230"/>
      </w:pPr>
    </w:lvl>
  </w:abstractNum>
  <w:abstractNum w:abstractNumId="3" w15:restartNumberingAfterBreak="0">
    <w:multiLevelType w:val="hybridMultilevel"/>
    <w:lvl w:ilvl="0" w15:tentative="1">
      <w:start w:val="1"/>
      <w:numFmt w:val="decimal"/>
      <w:lvlText w:val="%1."/>
      <w:lvlJc w:val="left"/>
      <w:pPr>
        <w:ind w:left="403"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Aula — Project Document</dc:title>
  <dc:creator>Pratyush P.</dc:creator>
  <dc:description>SIH25028 Smart Classroom &amp; AI Timetable Scheduler — full technical document</dc:description>
  <cp:lastModifiedBy>Un-named</cp:lastModifiedBy>
  <cp:revision>1</cp:revision>
  <dcterms:created xsi:type="dcterms:W3CDTF">2026-08-21T05:30:07.883Z</dcterms:created>
  <dcterms:modified xsi:type="dcterms:W3CDTF">2026-08-21T05:30:07.884Z</dcterms:modified>
</cp:coreProperties>
</file>

<file path=docProps/custom.xml><?xml version="1.0" encoding="utf-8"?>
<Properties xmlns="http://schemas.openxmlformats.org/officeDocument/2006/custom-properties" xmlns:vt="http://schemas.openxmlformats.org/officeDocument/2006/docPropsVTypes"/>
</file>