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2E7D32"/>
          <w:sz w:val="72"/>
          <w:szCs w:val="72"/>
        </w:rPr>
        <w:t xml:space="preserve">GramIQ</w:t>
      </w:r>
    </w:p>
    <w:p>
      <w:pPr>
        <w:spacing w:before="80"/>
        <w:jc w:val="center"/>
      </w:pPr>
      <w:r>
        <w:rPr>
          <w:rFonts w:ascii="Calibri" w:cs="Calibri" w:eastAsia="Calibri" w:hAnsi="Calibri"/>
          <w:b/>
          <w:bCs/>
          <w:color w:val="1565C0"/>
          <w:sz w:val="44"/>
          <w:szCs w:val="44"/>
        </w:rPr>
        <w:t xml:space="preserve">AI Ledger Digitization System</w:t>
      </w:r>
    </w:p>
    <w:p>
      <w:pPr>
        <w:spacing w:after="120" w:before="16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color w:val="555555"/>
          <w:sz w:val="30"/>
          <w:szCs w:val="30"/>
        </w:rPr>
        <w:t xml:space="preserve">Technical Design Document</w:t>
      </w:r>
    </w:p>
    <w:p>
      <w:pPr>
        <w:spacing w:before="60"/>
        <w:jc w:val="center"/>
      </w:pPr>
      <w:r>
        <w:rPr>
          <w:rFonts w:ascii="Calibri" w:cs="Calibri" w:eastAsia="Calibri" w:hAnsi="Calibri"/>
          <w:color w:val="888888"/>
          <w:sz w:val="24"/>
          <w:szCs w:val="24"/>
        </w:rPr>
        <w:t xml:space="preserve">Version 1.0  •  July 2026</w:t>
      </w:r>
    </w:p>
    <w:p>
      <w:pPr>
        <w:spacing w:after="12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8F5E9" w:val="clear"/>
          </w:tcPr>
          <w:p>
            <w:pPr>
              <w:spacing w:after="80" w:before="8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Project</w:t>
            </w:r>
          </w:p>
        </w:tc>
        <w:tc>
          <w:tcPr>
            <w:tcW w:type="dxa" w:w="7160"/>
            <w:shd w:fill="FFFFFF" w:val="clear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GramIQ AI Document Intelligence</w:t>
            </w:r>
          </w:p>
        </w:tc>
      </w:tr>
      <w:tr>
        <w:tc>
          <w:tcPr>
            <w:tcW w:type="dxa" w:w="2200"/>
            <w:shd w:fill="E8F5E9" w:val="clear"/>
          </w:tcPr>
          <w:p>
            <w:pPr>
              <w:spacing w:after="80" w:before="8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Authors</w:t>
            </w:r>
          </w:p>
        </w:tc>
        <w:tc>
          <w:tcPr>
            <w:tcW w:type="dxa" w:w="7160"/>
            <w:shd w:fill="F5F5F5" w:val="clear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GramIQ Engineering Team</w:t>
            </w:r>
          </w:p>
        </w:tc>
      </w:tr>
      <w:tr>
        <w:tc>
          <w:tcPr>
            <w:tcW w:type="dxa" w:w="2200"/>
            <w:shd w:fill="E8F5E9" w:val="clear"/>
          </w:tcPr>
          <w:p>
            <w:pPr>
              <w:spacing w:after="80" w:before="8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Status</w:t>
            </w:r>
          </w:p>
        </w:tc>
        <w:tc>
          <w:tcPr>
            <w:tcW w:type="dxa" w:w="7160"/>
            <w:shd w:fill="FFFFFF" w:val="clear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Draft — For Internal Review</w:t>
            </w:r>
          </w:p>
        </w:tc>
      </w:tr>
      <w:tr>
        <w:tc>
          <w:tcPr>
            <w:tcW w:type="dxa" w:w="2200"/>
            <w:shd w:fill="E8F5E9" w:val="clear"/>
          </w:tcPr>
          <w:p>
            <w:pPr>
              <w:spacing w:after="80" w:before="8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Version</w:t>
            </w:r>
          </w:p>
        </w:tc>
        <w:tc>
          <w:tcPr>
            <w:tcW w:type="dxa" w:w="7160"/>
            <w:shd w:fill="F5F5F5" w:val="clear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200"/>
            <w:shd w:fill="E8F5E9" w:val="clear"/>
          </w:tcPr>
          <w:p>
            <w:pPr>
              <w:spacing w:after="80" w:before="80"/>
              <w:ind w:left="80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Date</w:t>
            </w:r>
          </w:p>
        </w:tc>
        <w:tc>
          <w:tcPr>
            <w:tcW w:type="dxa" w:w="7160"/>
            <w:shd w:fill="FFFFFF" w:val="clear"/>
          </w:tcPr>
          <w:p>
            <w:pPr>
              <w:spacing w:after="80" w:before="80"/>
              <w:ind w:left="12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July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32" w:sz="6"/>
        </w:pBdr>
        <w:spacing w:after="160" w:before="400"/>
      </w:pPr>
      <w:r>
        <w:rPr>
          <w:rFonts w:ascii="Calibri" w:cs="Calibri" w:eastAsia="Calibri" w:hAnsi="Calibri"/>
          <w:b/>
          <w:bCs/>
          <w:color w:val="2E7D32"/>
          <w:sz w:val="36"/>
          <w:szCs w:val="36"/>
        </w:rPr>
        <w:t xml:space="preserve">1. Problem Statement</w:t>
      </w:r>
    </w:p>
    <w:p>
      <w:pPr>
        <w:spacing w:after="12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India has over 120 million smallholder farming households. A significant portion of these farmers maintain their financial records in handwritten paper notebooks — commonly known as Bahi-Khata. These physical ledgers capture critical data about:</w:t>
      </w:r>
    </w:p>
    <w:p>
      <w:pPr>
        <w:spacing w:after="120" w:before="40"/>
      </w:pPr>
      <w:r>
        <w:t xml:space="preserve"/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B1B1B"/>
          <w:sz w:val="22"/>
          <w:szCs w:val="22"/>
        </w:rPr>
        <w:t xml:space="preserve">•  Seed purchases and variety names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B1B1B"/>
          <w:sz w:val="22"/>
          <w:szCs w:val="22"/>
        </w:rPr>
        <w:t xml:space="preserve">•  Fertilizer and pesticide expenditure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B1B1B"/>
          <w:sz w:val="22"/>
          <w:szCs w:val="22"/>
        </w:rPr>
        <w:t xml:space="preserve">•  Labour and machinery payments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B1B1B"/>
          <w:sz w:val="22"/>
          <w:szCs w:val="22"/>
        </w:rPr>
        <w:t xml:space="preserve">•  Irrigation and fuel costs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B1B1B"/>
          <w:sz w:val="22"/>
          <w:szCs w:val="22"/>
        </w:rPr>
        <w:t xml:space="preserve">•  Crop sales, dairy income, and loan records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B1B1B"/>
          <w:sz w:val="22"/>
          <w:szCs w:val="22"/>
        </w:rPr>
        <w:t xml:space="preserve">•  Miscellaneous farm expenses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Despite being valuable first-party financial records, these notebooks suffer from four compounding problems:</w:t>
      </w:r>
    </w:p>
    <w:p>
      <w:pPr>
        <w:spacing w:after="1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2E7D3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7160"/>
            <w:shd w:fill="2E7D3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Physical &amp; Unstructured</w:t>
            </w:r>
          </w:p>
        </w:tc>
        <w:tc>
          <w:tcPr>
            <w:tcW w:type="dxa" w:w="71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Records cannot be searched, aggregated, or analysed digitally</w:t>
            </w:r>
          </w:p>
        </w:tc>
      </w:tr>
      <w:tr>
        <w:tc>
          <w:tcPr>
            <w:tcW w:type="dxa" w:w="2200"/>
            <w:shd w:fill="F5F5F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Multilingual Handwriting</w:t>
            </w:r>
          </w:p>
        </w:tc>
        <w:tc>
          <w:tcPr>
            <w:tcW w:type="dxa" w:w="7160"/>
            <w:shd w:fill="F5F5F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Entries mix Hindi, Marathi, and English across the same page</w:t>
            </w:r>
          </w:p>
        </w:tc>
      </w:tr>
      <w:tr>
        <w:tc>
          <w:tcPr>
            <w:tcW w:type="dxa" w:w="22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Inconsistent Format</w:t>
            </w:r>
          </w:p>
        </w:tc>
        <w:tc>
          <w:tcPr>
            <w:tcW w:type="dxa" w:w="71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Date placement, column layout, and abbreviations vary per farmer</w:t>
            </w:r>
          </w:p>
        </w:tc>
      </w:tr>
      <w:tr>
        <w:tc>
          <w:tcPr>
            <w:tcW w:type="dxa" w:w="2200"/>
            <w:shd w:fill="F5F5F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No Digital Continuity</w:t>
            </w:r>
          </w:p>
        </w:tc>
        <w:tc>
          <w:tcPr>
            <w:tcW w:type="dxa" w:w="7160"/>
            <w:shd w:fill="F5F5F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Insights from past seasons are unavailable when making new crop decisions</w:t>
            </w:r>
          </w:p>
        </w:tc>
      </w:tr>
    </w:tbl>
    <w:p>
      <w:pPr>
        <w:spacing w:after="120" w:before="1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The consequence is a structural information gap. Farmers cannot compute cost of cultivation, profit margins, or crop-wise profitability from these records without manual effort. Agribusinesses and financial institutions are likewise unable to access verified farm-level data to design relevant products or offer credit.</w:t>
      </w:r>
    </w:p>
    <w:p>
      <w:pPr>
        <w:spacing w:after="12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The GramIQ AI Ledger Digitization System directly addresses this gap by converting handwritten notebook images into structured, machine-readable financial transactions using a multi-stage AI pipeline.</w:t>
      </w:r>
    </w:p>
    <w:p>
      <w:r>
        <w:br w:type="page"/>
      </w:r>
    </w:p>
    <w:p>
      <w:pPr>
        <w:pStyle w:val="Heading1"/>
        <w:pBdr>
          <w:bottom w:val="single" w:color="2E7D32" w:sz="6"/>
        </w:pBdr>
        <w:spacing w:after="160" w:before="400"/>
      </w:pPr>
      <w:r>
        <w:rPr>
          <w:rFonts w:ascii="Calibri" w:cs="Calibri" w:eastAsia="Calibri" w:hAnsi="Calibri"/>
          <w:b/>
          <w:bCs/>
          <w:color w:val="2E7D32"/>
          <w:sz w:val="36"/>
          <w:szCs w:val="36"/>
        </w:rPr>
        <w:t xml:space="preserve">2. Proposed Solution</w:t>
      </w:r>
    </w:p>
    <w:p>
      <w:pPr>
        <w:spacing w:after="12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The proposed solution is an end-to-end AI Document Intelligence pipeline embedded within the GramIQ Android application. Rather than a simple OCR tool, the system is designed as a multi-stage intelligence stack that understands agricultural context, handles mixed-language handwriting, and produces structured financial records with high accuracy.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2.1 Core User Journey</w:t>
      </w:r>
    </w:p>
    <w:p>
      <w:pPr>
        <w:spacing w:after="12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B1B1B"/>
          <w:sz w:val="22"/>
          <w:szCs w:val="22"/>
        </w:rPr>
        <w:t xml:space="preserve">•  Farmer opens the GramIQ app and taps "Scan Bahi-Khata"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B1B1B"/>
          <w:sz w:val="22"/>
          <w:szCs w:val="22"/>
        </w:rPr>
        <w:t xml:space="preserve">•  Captures one or more notebook pages using the camera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B1B1B"/>
          <w:sz w:val="22"/>
          <w:szCs w:val="22"/>
        </w:rPr>
        <w:t xml:space="preserve">•  The system validates image quality and prompts a retake if needed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B1B1B"/>
          <w:sz w:val="22"/>
          <w:szCs w:val="22"/>
        </w:rPr>
        <w:t xml:space="preserve">•  AI pipeline processes the image: enhances, reads, understands, and structures transactions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B1B1B"/>
          <w:sz w:val="22"/>
          <w:szCs w:val="22"/>
        </w:rPr>
        <w:t xml:space="preserve">•  Only low-confidence entries are shown for farmer review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B1B1B"/>
          <w:sz w:val="22"/>
          <w:szCs w:val="22"/>
        </w:rPr>
        <w:t xml:space="preserve">•  Verified transactions are stored and immediately visible in the farm finance dashboard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B1B1B"/>
          <w:sz w:val="22"/>
          <w:szCs w:val="22"/>
        </w:rPr>
        <w:t xml:space="preserve">•  Analytics, profit summaries, and crop-wise reports are updated automatically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2.2 Key Design Principles</w:t>
      </w:r>
    </w:p>
    <w:p>
      <w:pPr>
        <w:spacing w:after="12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shd w:fill="2E7D3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Accuracy First</w:t>
            </w:r>
          </w:p>
        </w:tc>
        <w:tc>
          <w:tcPr>
            <w:tcW w:type="dxa" w:w="8160"/>
            <w:shd w:fill="E8F5E9" w:val="clear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Transaction accuracy above 95% after review is the primary target. The system errs toward human review rather than incorrect auto-confirmation.</w:t>
            </w:r>
          </w:p>
        </w:tc>
      </w:tr>
    </w:tbl>
    <w:p>
      <w:pPr>
        <w:spacing w:after="12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shd w:fill="2E7D3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Agriculture-Aware</w:t>
            </w:r>
          </w:p>
        </w:tc>
        <w:tc>
          <w:tcPr>
            <w:tcW w:type="dxa" w:w="8160"/>
            <w:shd w:fill="E8F5E9" w:val="clear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A domain-specific Farm Knowledge Base maps local names, abbreviations, and regional product aliases to standard categories — going beyond generic OCR.</w:t>
            </w:r>
          </w:p>
        </w:tc>
      </w:tr>
    </w:tbl>
    <w:p>
      <w:pPr>
        <w:spacing w:after="12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shd w:fill="2E7D3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Minimal Friction</w:t>
            </w:r>
          </w:p>
        </w:tc>
        <w:tc>
          <w:tcPr>
            <w:tcW w:type="dxa" w:w="8160"/>
            <w:shd w:fill="E8F5E9" w:val="clear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High-confidence transactions are auto-approved. Farmers only see a review screen for uncertain entries, keeping the experience fast.</w:t>
            </w:r>
          </w:p>
        </w:tc>
      </w:tr>
    </w:tbl>
    <w:p>
      <w:pPr>
        <w:spacing w:after="12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shd w:fill="2E7D3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Multilingual</w:t>
            </w:r>
          </w:p>
        </w:tc>
        <w:tc>
          <w:tcPr>
            <w:tcW w:type="dxa" w:w="8160"/>
            <w:shd w:fill="E8F5E9" w:val="clear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Hindi, Marathi, and English are treated as equal inputs. Mixed-language handwriting on the same page is supported natively.</w:t>
            </w:r>
          </w:p>
        </w:tc>
      </w:tr>
    </w:tbl>
    <w:p>
      <w:pPr>
        <w:spacing w:after="12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shd w:fill="2E7D3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Offline Capable</w:t>
            </w:r>
          </w:p>
        </w:tc>
        <w:tc>
          <w:tcPr>
            <w:tcW w:type="dxa" w:w="8160"/>
            <w:shd w:fill="E8F5E9" w:val="clear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Lightweight on-device OCR is planned for low-connectivity regions in the next phase, ensuring rural usability.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32" w:sz="6"/>
        </w:pBdr>
        <w:spacing w:after="160" w:before="400"/>
      </w:pPr>
      <w:r>
        <w:rPr>
          <w:rFonts w:ascii="Calibri" w:cs="Calibri" w:eastAsia="Calibri" w:hAnsi="Calibri"/>
          <w:b/>
          <w:bCs/>
          <w:color w:val="2E7D32"/>
          <w:sz w:val="36"/>
          <w:szCs w:val="36"/>
        </w:rPr>
        <w:t xml:space="preserve">3. Technical Architecture Overview</w:t>
      </w:r>
    </w:p>
    <w:p>
      <w:pPr>
        <w:spacing w:after="12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The system is structured as a linear processing pipeline where each stage produces an artifact consumed by the next. Stages are independently deployable and can be replaced or upgraded without rebuilding the full pipeline.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3.1 High-Level Pipeline</w:t>
      </w:r>
    </w:p>
    <w:p>
      <w:pPr>
        <w:spacing w:after="12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The pipeline flows as follows across eight stages:</w:t>
      </w:r>
    </w:p>
    <w:p>
      <w:pPr>
        <w:spacing w:after="12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rPr>
          <w:tblHeader/>
        </w:trPr>
        <w:tc>
          <w:tcPr>
            <w:tcW w:type="dxa" w:w="600"/>
            <w:shd w:fill="2E7D3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shd w:fill="2E7D3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360"/>
            <w:shd w:fill="2E7D3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Output Artifact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Image Acquisition</w:t>
            </w:r>
          </w:p>
        </w:tc>
        <w:tc>
          <w:tcPr>
            <w:tcW w:type="dxa" w:w="63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Raw image file (JPG / PNG)</w:t>
            </w:r>
          </w:p>
        </w:tc>
      </w:tr>
      <w:tr>
        <w:tc>
          <w:tcPr>
            <w:tcW w:type="dxa" w:w="600"/>
            <w:shd w:fill="F5F5F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shd w:fill="F5F5F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Image Enhancement</w:t>
            </w:r>
          </w:p>
        </w:tc>
        <w:tc>
          <w:tcPr>
            <w:tcW w:type="dxa" w:w="6360"/>
            <w:shd w:fill="F5F5F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Cleaned, deskewed, normalised image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Layout Analysis</w:t>
            </w:r>
          </w:p>
        </w:tc>
        <w:tc>
          <w:tcPr>
            <w:tcW w:type="dxa" w:w="63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Region map with typed bounding boxes</w:t>
            </w:r>
          </w:p>
        </w:tc>
      </w:tr>
      <w:tr>
        <w:tc>
          <w:tcPr>
            <w:tcW w:type="dxa" w:w="600"/>
            <w:shd w:fill="F5F5F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shd w:fill="F5F5F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OCR Engine</w:t>
            </w:r>
          </w:p>
        </w:tc>
        <w:tc>
          <w:tcPr>
            <w:tcW w:type="dxa" w:w="6360"/>
            <w:shd w:fill="F5F5F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Text + confidence + bounding box per line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Transaction Segmentation</w:t>
            </w:r>
          </w:p>
        </w:tc>
        <w:tc>
          <w:tcPr>
            <w:tcW w:type="dxa" w:w="63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Raw transaction records (date + text + amount)</w:t>
            </w:r>
          </w:p>
        </w:tc>
      </w:tr>
      <w:tr>
        <w:tc>
          <w:tcPr>
            <w:tcW w:type="dxa" w:w="600"/>
            <w:shd w:fill="F5F5F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shd w:fill="F5F5F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Farm Intelligence Engine (LLM)</w:t>
            </w:r>
          </w:p>
        </w:tc>
        <w:tc>
          <w:tcPr>
            <w:tcW w:type="dxa" w:w="6360"/>
            <w:shd w:fill="F5F5F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Categorised, enriched transaction JSON</w:t>
            </w:r>
          </w:p>
        </w:tc>
      </w:tr>
      <w:tr>
        <w:tc>
          <w:tcPr>
            <w:tcW w:type="dxa" w:w="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Validation Engine</w:t>
            </w:r>
          </w:p>
        </w:tc>
        <w:tc>
          <w:tcPr>
            <w:tcW w:type="dxa" w:w="63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Confidence-scored, deduplicated transactions</w:t>
            </w:r>
          </w:p>
        </w:tc>
      </w:tr>
      <w:tr>
        <w:tc>
          <w:tcPr>
            <w:tcW w:type="dxa" w:w="600"/>
            <w:shd w:fill="F5F5F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shd w:fill="F5F5F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Review UI + Database</w:t>
            </w:r>
          </w:p>
        </w:tc>
        <w:tc>
          <w:tcPr>
            <w:tcW w:type="dxa" w:w="6360"/>
            <w:shd w:fill="F5F5F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Verified structured records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3.2 Component Architecture</w:t>
      </w:r>
    </w:p>
    <w:p>
      <w:pPr>
        <w:spacing w:after="12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Components are deployed across three tiers:</w:t>
      </w:r>
    </w:p>
    <w:p>
      <w:pPr>
        <w:spacing w:after="12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Mobile Tier (Flutter)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B1B1B"/>
          <w:sz w:val="22"/>
          <w:szCs w:val="22"/>
        </w:rPr>
        <w:t xml:space="preserve">•  Camera capture module with image quality pre-check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B1B1B"/>
          <w:sz w:val="22"/>
          <w:szCs w:val="22"/>
        </w:rPr>
        <w:t xml:space="preserve">•  Lightweight preview and user review screen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B1B1B"/>
          <w:sz w:val="22"/>
          <w:szCs w:val="22"/>
        </w:rPr>
        <w:t xml:space="preserve">•  Offline queue for uploads in low-connectivity areas</w:t>
      </w:r>
    </w:p>
    <w:p>
      <w:pPr>
        <w:spacing w:after="12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Backend Tier (FastAPI on Google Cloud)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B1B1B"/>
          <w:sz w:val="22"/>
          <w:szCs w:val="22"/>
        </w:rPr>
        <w:t xml:space="preserve">•  REST API gateway receiving image uploads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B1B1B"/>
          <w:sz w:val="22"/>
          <w:szCs w:val="22"/>
        </w:rPr>
        <w:t xml:space="preserve">•  Celery + Redis task queue for async pipeline execution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B1B1B"/>
          <w:sz w:val="22"/>
          <w:szCs w:val="22"/>
        </w:rPr>
        <w:t xml:space="preserve">•  Orchestration layer calling each pipeline stage sequentially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B1B1B"/>
          <w:sz w:val="22"/>
          <w:szCs w:val="22"/>
        </w:rPr>
        <w:t xml:space="preserve">•  Farm Knowledge Base microservice</w:t>
      </w:r>
    </w:p>
    <w:p>
      <w:pPr>
        <w:spacing w:after="12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1565C0"/>
          <w:sz w:val="24"/>
          <w:szCs w:val="24"/>
        </w:rPr>
        <w:t xml:space="preserve">AI / ML Tier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B1B1B"/>
          <w:sz w:val="22"/>
          <w:szCs w:val="22"/>
        </w:rPr>
        <w:t xml:space="preserve">•  OpenCV service for image enhancement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B1B1B"/>
          <w:sz w:val="22"/>
          <w:szCs w:val="22"/>
        </w:rPr>
        <w:t xml:space="preserve">•  PaddleOCR (primary) + TrOCR (fallback) for handwriting recognition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B1B1B"/>
          <w:sz w:val="22"/>
          <w:szCs w:val="22"/>
        </w:rPr>
        <w:t xml:space="preserve">•  PP-Structure or LayoutLMv3 for document layout understanding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B1B1B"/>
          <w:sz w:val="22"/>
          <w:szCs w:val="22"/>
        </w:rPr>
        <w:t xml:space="preserve">•  Gemini 2.5 Pro / GPT-5 for LLM-based parsing, categorisation, and enrichment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B1B1B"/>
          <w:sz w:val="22"/>
          <w:szCs w:val="22"/>
        </w:rPr>
        <w:t xml:space="preserve">•  Validation rules engine with arithmetic and duplicate checks</w:t>
      </w:r>
    </w:p>
    <w:p>
      <w:r>
        <w:br w:type="page"/>
      </w:r>
    </w:p>
    <w:p>
      <w:pPr>
        <w:pStyle w:val="Heading1"/>
        <w:pBdr>
          <w:bottom w:val="single" w:color="2E7D32" w:sz="6"/>
        </w:pBdr>
        <w:spacing w:after="160" w:before="400"/>
      </w:pPr>
      <w:r>
        <w:rPr>
          <w:rFonts w:ascii="Calibri" w:cs="Calibri" w:eastAsia="Calibri" w:hAnsi="Calibri"/>
          <w:b/>
          <w:bCs/>
          <w:color w:val="2E7D32"/>
          <w:sz w:val="36"/>
          <w:szCs w:val="36"/>
        </w:rPr>
        <w:t xml:space="preserve">4. Deep Dive: Technical Decisions &amp; Technologies</w:t>
      </w:r>
    </w:p>
    <w:p>
      <w:pPr>
        <w:spacing w:after="12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4.1 Image Enhancement — OpenCV</w:t>
      </w:r>
    </w:p>
    <w:p>
      <w:pPr>
        <w:spacing w:after="12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Handwritten notebook photos captured on mobile devices suffer from multiple quality issues that directly degrade OCR accuracy. OpenCV is chosen as the image pre-processing layer because it is battle-tested, runs efficiently on server CPUs, and provides every transformation needed:</w:t>
      </w:r>
    </w:p>
    <w:p>
      <w:pPr>
        <w:spacing w:after="12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B1B1B"/>
          <w:sz w:val="22"/>
          <w:szCs w:val="22"/>
        </w:rPr>
        <w:t xml:space="preserve">•  Deskew — corrects rotated pages using Hough line detection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B1B1B"/>
          <w:sz w:val="22"/>
          <w:szCs w:val="22"/>
        </w:rPr>
        <w:t xml:space="preserve">•  Denoising — applies non-local means denoising (cv2.fastNlMeansDenoising)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B1B1B"/>
          <w:sz w:val="22"/>
          <w:szCs w:val="22"/>
        </w:rPr>
        <w:t xml:space="preserve">•  Shadow removal — normalises uneven illumination with morphological operations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B1B1B"/>
          <w:sz w:val="22"/>
          <w:szCs w:val="22"/>
        </w:rPr>
        <w:t xml:space="preserve">•  Adaptive thresholding — converts grayscale to binary using local contrast (cv2.adaptiveThreshold)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B1B1B"/>
          <w:sz w:val="22"/>
          <w:szCs w:val="22"/>
        </w:rPr>
        <w:t xml:space="preserve">•  Perspective correction — flattens warped or angled notebook captures using homography</w:t>
      </w:r>
    </w:p>
    <w:p>
      <w:pPr>
        <w:spacing w:after="12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A quality gate is applied before enhancement. If the image falls below minimum thresholds for blur (Laplacian variance), resolution (minimum 300×400 px), or coverage, the app returns a prompt asking the farmer to retake the photo. This prevents propagating poor inputs into the expensive AI stages.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4.2 Layout Analysis — PP-Structure / LayoutLMv3</w:t>
      </w:r>
    </w:p>
    <w:p>
      <w:pPr>
        <w:spacing w:after="12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Farmer notebooks do not follow a uniform layout. Some use columns, others list items line-by-line, and many mix narrative text with tabular amounts. A dedicated layout analysis step is required to correctly identify transaction regions before OCR is applied.</w:t>
      </w:r>
    </w:p>
    <w:p>
      <w:pPr>
        <w:spacing w:after="12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Two models are recommended:</w:t>
      </w:r>
    </w:p>
    <w:p>
      <w:pPr>
        <w:spacing w:after="12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shd w:fill="2E7D3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480"/>
            <w:shd w:fill="2E7D3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Strength</w:t>
            </w:r>
          </w:p>
        </w:tc>
        <w:tc>
          <w:tcPr>
            <w:tcW w:type="dxa" w:w="3480"/>
            <w:shd w:fill="2E7D3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PP-Structure</w:t>
            </w:r>
          </w:p>
        </w:tc>
        <w:tc>
          <w:tcPr>
            <w:tcW w:type="dxa" w:w="348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Fast, lightweight, good for tabular/column layouts</w:t>
            </w:r>
          </w:p>
        </w:tc>
        <w:tc>
          <w:tcPr>
            <w:tcW w:type="dxa" w:w="348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Default for structured notebooks</w:t>
            </w:r>
          </w:p>
        </w:tc>
      </w:tr>
      <w:tr>
        <w:tc>
          <w:tcPr>
            <w:tcW w:type="dxa" w:w="2400"/>
            <w:shd w:fill="F5F5F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LayoutLMv3</w:t>
            </w:r>
          </w:p>
        </w:tc>
        <w:tc>
          <w:tcPr>
            <w:tcW w:type="dxa" w:w="3480"/>
            <w:shd w:fill="F5F5F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Multimodal (text + image), better on freeform pages</w:t>
            </w:r>
          </w:p>
        </w:tc>
        <w:tc>
          <w:tcPr>
            <w:tcW w:type="dxa" w:w="3480"/>
            <w:shd w:fill="F5F5F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Fallback for unstructured entries</w:t>
            </w:r>
          </w:p>
        </w:tc>
      </w:tr>
    </w:tbl>
    <w:p>
      <w:pPr>
        <w:spacing w:after="12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The output is a region map that tags each bounding box as one of: transaction, total/subtotal, header, or margin-note. Only transaction regions are forwarded to OCR. Totals and subtotals are detected and excluded from transaction extraction, preventing double-counting.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4.3 OCR Engine — PaddleOCR + TrOCR</w:t>
      </w:r>
    </w:p>
    <w:p>
      <w:pPr>
        <w:spacing w:after="12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OCR for Indian farmer notebooks presents two challenges that generic OCR systems do not handle well: mixed-script handwriting (Hindi Devanagari + Marathi + English in a single line), and informal abbreviations for agricultural products.</w:t>
      </w:r>
    </w:p>
    <w:p>
      <w:pPr>
        <w:spacing w:after="12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Primary: PaddleOCR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B1B1B"/>
          <w:sz w:val="22"/>
          <w:szCs w:val="22"/>
        </w:rPr>
        <w:t xml:space="preserve">•  Supports Hindi and English out-of-the-box with pre-trained models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B1B1B"/>
          <w:sz w:val="22"/>
          <w:szCs w:val="22"/>
        </w:rPr>
        <w:t xml:space="preserve">•  Faster inference than transformer-based alternatives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B1B1B"/>
          <w:sz w:val="22"/>
          <w:szCs w:val="22"/>
        </w:rPr>
        <w:t xml:space="preserve">•  Outputs text, per-character confidence scores, and bounding boxes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B1B1B"/>
          <w:sz w:val="22"/>
          <w:szCs w:val="22"/>
        </w:rPr>
        <w:t xml:space="preserve">•  Horizontally and vertically oriented text detection</w:t>
      </w:r>
    </w:p>
    <w:p>
      <w:pPr>
        <w:spacing w:after="12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Fallback: TrOCR (Microsoft)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B1B1B"/>
          <w:sz w:val="22"/>
          <w:szCs w:val="22"/>
        </w:rPr>
        <w:t xml:space="preserve">•  Transformer-based encoder-decoder architecture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B1B1B"/>
          <w:sz w:val="22"/>
          <w:szCs w:val="22"/>
        </w:rPr>
        <w:t xml:space="preserve">•  Stronger on irregular, degraded, or cursive handwriting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B1B1B"/>
          <w:sz w:val="22"/>
          <w:szCs w:val="22"/>
        </w:rPr>
        <w:t xml:space="preserve">•  Invoked automatically when PaddleOCR confidence falls below 0.75</w:t>
      </w:r>
    </w:p>
    <w:p>
      <w:pPr>
        <w:spacing w:after="12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Both engines return a standardised JSON structure per text line: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{ "text": "मजुरी", "confidence": 0.98, "bbox": [x1, y1, x2, y2] }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4.4 Farm Intelligence Engine — LLM (Gemini 2.5 Pro / GPT-5)</w:t>
      </w:r>
    </w:p>
    <w:p>
      <w:pPr>
        <w:spacing w:after="12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The most differentiated component of the system is the Farm Intelligence Engine — an LLM-powered parsing layer that understands agricultural context, not just text. Raw OCR output is incomplete: the product name "DAP" does not self-evidently map to "Fertilizer &gt; Di-Ammonium Phosphate" without domain knowledge.</w:t>
      </w:r>
    </w:p>
    <w:p>
      <w:pPr>
        <w:spacing w:after="12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Responsibilities of the LLM layer: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B1B1B"/>
          <w:sz w:val="22"/>
          <w:szCs w:val="22"/>
        </w:rPr>
        <w:t xml:space="preserve">•  Parse OCR text into structured date / description / amount triplets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B1B1B"/>
          <w:sz w:val="22"/>
          <w:szCs w:val="22"/>
        </w:rPr>
        <w:t xml:space="preserve">•  Categorise each transaction (Fertilizer, Pesticide, Labour, Machinery, Sales, etc.)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B1B1B"/>
          <w:sz w:val="22"/>
          <w:szCs w:val="22"/>
        </w:rPr>
        <w:t xml:space="preserve">•  Resolve local product names and abbreviations against the Farm Knowledge Base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B1B1B"/>
          <w:sz w:val="22"/>
          <w:szCs w:val="22"/>
        </w:rPr>
        <w:t xml:space="preserve">•  Infer the crop being cultivated from contextual clues in surrounding entries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B1B1B"/>
          <w:sz w:val="22"/>
          <w:szCs w:val="22"/>
        </w:rPr>
        <w:t xml:space="preserve">•  Identify and skip subtotal rows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B1B1B"/>
          <w:sz w:val="22"/>
          <w:szCs w:val="22"/>
        </w:rPr>
        <w:t xml:space="preserve">•  Return a structured JSON array — no free text</w:t>
      </w:r>
    </w:p>
    <w:p>
      <w:pPr>
        <w:spacing w:after="12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1B1B1B"/>
          <w:sz w:val="22"/>
          <w:szCs w:val="22"/>
        </w:rPr>
        <w:t xml:space="preserve">Model selection rationale:</w:t>
      </w:r>
    </w:p>
    <w:p>
      <w:pPr>
        <w:spacing w:after="12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shd w:fill="2E7D3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480"/>
            <w:shd w:fill="2E7D3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Strength</w:t>
            </w:r>
          </w:p>
        </w:tc>
        <w:tc>
          <w:tcPr>
            <w:tcW w:type="dxa" w:w="3480"/>
            <w:shd w:fill="2E7D3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Consideration</w:t>
            </w:r>
          </w:p>
        </w:tc>
      </w:tr>
      <w:tr>
        <w:tc>
          <w:tcPr>
            <w:tcW w:type="dxa" w:w="24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Gemini 2.5 Pro</w:t>
            </w:r>
          </w:p>
        </w:tc>
        <w:tc>
          <w:tcPr>
            <w:tcW w:type="dxa" w:w="348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Native multimodal, strong multilingual, GCP integration</w:t>
            </w:r>
          </w:p>
        </w:tc>
        <w:tc>
          <w:tcPr>
            <w:tcW w:type="dxa" w:w="348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Preferred — aligns with GramIQ GCP stack</w:t>
            </w:r>
          </w:p>
        </w:tc>
      </w:tr>
      <w:tr>
        <w:tc>
          <w:tcPr>
            <w:tcW w:type="dxa" w:w="2400"/>
            <w:shd w:fill="F5F5F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GPT-5</w:t>
            </w:r>
          </w:p>
        </w:tc>
        <w:tc>
          <w:tcPr>
            <w:tcW w:type="dxa" w:w="3480"/>
            <w:shd w:fill="F5F5F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Superior instruction following, robust JSON mode</w:t>
            </w:r>
          </w:p>
        </w:tc>
        <w:tc>
          <w:tcPr>
            <w:tcW w:type="dxa" w:w="3480"/>
            <w:shd w:fill="F5F5F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Fallback / A-B evaluation partner</w:t>
            </w:r>
          </w:p>
        </w:tc>
      </w:tr>
    </w:tbl>
    <w:p>
      <w:pPr>
        <w:spacing w:after="12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The system prompt provided to the LLM embeds the Farm Knowledge Base inline for the relevant crop and region, giving the model access to local spelling variants, product-to-category mappings, and amount sanity ranges. This retrieval-augmented approach keeps the model grounded without requiring fine-tuning.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4.5 Farm Knowledge Base</w:t>
      </w:r>
    </w:p>
    <w:p>
      <w:pPr>
        <w:spacing w:after="12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A domain-specific knowledge repository that maps unstructured agricultural references to canonical structured data. It is the backbone that distinguishes this system from a generic document digitisation tool.</w:t>
      </w:r>
    </w:p>
    <w:p>
      <w:pPr>
        <w:spacing w:after="12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Contents: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B1B1B"/>
          <w:sz w:val="22"/>
          <w:szCs w:val="22"/>
        </w:rPr>
        <w:t xml:space="preserve">•  Fertilizer names, aliases, and manufacturer brands (DAP → Di-Ammonium Phosphate → Fertilizer)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B1B1B"/>
          <w:sz w:val="22"/>
          <w:szCs w:val="22"/>
        </w:rPr>
        <w:t xml:space="preserve">•  Pesticide names, active ingredients, and subcategory (Monocrotophos → Insecticide)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B1B1B"/>
          <w:sz w:val="22"/>
          <w:szCs w:val="22"/>
        </w:rPr>
        <w:t xml:space="preserve">•  Seed varieties per crop and region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B1B1B"/>
          <w:sz w:val="22"/>
          <w:szCs w:val="22"/>
        </w:rPr>
        <w:t xml:space="preserve">•  Labour category names in Hindi and Marathi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B1B1B"/>
          <w:sz w:val="22"/>
          <w:szCs w:val="22"/>
        </w:rPr>
        <w:t xml:space="preserve">•  Common vendor names and aggregation aliases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B1B1B"/>
          <w:sz w:val="22"/>
          <w:szCs w:val="22"/>
        </w:rPr>
        <w:t xml:space="preserve">•  Expected amount ranges per category (sanity check bounds)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B1B1B"/>
          <w:sz w:val="22"/>
          <w:szCs w:val="22"/>
        </w:rPr>
        <w:t xml:space="preserve">•  Seasonal crop calendars per district in Maharashtra</w:t>
      </w:r>
    </w:p>
    <w:p>
      <w:pPr>
        <w:spacing w:after="12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The knowledge base is maintained as a structured database table (Product) and served via a FastAPI microservice. It is updated continuously as new product names and regional variants are encountered through farmer interactions on the broader GramIQ platform.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4.6 Validation Engine</w:t>
      </w:r>
    </w:p>
    <w:p>
      <w:pPr>
        <w:spacing w:after="120" w:before="6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Before any transaction reaches the review screen, it passes through a rule-based validation layer:</w:t>
      </w:r>
    </w:p>
    <w:p>
      <w:pPr>
        <w:spacing w:after="12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B1B1B"/>
          <w:sz w:val="22"/>
          <w:szCs w:val="22"/>
        </w:rPr>
        <w:t xml:space="preserve">•  Arithmetic validation — running totals on the page must reconcile with extracted amounts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B1B1B"/>
          <w:sz w:val="22"/>
          <w:szCs w:val="22"/>
        </w:rPr>
        <w:t xml:space="preserve">•  Date validation — dates are normalised and checked for plausibility (not in future, within current season)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B1B1B"/>
          <w:sz w:val="22"/>
          <w:szCs w:val="22"/>
        </w:rPr>
        <w:t xml:space="preserve">•  Amount validation — amounts checked against expected ranges from the Farm Knowledge Base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B1B1B"/>
          <w:sz w:val="22"/>
          <w:szCs w:val="22"/>
        </w:rPr>
        <w:t xml:space="preserve">•  Duplicate detection — hash-based comparison against recently uploaded pages for the same farmer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B1B1B"/>
          <w:sz w:val="22"/>
          <w:szCs w:val="22"/>
        </w:rPr>
        <w:t xml:space="preserve">•  Missing field detection — mandatory fields (date, amount, category) are flagged if absent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B1B1B"/>
          <w:sz w:val="22"/>
          <w:szCs w:val="22"/>
        </w:rPr>
        <w:t xml:space="preserve">•  Confidence scoring — each transaction receives a composite score (High / Medium / Low) based on OCR confidence and validation results</w:t>
      </w:r>
    </w:p>
    <w:p>
      <w:pPr>
        <w:spacing w:after="12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Only Low-confidence transactions are surfaced in the farmer review screen. High and Medium confidence transactions are auto-committed to the database, minimising the review burden.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4.7 Technology Stack Summary</w:t>
      </w:r>
    </w:p>
    <w:p>
      <w:pPr>
        <w:spacing w:after="12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shd w:fill="2E7D3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80"/>
            <w:shd w:fill="2E7D3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280"/>
            <w:shd w:fill="2E7D3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Mobile App</w:t>
            </w:r>
          </w:p>
        </w:tc>
        <w:tc>
          <w:tcPr>
            <w:tcW w:type="dxa" w:w="328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Flutter</w:t>
            </w:r>
          </w:p>
        </w:tc>
        <w:tc>
          <w:tcPr>
            <w:tcW w:type="dxa" w:w="328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Cross-platform; existing GramIQ codebase</w:t>
            </w:r>
          </w:p>
        </w:tc>
      </w:tr>
      <w:tr>
        <w:tc>
          <w:tcPr>
            <w:tcW w:type="dxa" w:w="2800"/>
            <w:shd w:fill="F5F5F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280"/>
            <w:shd w:fill="F5F5F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3280"/>
            <w:shd w:fill="F5F5F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High-performance async; native ML library support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Task Queue</w:t>
            </w:r>
          </w:p>
        </w:tc>
        <w:tc>
          <w:tcPr>
            <w:tcW w:type="dxa" w:w="328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328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Async pipeline execution; retries and prioritisation</w:t>
            </w:r>
          </w:p>
        </w:tc>
      </w:tr>
      <w:tr>
        <w:tc>
          <w:tcPr>
            <w:tcW w:type="dxa" w:w="2800"/>
            <w:shd w:fill="F5F5F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Image Processing</w:t>
            </w:r>
          </w:p>
        </w:tc>
        <w:tc>
          <w:tcPr>
            <w:tcW w:type="dxa" w:w="3280"/>
            <w:shd w:fill="F5F5F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OpenCV</w:t>
            </w:r>
          </w:p>
        </w:tc>
        <w:tc>
          <w:tcPr>
            <w:tcW w:type="dxa" w:w="3280"/>
            <w:shd w:fill="F5F5F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Mature, efficient, comprehensive transform library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Layout Analysis</w:t>
            </w:r>
          </w:p>
        </w:tc>
        <w:tc>
          <w:tcPr>
            <w:tcW w:type="dxa" w:w="328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PP-Structure / LayoutLMv3</w:t>
            </w:r>
          </w:p>
        </w:tc>
        <w:tc>
          <w:tcPr>
            <w:tcW w:type="dxa" w:w="328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Purpose-built document layout models</w:t>
            </w:r>
          </w:p>
        </w:tc>
      </w:tr>
      <w:tr>
        <w:tc>
          <w:tcPr>
            <w:tcW w:type="dxa" w:w="2800"/>
            <w:shd w:fill="F5F5F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OCR (Primary)</w:t>
            </w:r>
          </w:p>
        </w:tc>
        <w:tc>
          <w:tcPr>
            <w:tcW w:type="dxa" w:w="3280"/>
            <w:shd w:fill="F5F5F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PaddleOCR</w:t>
            </w:r>
          </w:p>
        </w:tc>
        <w:tc>
          <w:tcPr>
            <w:tcW w:type="dxa" w:w="3280"/>
            <w:shd w:fill="F5F5F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Multilingual handwriting; fast inference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OCR (Fallback)</w:t>
            </w:r>
          </w:p>
        </w:tc>
        <w:tc>
          <w:tcPr>
            <w:tcW w:type="dxa" w:w="328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TrOCR</w:t>
            </w:r>
          </w:p>
        </w:tc>
        <w:tc>
          <w:tcPr>
            <w:tcW w:type="dxa" w:w="328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Stronger on degraded / cursive handwriting</w:t>
            </w:r>
          </w:p>
        </w:tc>
      </w:tr>
      <w:tr>
        <w:tc>
          <w:tcPr>
            <w:tcW w:type="dxa" w:w="2800"/>
            <w:shd w:fill="F5F5F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LLM / Intelligence</w:t>
            </w:r>
          </w:p>
        </w:tc>
        <w:tc>
          <w:tcPr>
            <w:tcW w:type="dxa" w:w="3280"/>
            <w:shd w:fill="F5F5F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Gemini 2.5 Pro / GPT-5</w:t>
            </w:r>
          </w:p>
        </w:tc>
        <w:tc>
          <w:tcPr>
            <w:tcW w:type="dxa" w:w="3280"/>
            <w:shd w:fill="F5F5F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Agricultural NLP, JSON mode, RAG-compatible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Database</w:t>
            </w:r>
          </w:p>
        </w:tc>
        <w:tc>
          <w:tcPr>
            <w:tcW w:type="dxa" w:w="328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28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Relational integrity for financial records</w:t>
            </w:r>
          </w:p>
        </w:tc>
      </w:tr>
      <w:tr>
        <w:tc>
          <w:tcPr>
            <w:tcW w:type="dxa" w:w="2800"/>
            <w:shd w:fill="F5F5F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3280"/>
            <w:shd w:fill="F5F5F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AWS S3</w:t>
            </w:r>
          </w:p>
        </w:tc>
        <w:tc>
          <w:tcPr>
            <w:tcW w:type="dxa" w:w="3280"/>
            <w:shd w:fill="F5F5F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Durable, encrypted image archive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Cloud Platform</w:t>
            </w:r>
          </w:p>
        </w:tc>
        <w:tc>
          <w:tcPr>
            <w:tcW w:type="dxa" w:w="328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Google Cloud Platform</w:t>
            </w:r>
          </w:p>
        </w:tc>
        <w:tc>
          <w:tcPr>
            <w:tcW w:type="dxa" w:w="328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Existing GCP billing; Gemini API integration</w:t>
            </w:r>
          </w:p>
        </w:tc>
      </w:tr>
      <w:tr>
        <w:tc>
          <w:tcPr>
            <w:tcW w:type="dxa" w:w="2800"/>
            <w:shd w:fill="F5F5F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280"/>
            <w:shd w:fill="F5F5F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Prometheus + Grafana</w:t>
            </w:r>
          </w:p>
        </w:tc>
        <w:tc>
          <w:tcPr>
            <w:tcW w:type="dxa" w:w="3280"/>
            <w:shd w:fill="F5F5F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Pipeline latency and accuracy dashboards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32" w:sz="6"/>
        </w:pBdr>
        <w:spacing w:after="160" w:before="400"/>
      </w:pPr>
      <w:r>
        <w:rPr>
          <w:rFonts w:ascii="Calibri" w:cs="Calibri" w:eastAsia="Calibri" w:hAnsi="Calibri"/>
          <w:b/>
          <w:bCs/>
          <w:color w:val="2E7D32"/>
          <w:sz w:val="36"/>
          <w:szCs w:val="36"/>
        </w:rPr>
        <w:t xml:space="preserve">5. API Design</w:t>
      </w:r>
    </w:p>
    <w:p>
      <w:pPr>
        <w:spacing w:after="12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Four REST endpoints expose the pipeline to the mobile application and future integrations: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POST /api/v1/notebooks/upload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Accepts a multipart image upload. Validates format and file size. Returns a notebook_id for subsequent calls.</w:t>
      </w:r>
    </w:p>
    <w:p>
      <w:pPr>
        <w:spacing w:after="120" w:before="40"/>
      </w:pPr>
      <w:r>
        <w:t xml:space="preserve"/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Response: { "notebook_id": "uuid", "status": "Uploaded" }</w:t>
      </w:r>
    </w:p>
    <w:p>
      <w:pPr>
        <w:spacing w:after="12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POST /api/v1/notebooks/process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Triggers the async pipeline for a given notebook_id. Stages run in the Celery queue. Status is polled via GET.</w:t>
      </w:r>
    </w:p>
    <w:p>
      <w:pPr>
        <w:spacing w:after="120" w:before="40"/>
      </w:pPr>
      <w:r>
        <w:t xml:space="preserve"/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263238"/>
          <w:sz w:val="18"/>
          <w:szCs w:val="18"/>
        </w:rPr>
        <w:t xml:space="preserve">Response: { "notebook_id": "uuid", "status": "Processing" }</w:t>
      </w:r>
    </w:p>
    <w:p>
      <w:pPr>
        <w:spacing w:after="12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GET /api/v1/notebooks/{id}/transactions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Returns all extracted transactions for the notebook, including confidence scores and verification status. The mobile app uses this to populate the review screen.</w:t>
      </w:r>
    </w:p>
    <w:p>
      <w:pPr>
        <w:spacing w:after="12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POST /api/v1/transactions/verify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Accepts farmer edits and approvals from the review screen. Updates transaction records to verified = true. Triggers downstream analytics recalculation.</w:t>
      </w:r>
    </w:p>
    <w:p>
      <w:r>
        <w:br w:type="page"/>
      </w:r>
    </w:p>
    <w:p>
      <w:pPr>
        <w:pStyle w:val="Heading1"/>
        <w:pBdr>
          <w:bottom w:val="single" w:color="2E7D32" w:sz="6"/>
        </w:pBdr>
        <w:spacing w:after="160" w:before="400"/>
      </w:pPr>
      <w:r>
        <w:rPr>
          <w:rFonts w:ascii="Calibri" w:cs="Calibri" w:eastAsia="Calibri" w:hAnsi="Calibri"/>
          <w:b/>
          <w:bCs/>
          <w:color w:val="2E7D32"/>
          <w:sz w:val="36"/>
          <w:szCs w:val="36"/>
        </w:rPr>
        <w:t xml:space="preserve">6. Database Design</w:t>
      </w:r>
    </w:p>
    <w:p>
      <w:pPr>
        <w:spacing w:after="12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Four core tables store the digitisation artefacts and support downstream analytics: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6.1 Notebook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shd w:fill="2E7D3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shd w:fill="2E7D3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shd w:fill="2E7D3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800"/>
            <w:shd w:fill="F5F5F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farmer_id</w:t>
            </w:r>
          </w:p>
        </w:tc>
        <w:tc>
          <w:tcPr>
            <w:tcW w:type="dxa" w:w="2000"/>
            <w:shd w:fill="F5F5F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shd w:fill="F5F5F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Foreign key to farmer profile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image_url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Signed S3 URL to original image</w:t>
            </w:r>
          </w:p>
        </w:tc>
      </w:tr>
      <w:tr>
        <w:tc>
          <w:tcPr>
            <w:tcW w:type="dxa" w:w="2800"/>
            <w:shd w:fill="F5F5F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upload_time</w:t>
            </w:r>
          </w:p>
        </w:tc>
        <w:tc>
          <w:tcPr>
            <w:tcW w:type="dxa" w:w="2000"/>
            <w:shd w:fill="F5F5F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Timestamp</w:t>
            </w:r>
          </w:p>
        </w:tc>
        <w:tc>
          <w:tcPr>
            <w:tcW w:type="dxa" w:w="4560"/>
            <w:shd w:fill="F5F5F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UTC timestamp of upload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Enum</w:t>
            </w:r>
          </w:p>
        </w:tc>
        <w:tc>
          <w:tcPr>
            <w:tcW w:type="dxa" w:w="45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Uploaded / Processing / Review / Complete / Failed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6.2 Transaction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shd w:fill="2E7D3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shd w:fill="2E7D3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shd w:fill="2E7D3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800"/>
            <w:shd w:fill="F5F5F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notebook_id</w:t>
            </w:r>
          </w:p>
        </w:tc>
        <w:tc>
          <w:tcPr>
            <w:tcW w:type="dxa" w:w="2000"/>
            <w:shd w:fill="F5F5F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shd w:fill="F5F5F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Parent notebook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transaction_date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Date</w:t>
            </w:r>
          </w:p>
        </w:tc>
        <w:tc>
          <w:tcPr>
            <w:tcW w:type="dxa" w:w="45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Normalised date</w:t>
            </w:r>
          </w:p>
        </w:tc>
      </w:tr>
      <w:tr>
        <w:tc>
          <w:tcPr>
            <w:tcW w:type="dxa" w:w="2800"/>
            <w:shd w:fill="F5F5F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shd w:fill="F5F5F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shd w:fill="F5F5F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Raw OCR description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category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e.g. Fertilizer, Labour, Sale</w:t>
            </w:r>
          </w:p>
        </w:tc>
      </w:tr>
      <w:tr>
        <w:tc>
          <w:tcPr>
            <w:tcW w:type="dxa" w:w="2800"/>
            <w:shd w:fill="F5F5F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subcategory</w:t>
            </w:r>
          </w:p>
        </w:tc>
        <w:tc>
          <w:tcPr>
            <w:tcW w:type="dxa" w:w="2000"/>
            <w:shd w:fill="F5F5F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shd w:fill="F5F5F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e.g. Insecticide, Irrigation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crop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String</w:t>
            </w:r>
          </w:p>
        </w:tc>
        <w:tc>
          <w:tcPr>
            <w:tcW w:type="dxa" w:w="45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Inferred or farmer-confirmed crop</w:t>
            </w:r>
          </w:p>
        </w:tc>
      </w:tr>
      <w:tr>
        <w:tc>
          <w:tcPr>
            <w:tcW w:type="dxa" w:w="2800"/>
            <w:shd w:fill="F5F5F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amount</w:t>
            </w:r>
          </w:p>
        </w:tc>
        <w:tc>
          <w:tcPr>
            <w:tcW w:type="dxa" w:w="2000"/>
            <w:shd w:fill="F5F5F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Decimal</w:t>
            </w:r>
          </w:p>
        </w:tc>
        <w:tc>
          <w:tcPr>
            <w:tcW w:type="dxa" w:w="4560"/>
            <w:shd w:fill="F5F5F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Transaction amount in INR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confidence</w:t>
            </w:r>
          </w:p>
        </w:tc>
        <w:tc>
          <w:tcPr>
            <w:tcW w:type="dxa" w:w="20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Float</w:t>
            </w:r>
          </w:p>
        </w:tc>
        <w:tc>
          <w:tcPr>
            <w:tcW w:type="dxa" w:w="45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Composite confidence 0.0–1.0</w:t>
            </w:r>
          </w:p>
        </w:tc>
      </w:tr>
      <w:tr>
        <w:tc>
          <w:tcPr>
            <w:tcW w:type="dxa" w:w="2800"/>
            <w:shd w:fill="F5F5F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verified</w:t>
            </w:r>
          </w:p>
        </w:tc>
        <w:tc>
          <w:tcPr>
            <w:tcW w:type="dxa" w:w="2000"/>
            <w:shd w:fill="F5F5F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shd w:fill="F5F5F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True after farmer review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32" w:sz="6"/>
        </w:pBdr>
        <w:spacing w:after="160" w:before="400"/>
      </w:pPr>
      <w:r>
        <w:rPr>
          <w:rFonts w:ascii="Calibri" w:cs="Calibri" w:eastAsia="Calibri" w:hAnsi="Calibri"/>
          <w:b/>
          <w:bCs/>
          <w:color w:val="2E7D32"/>
          <w:sz w:val="36"/>
          <w:szCs w:val="36"/>
        </w:rPr>
        <w:t xml:space="preserve">7. Performance Targets &amp; Security</w:t>
      </w:r>
    </w:p>
    <w:p>
      <w:pPr>
        <w:spacing w:after="12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7.1 Performance Targets</w:t>
      </w:r>
    </w:p>
    <w:p>
      <w:pPr>
        <w:spacing w:after="12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shd w:fill="2E7D3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880"/>
            <w:shd w:fill="2E7D3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880"/>
            <w:shd w:fill="2E7D3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Image Upload</w:t>
            </w:r>
          </w:p>
        </w:tc>
        <w:tc>
          <w:tcPr>
            <w:tcW w:type="dxa" w:w="288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&lt; 3 seconds</w:t>
            </w:r>
          </w:p>
        </w:tc>
        <w:tc>
          <w:tcPr>
            <w:tcW w:type="dxa" w:w="288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Mobile to S3 via signed URL</w:t>
            </w:r>
          </w:p>
        </w:tc>
      </w:tr>
      <w:tr>
        <w:tc>
          <w:tcPr>
            <w:tcW w:type="dxa" w:w="3600"/>
            <w:shd w:fill="F5F5F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OCR Processing</w:t>
            </w:r>
          </w:p>
        </w:tc>
        <w:tc>
          <w:tcPr>
            <w:tcW w:type="dxa" w:w="2880"/>
            <w:shd w:fill="F5F5F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&lt; 5 seconds</w:t>
            </w:r>
          </w:p>
        </w:tc>
        <w:tc>
          <w:tcPr>
            <w:tcW w:type="dxa" w:w="2880"/>
            <w:shd w:fill="F5F5F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Per page</w:t>
            </w:r>
          </w:p>
        </w:tc>
      </w:tr>
      <w:tr>
        <w:tc>
          <w:tcPr>
            <w:tcW w:type="dxa" w:w="3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AI Parsing (LLM)</w:t>
            </w:r>
          </w:p>
        </w:tc>
        <w:tc>
          <w:tcPr>
            <w:tcW w:type="dxa" w:w="288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&lt; 8 seconds</w:t>
            </w:r>
          </w:p>
        </w:tc>
        <w:tc>
          <w:tcPr>
            <w:tcW w:type="dxa" w:w="288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Per page; cached for repeated products</w:t>
            </w:r>
          </w:p>
        </w:tc>
      </w:tr>
      <w:tr>
        <w:tc>
          <w:tcPr>
            <w:tcW w:type="dxa" w:w="3600"/>
            <w:shd w:fill="F5F5F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End-to-End Pipeline</w:t>
            </w:r>
          </w:p>
        </w:tc>
        <w:tc>
          <w:tcPr>
            <w:tcW w:type="dxa" w:w="2880"/>
            <w:shd w:fill="F5F5F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&lt; 15 seconds</w:t>
            </w:r>
          </w:p>
        </w:tc>
        <w:tc>
          <w:tcPr>
            <w:tcW w:type="dxa" w:w="2880"/>
            <w:shd w:fill="F5F5F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Upload to review-ready</w:t>
            </w:r>
          </w:p>
        </w:tc>
      </w:tr>
      <w:tr>
        <w:tc>
          <w:tcPr>
            <w:tcW w:type="dxa" w:w="3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Transaction Accuracy</w:t>
            </w:r>
          </w:p>
        </w:tc>
        <w:tc>
          <w:tcPr>
            <w:tcW w:type="dxa" w:w="288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&gt; 95%</w:t>
            </w:r>
          </w:p>
        </w:tc>
        <w:tc>
          <w:tcPr>
            <w:tcW w:type="dxa" w:w="288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After human review confirmation</w:t>
            </w:r>
          </w:p>
        </w:tc>
      </w:tr>
      <w:tr>
        <w:tc>
          <w:tcPr>
            <w:tcW w:type="dxa" w:w="3600"/>
            <w:shd w:fill="F5F5F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OCR Character Accuracy</w:t>
            </w:r>
          </w:p>
        </w:tc>
        <w:tc>
          <w:tcPr>
            <w:tcW w:type="dxa" w:w="2880"/>
            <w:shd w:fill="F5F5F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&gt; 90%</w:t>
            </w:r>
          </w:p>
        </w:tc>
        <w:tc>
          <w:tcPr>
            <w:tcW w:type="dxa" w:w="2880"/>
            <w:shd w:fill="F5F5F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Across Hindi, Marathi, English</w:t>
            </w:r>
          </w:p>
        </w:tc>
      </w:tr>
      <w:tr>
        <w:tc>
          <w:tcPr>
            <w:tcW w:type="dxa" w:w="3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System Availability</w:t>
            </w:r>
          </w:p>
        </w:tc>
        <w:tc>
          <w:tcPr>
            <w:tcW w:type="dxa" w:w="288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99.9% uptime</w:t>
            </w:r>
          </w:p>
        </w:tc>
        <w:tc>
          <w:tcPr>
            <w:tcW w:type="dxa" w:w="288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Monthly SLA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7.2 Security Controls</w:t>
      </w:r>
    </w:p>
    <w:p>
      <w:pPr>
        <w:spacing w:after="12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B1B1B"/>
          <w:sz w:val="22"/>
          <w:szCs w:val="22"/>
        </w:rPr>
        <w:t xml:space="preserve">•  HTTPS enforced on all API endpoints — no plaintext data transmission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B1B1B"/>
          <w:sz w:val="22"/>
          <w:szCs w:val="22"/>
        </w:rPr>
        <w:t xml:space="preserve">•  JWT-based authentication for all API calls from the mobile app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B1B1B"/>
          <w:sz w:val="22"/>
          <w:szCs w:val="22"/>
        </w:rPr>
        <w:t xml:space="preserve">•  Signed upload URLs — images upload directly to S3 without passing through application servers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B1B1B"/>
          <w:sz w:val="22"/>
          <w:szCs w:val="22"/>
        </w:rPr>
        <w:t xml:space="preserve">•  Encrypted image storage at rest on S3 (AES-256)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B1B1B"/>
          <w:sz w:val="22"/>
          <w:szCs w:val="22"/>
        </w:rPr>
        <w:t xml:space="preserve">•  Role-based access control (RBAC) — farmers see only their own records; agribusiness users see aggregated intelligence only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B1B1B"/>
          <w:sz w:val="22"/>
          <w:szCs w:val="22"/>
        </w:rPr>
        <w:t xml:space="preserve">•  Audit logging — all transactions record which pipeline stage created or modified them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B1B1B"/>
          <w:sz w:val="22"/>
          <w:szCs w:val="22"/>
        </w:rPr>
        <w:t xml:space="preserve">•  GDPR-aligned data handling — consistent with GramIQ's existing compliance framework</w:t>
      </w:r>
    </w:p>
    <w:p>
      <w:r>
        <w:br w:type="page"/>
      </w:r>
    </w:p>
    <w:p>
      <w:pPr>
        <w:pStyle w:val="Heading1"/>
        <w:pBdr>
          <w:bottom w:val="single" w:color="2E7D32" w:sz="6"/>
        </w:pBdr>
        <w:spacing w:after="160" w:before="400"/>
      </w:pPr>
      <w:r>
        <w:rPr>
          <w:rFonts w:ascii="Calibri" w:cs="Calibri" w:eastAsia="Calibri" w:hAnsi="Calibri"/>
          <w:b/>
          <w:bCs/>
          <w:color w:val="2E7D32"/>
          <w:sz w:val="36"/>
          <w:szCs w:val="36"/>
        </w:rPr>
        <w:t xml:space="preserve">8. Expected Outcomes</w:t>
      </w:r>
    </w:p>
    <w:p>
      <w:pPr>
        <w:spacing w:after="12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Successful deployment of the AI Ledger Digitization System is projected to produce measurable outcomes across three dimensions: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8.1 Farmer-Level Outcomes</w:t>
      </w:r>
    </w:p>
    <w:p>
      <w:pPr>
        <w:spacing w:after="12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B1B1B"/>
          <w:sz w:val="22"/>
          <w:szCs w:val="22"/>
        </w:rPr>
        <w:t xml:space="preserve">•  Farmers who previously tracked finances only in paper notebooks gain instant digital visibility into crop-wise profit and loss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B1B1B"/>
          <w:sz w:val="22"/>
          <w:szCs w:val="22"/>
        </w:rPr>
        <w:t xml:space="preserve">•  Cost of cultivation per acre becomes computable without manual arithmetic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B1B1B"/>
          <w:sz w:val="22"/>
          <w:szCs w:val="22"/>
        </w:rPr>
        <w:t xml:space="preserve">•  Historical season data is preserved and searchable — no information lost when a notebook is damaged or lost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B1B1B"/>
          <w:sz w:val="22"/>
          <w:szCs w:val="22"/>
        </w:rPr>
        <w:t xml:space="preserve">•  Onboarding of existing farmers with years of Bahi-Khata records becomes possible, dramatically enriching GramIQ's data asset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8.2 Platform-Level Outcomes</w:t>
      </w:r>
    </w:p>
    <w:p>
      <w:pPr>
        <w:spacing w:after="12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B1B1B"/>
          <w:sz w:val="22"/>
          <w:szCs w:val="22"/>
        </w:rPr>
        <w:t xml:space="preserve">•  Significant uplift in Daily Active Users as digitisation provides immediate, tangible value to farmers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B1B1B"/>
          <w:sz w:val="22"/>
          <w:szCs w:val="22"/>
        </w:rPr>
        <w:t xml:space="preserve">•  First-party farm financial data at scale — the core proprietary asset required for GramIQ's agribusiness intelligence product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B1B1B"/>
          <w:sz w:val="22"/>
          <w:szCs w:val="22"/>
        </w:rPr>
        <w:t xml:space="preserve">•  Improved profitability prediction and crop planning models, trained on verified historical cost data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color w:val="1B1B1B"/>
          <w:sz w:val="22"/>
          <w:szCs w:val="22"/>
        </w:rPr>
        <w:t xml:space="preserve">•  Foundation for BFSI credit scoring — verified farm income and expense records can support farmer credit applications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8.3 Business-Level Outcomes</w:t>
      </w:r>
    </w:p>
    <w:p>
      <w:pPr>
        <w:spacing w:after="12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2E7D3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760"/>
            <w:shd w:fill="2E7D3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Projected Impact</w:t>
            </w:r>
          </w:p>
        </w:tc>
      </w:tr>
      <w:tr>
        <w:tc>
          <w:tcPr>
            <w:tcW w:type="dxa" w:w="3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Farmer Retention</w:t>
            </w:r>
          </w:p>
        </w:tc>
        <w:tc>
          <w:tcPr>
            <w:tcW w:type="dxa" w:w="57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Higher — digitisation creates switching cost and ongoing value</w:t>
            </w:r>
          </w:p>
        </w:tc>
      </w:tr>
      <w:tr>
        <w:tc>
          <w:tcPr>
            <w:tcW w:type="dxa" w:w="3600"/>
            <w:shd w:fill="F5F5F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Data Richness</w:t>
            </w:r>
          </w:p>
        </w:tc>
        <w:tc>
          <w:tcPr>
            <w:tcW w:type="dxa" w:w="5760"/>
            <w:shd w:fill="F5F5F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Depth of farm records increases agribusiness intelligence product value</w:t>
            </w:r>
          </w:p>
        </w:tc>
      </w:tr>
      <w:tr>
        <w:tc>
          <w:tcPr>
            <w:tcW w:type="dxa" w:w="360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New Revenue Streams</w:t>
            </w:r>
          </w:p>
        </w:tc>
        <w:tc>
          <w:tcPr>
            <w:tcW w:type="dxa" w:w="5760"/>
            <w:shd w:fill="FFFFFF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BFSI credit data products become viable once financial records are digitised</w:t>
            </w:r>
          </w:p>
        </w:tc>
      </w:tr>
      <w:tr>
        <w:tc>
          <w:tcPr>
            <w:tcW w:type="dxa" w:w="3600"/>
            <w:shd w:fill="F5F5F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Differentiation</w:t>
            </w:r>
          </w:p>
        </w:tc>
        <w:tc>
          <w:tcPr>
            <w:tcW w:type="dxa" w:w="5760"/>
            <w:shd w:fill="F5F5F5" w:val="clear"/>
          </w:tcPr>
          <w:p>
            <w:pPr>
              <w:spacing w:after="60" w:before="60"/>
              <w:ind w:left="80"/>
            </w:pPr>
            <w:r>
              <w:rPr>
                <w:rFonts w:ascii="Calibri" w:cs="Calibri" w:eastAsia="Calibri" w:hAnsi="Calibri"/>
                <w:color w:val="1B1B1B"/>
                <w:sz w:val="20"/>
                <w:szCs w:val="20"/>
              </w:rPr>
              <w:t xml:space="preserve">No competitor offers AI-powered Bahi-Khata digitisation in the Indian agritech market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32" w:sz="6"/>
        </w:pBdr>
        <w:spacing w:after="160" w:before="400"/>
      </w:pPr>
      <w:r>
        <w:rPr>
          <w:rFonts w:ascii="Calibri" w:cs="Calibri" w:eastAsia="Calibri" w:hAnsi="Calibri"/>
          <w:b/>
          <w:bCs/>
          <w:color w:val="2E7D32"/>
          <w:sz w:val="36"/>
          <w:szCs w:val="36"/>
        </w:rPr>
        <w:t xml:space="preserve">9. Future Roadmap</w:t>
      </w:r>
    </w:p>
    <w:p>
      <w:pPr>
        <w:spacing w:after="12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The current TDD defines Phase 1: server-side AI pipeline. The following phases are planned:</w:t>
      </w:r>
    </w:p>
    <w:p>
      <w:pPr>
        <w:spacing w:after="120" w:before="6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Phase 2 — Voice Corrections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Allow farmers to correct transactions by voice: "Diesel amount is ₹900, not ₹700." The AI voice agent converts speech to a structured correction and updates the record.</w:t>
      </w:r>
    </w:p>
    <w:p>
      <w:pPr>
        <w:spacing w:after="12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Phase 3 — Multi-page Continuity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Automatically detect that a new upload is a continuation of a previously processed notebook and merge transactions into a single chronological ledger.</w:t>
      </w:r>
    </w:p>
    <w:p>
      <w:pPr>
        <w:spacing w:after="12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Phase 4 — On-Device OCR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Deploy a lightweight quantised OCR model directly on the Android app for farmers in low-connectivity areas. Transactions are extracted offline and synced when connectivity is restored.</w:t>
      </w:r>
    </w:p>
    <w:p>
      <w:pPr>
        <w:spacing w:after="12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Phase 5 — Proprietary Farm Document Model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Fine-tune a vision-language model specifically on GramIQ's growing dataset of farmer notebooks. This model will outperform generic models on agricultural handwriting, regional scripts, and product name resolution — creating a defensible AI asset.</w:t>
      </w:r>
    </w:p>
    <w:p>
      <w:pPr>
        <w:spacing w:after="12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Phase 6 — Financial Intelligence Layer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Automatically generate monthly P&amp;L statements, crop-wise profitability reports, input cost benchmarks, and a financial health score — turning raw notebook data into actionable farm management intelligence.</w:t>
      </w:r>
    </w:p>
    <w:p>
      <w:r>
        <w:br w:type="page"/>
      </w:r>
    </w:p>
    <w:p>
      <w:pPr>
        <w:pStyle w:val="Heading1"/>
        <w:pBdr>
          <w:bottom w:val="single" w:color="2E7D32" w:sz="6"/>
        </w:pBdr>
        <w:spacing w:after="160" w:before="400"/>
      </w:pPr>
      <w:r>
        <w:rPr>
          <w:rFonts w:ascii="Calibri" w:cs="Calibri" w:eastAsia="Calibri" w:hAnsi="Calibri"/>
          <w:b/>
          <w:bCs/>
          <w:color w:val="2E7D32"/>
          <w:sz w:val="36"/>
          <w:szCs w:val="36"/>
        </w:rPr>
        <w:t xml:space="preserve">10. Conclusion</w:t>
      </w:r>
    </w:p>
    <w:p>
      <w:pPr>
        <w:spacing w:after="12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The GramIQ AI Ledger Digitization System is a purpose-built, agriculture-domain AI pipeline that solves a problem no general-purpose document intelligence tool can address: reliably converting multilingual, handwritten Indian farm notebooks into structured financial data.</w:t>
      </w:r>
    </w:p>
    <w:p>
      <w:pPr>
        <w:spacing w:after="12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By combining computer vision (OpenCV), document layout analysis (PP-Structure / LayoutLMv3), multilingual handwriting OCR (PaddleOCR + TrOCR), large language model reasoning (Gemini 2.5 Pro / GPT-5), and a domain-specific Farm Knowledge Base, the system achieves transaction accuracy above 95% with minimal farmer effort.</w:t>
      </w:r>
    </w:p>
    <w:p>
      <w:pPr>
        <w:spacing w:after="12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The architecture is modular, scalable on Google Cloud Platform, and designed for continuous improvement. Each notebook processed enriches GramIQ's proprietary farm dataset — compounding the value of the Farm Intelligence Engine over time.</w:t>
      </w:r>
    </w:p>
    <w:p>
      <w:pPr>
        <w:spacing w:after="120" w:before="8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1B1B"/>
          <w:sz w:val="22"/>
          <w:szCs w:val="22"/>
        </w:rPr>
        <w:t xml:space="preserve">Beyond the immediate utility to individual farmers, the digitised records create the data foundation for GramIQ's higher-value products: agribusiness intelligence, BFSI credit scoring, and predictive crop planning. The Ledger Digitization System is therefore not only a farmer-facing feature — it is a strategic data infrastructure investment that strengthens GramIQ's competitive moat in the Indian agritech landscape.</w:t>
      </w:r>
    </w:p>
    <w:p>
      <w:pPr>
        <w:spacing w:after="12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shd w:fill="2E7D32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Next Step</w:t>
            </w:r>
          </w:p>
        </w:tc>
        <w:tc>
          <w:tcPr>
            <w:tcW w:type="dxa" w:w="8160"/>
            <w:shd w:fill="E8F5E9" w:val="clear"/>
          </w:tcPr>
          <w:p>
            <w:pPr>
              <w:spacing w:after="60" w:before="60"/>
              <w:ind w:left="120"/>
            </w:pPr>
            <w:r>
              <w:rPr>
                <w:rFonts w:ascii="Calibri" w:cs="Calibri" w:eastAsia="Calibri" w:hAnsi="Calibri"/>
                <w:color w:val="1B1B1B"/>
                <w:sz w:val="21"/>
                <w:szCs w:val="21"/>
              </w:rPr>
              <w:t xml:space="preserve">Engineering review of this TDD, assignment of stage owners, and sprint planning for Phase 1 pipeline implementation targeting Q3 2026.</w:t>
            </w:r>
          </w:p>
        </w:tc>
      </w:tr>
    </w:tbl>
    <w:sectPr>
      <w:pgSz w:w="12240" w:h="15840" w:orient="portrait"/>
      <w:pgMar w:top="1080" w:right="108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1B1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2026-07-27T12:51:28.499Z</dcterms:created>
  <dcterms:modified xsi:type="dcterms:W3CDTF">2026-07-27T12:51:28.526Z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