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rFonts w:ascii="Calibri" w:cs="Calibri" w:eastAsia="Calibri" w:hAnsi="Calibri"/>
          <w:b/>
          <w:bCs/>
          <w:color w:val="1D9E75"/>
          <w:sz w:val="72"/>
          <w:szCs w:val="72"/>
        </w:rPr>
        <w:t xml:space="preserve">GramIQ</w:t>
      </w:r>
    </w:p>
    <w:p>
      <w:pPr>
        <w:spacing w:after="40"/>
        <w:jc w:val="center"/>
      </w:pPr>
      <w:r>
        <w:rPr>
          <w:rFonts w:ascii="Calibri" w:cs="Calibri" w:eastAsia="Calibri" w:hAnsi="Calibri"/>
          <w:color w:val="2C2C2A"/>
          <w:sz w:val="40"/>
          <w:szCs w:val="40"/>
        </w:rPr>
        <w:t xml:space="preserve">Research Audit &amp; Unified Report</w:t>
      </w:r>
    </w:p>
    <w:p>
      <w:pPr>
        <w:spacing w:after="400"/>
        <w:jc w:val="center"/>
      </w:pPr>
      <w:r>
        <w:rPr>
          <w:i/>
          <w:iCs/>
          <w:color w:val="6B6B68"/>
          <w:sz w:val="24"/>
          <w:szCs w:val="24"/>
        </w:rPr>
        <w:t xml:space="preserve">Critical Evaluation of AI-Generated Research Deliverables</w:t>
      </w:r>
    </w:p>
    <w:tbl>
      <w:tblPr>
        <w:tblW w:type="dxa" w:w="5400"/>
        <w:jc w:val="center"/>
        <w:tblBorders>
          <w:top w:val="none"/>
          <w:left w:val="none"/>
          <w:bottom w:val="none"/>
          <w:right w:val="none"/>
          <w:insideH w:val="single" w:color="auto" w:sz="4"/>
          <w:insideV w:val="single" w:color="auto" w:sz="4"/>
        </w:tblBorders>
      </w:tblPr>
      <w:tblGrid>
        <w:gridCol w:w="2400"/>
        <w:gridCol w:w="3000"/>
      </w:tblGrid>
      <w:tr>
        <w:tc>
          <w:tcPr>
            <w:tcW w:type="dxa" w:w="2400"/>
            <w:shd w:fill="F4F2EB" w:val="clear"/>
            <w:tcMar>
              <w:top w:type="dxa" w:w="60"/>
              <w:left w:type="dxa" w:w="120"/>
              <w:bottom w:type="dxa" w:w="60"/>
              <w:right w:type="dxa" w:w="120"/>
            </w:tcMar>
          </w:tcPr>
          <w:p>
            <w:r>
              <w:rPr>
                <w:b/>
                <w:bCs/>
                <w:color w:val="2C2C2A"/>
                <w:sz w:val="22"/>
                <w:szCs w:val="22"/>
              </w:rPr>
              <w:t xml:space="preserve">Report A</w:t>
            </w:r>
          </w:p>
        </w:tc>
        <w:tc>
          <w:tcPr>
            <w:tcW w:type="dxa" w:w="3000"/>
            <w:tcMar>
              <w:top w:type="dxa" w:w="60"/>
              <w:left w:type="dxa" w:w="120"/>
              <w:bottom w:type="dxa" w:w="60"/>
              <w:right w:type="dxa" w:w="120"/>
            </w:tcMar>
          </w:tcPr>
          <w:p>
            <w:r>
              <w:rPr>
                <w:color w:val="6B6B68"/>
                <w:sz w:val="22"/>
                <w:szCs w:val="22"/>
              </w:rPr>
              <w:t xml:space="preserve">Agritech Weather API Comparison (Gemini)</w:t>
            </w:r>
          </w:p>
        </w:tc>
      </w:tr>
      <w:tr>
        <w:tc>
          <w:tcPr>
            <w:tcW w:type="dxa" w:w="2400"/>
            <w:shd w:fill="F4F2EB" w:val="clear"/>
            <w:tcMar>
              <w:top w:type="dxa" w:w="60"/>
              <w:left w:type="dxa" w:w="120"/>
              <w:bottom w:type="dxa" w:w="60"/>
              <w:right w:type="dxa" w:w="120"/>
            </w:tcMar>
          </w:tcPr>
          <w:p>
            <w:r>
              <w:rPr>
                <w:b/>
                <w:bCs/>
                <w:color w:val="2C2C2A"/>
                <w:sz w:val="22"/>
                <w:szCs w:val="22"/>
              </w:rPr>
              <w:t xml:space="preserve">Report B</w:t>
            </w:r>
          </w:p>
        </w:tc>
        <w:tc>
          <w:tcPr>
            <w:tcW w:type="dxa" w:w="3000"/>
            <w:tcMar>
              <w:top w:type="dxa" w:w="60"/>
              <w:left w:type="dxa" w:w="120"/>
              <w:bottom w:type="dxa" w:w="60"/>
              <w:right w:type="dxa" w:w="120"/>
            </w:tcMar>
          </w:tcPr>
          <w:p>
            <w:r>
              <w:rPr>
                <w:color w:val="6B6B68"/>
                <w:sz w:val="22"/>
                <w:szCs w:val="22"/>
              </w:rPr>
              <w:t xml:space="preserve">Finance OCR Research (ChatGPT)</w:t>
            </w:r>
          </w:p>
        </w:tc>
      </w:tr>
      <w:tr>
        <w:tc>
          <w:tcPr>
            <w:tcW w:type="dxa" w:w="2400"/>
            <w:shd w:fill="F4F2EB" w:val="clear"/>
            <w:tcMar>
              <w:top w:type="dxa" w:w="60"/>
              <w:left w:type="dxa" w:w="120"/>
              <w:bottom w:type="dxa" w:w="60"/>
              <w:right w:type="dxa" w:w="120"/>
            </w:tcMar>
          </w:tcPr>
          <w:p>
            <w:r>
              <w:rPr>
                <w:b/>
                <w:bCs/>
                <w:color w:val="2C2C2A"/>
                <w:sz w:val="22"/>
                <w:szCs w:val="22"/>
              </w:rPr>
              <w:t xml:space="preserve">Auditor</w:t>
            </w:r>
          </w:p>
        </w:tc>
        <w:tc>
          <w:tcPr>
            <w:tcW w:type="dxa" w:w="3000"/>
            <w:tcMar>
              <w:top w:type="dxa" w:w="60"/>
              <w:left w:type="dxa" w:w="120"/>
              <w:bottom w:type="dxa" w:w="60"/>
              <w:right w:type="dxa" w:w="120"/>
            </w:tcMar>
          </w:tcPr>
          <w:p>
            <w:r>
              <w:rPr>
                <w:color w:val="6B6B68"/>
                <w:sz w:val="22"/>
                <w:szCs w:val="22"/>
              </w:rPr>
              <w:t xml:space="preserve">GramIQ Technical Leadership</w:t>
            </w:r>
          </w:p>
        </w:tc>
      </w:tr>
      <w:tr>
        <w:tc>
          <w:tcPr>
            <w:tcW w:type="dxa" w:w="2400"/>
            <w:shd w:fill="F4F2EB" w:val="clear"/>
            <w:tcMar>
              <w:top w:type="dxa" w:w="60"/>
              <w:left w:type="dxa" w:w="120"/>
              <w:bottom w:type="dxa" w:w="60"/>
              <w:right w:type="dxa" w:w="120"/>
            </w:tcMar>
          </w:tcPr>
          <w:p>
            <w:r>
              <w:rPr>
                <w:b/>
                <w:bCs/>
                <w:color w:val="2C2C2A"/>
                <w:sz w:val="22"/>
                <w:szCs w:val="22"/>
              </w:rPr>
              <w:t xml:space="preserve">Date</w:t>
            </w:r>
          </w:p>
        </w:tc>
        <w:tc>
          <w:tcPr>
            <w:tcW w:type="dxa" w:w="3000"/>
            <w:tcMar>
              <w:top w:type="dxa" w:w="60"/>
              <w:left w:type="dxa" w:w="120"/>
              <w:bottom w:type="dxa" w:w="60"/>
              <w:right w:type="dxa" w:w="120"/>
            </w:tcMar>
          </w:tcPr>
          <w:p>
            <w:r>
              <w:rPr>
                <w:color w:val="6B6B68"/>
                <w:sz w:val="22"/>
                <w:szCs w:val="22"/>
              </w:rPr>
              <w:t xml:space="preserve">July 2026</w:t>
            </w:r>
          </w:p>
        </w:tc>
      </w:tr>
      <w:tr>
        <w:tc>
          <w:tcPr>
            <w:tcW w:type="dxa" w:w="2400"/>
            <w:shd w:fill="F4F2EB" w:val="clear"/>
            <w:tcMar>
              <w:top w:type="dxa" w:w="60"/>
              <w:left w:type="dxa" w:w="120"/>
              <w:bottom w:type="dxa" w:w="60"/>
              <w:right w:type="dxa" w:w="120"/>
            </w:tcMar>
          </w:tcPr>
          <w:p>
            <w:r>
              <w:rPr>
                <w:b/>
                <w:bCs/>
                <w:color w:val="2C2C2A"/>
                <w:sz w:val="22"/>
                <w:szCs w:val="22"/>
              </w:rPr>
              <w:t xml:space="preserve">Classification</w:t>
            </w:r>
          </w:p>
        </w:tc>
        <w:tc>
          <w:tcPr>
            <w:tcW w:type="dxa" w:w="3000"/>
            <w:tcMar>
              <w:top w:type="dxa" w:w="60"/>
              <w:left w:type="dxa" w:w="120"/>
              <w:bottom w:type="dxa" w:w="60"/>
              <w:right w:type="dxa" w:w="120"/>
            </w:tcMar>
          </w:tcPr>
          <w:p>
            <w:r>
              <w:rPr>
                <w:color w:val="6B6B68"/>
                <w:sz w:val="22"/>
                <w:szCs w:val="22"/>
              </w:rPr>
              <w:t xml:space="preserve">Internal — Not for Distribution</w:t>
            </w:r>
          </w:p>
        </w:tc>
      </w:tr>
    </w:tbl>
    <w:p>
      <w:r>
        <w:br w:type="page"/>
      </w:r>
    </w:p>
    <w:p>
      <w:pPr>
        <w:pStyle w:val="Heading1"/>
        <w:pBdr>
          <w:bottom w:val="single" w:color="1D9E75" w:sz="6" w:space="4"/>
        </w:pBdr>
        <w:spacing w:after="120" w:before="360"/>
      </w:pPr>
      <w:r>
        <w:t xml:space="preserve">Executive Summary</w:t>
      </w:r>
    </w:p>
    <w:p>
      <w:pPr>
        <w:spacing w:after="100"/>
      </w:pPr>
      <w:r>
        <w:rPr>
          <w:color w:val="2C2C2A"/>
          <w:sz w:val="22"/>
          <w:szCs w:val="22"/>
        </w:rPr>
        <w:t xml:space="preserve">This audit critically evaluates two AI-generated research reports commissioned for the GramIQ Farmer Notebook Digitization project. Report A (Gemini) covers weather API selection for agronomy advisories. Report B (ChatGPT) covers OCR and document AI for digitizing handwritten farm ledgers. Both reports were generated by large language models and require independent verification before use in engineering or product decisions.</w:t>
      </w:r>
    </w:p>
    <w:p>
      <w:pPr>
        <w:spacing w:before="80"/>
      </w:pPr>
    </w:p>
    <w:tbl>
      <w:tblPr>
        <w:tblW w:type="dxa" w:w="9360"/>
        <w:tblBorders>
          <w:top w:val="none"/>
          <w:left w:val="thick" w:color="92570A" w:sz="16"/>
          <w:bottom w:val="none"/>
          <w:right w:val="none"/>
          <w:insideH w:val="single" w:color="auto" w:sz="4"/>
          <w:insideV w:val="single" w:color="auto" w:sz="4"/>
        </w:tblBorders>
      </w:tblPr>
      <w:tblGrid>
        <w:gridCol w:w="9360"/>
      </w:tblGrid>
      <w:tr>
        <w:tc>
          <w:tcPr>
            <w:shd w:fill="FEF3E2" w:val="clear"/>
            <w:tcMar>
              <w:top w:type="dxa" w:w="80"/>
              <w:left w:type="dxa" w:w="200"/>
              <w:bottom w:type="dxa" w:w="80"/>
              <w:right w:type="dxa" w:w="160"/>
            </w:tcMar>
          </w:tcPr>
          <w:p>
            <w:r>
              <w:rPr>
                <w:i/>
                <w:iCs/>
                <w:color w:val="5C3A08"/>
                <w:sz w:val="21"/>
                <w:szCs w:val="21"/>
              </w:rPr>
              <w:t xml:space="preserve">Bottom line: Report A (Weather API) is well-structured and technically solid, but inflates vendor claims and cites a company's own marketing pages as authority. Report B (OCR/Finance) covers more ground but is riddled with hallucinated citations, outdated claims presented as current, factual errors in model capabilities, and informal language that undermines its credibility. Neither report should be used as-is. This document provides a corrected, unified synthesis.</w:t>
            </w:r>
          </w:p>
        </w:tc>
      </w:tr>
    </w:tbl>
    <w:p>
      <w:pPr>
        <w:spacing w:before="160"/>
      </w:pPr>
    </w:p>
    <w:tbl>
      <w:tblPr>
        <w:tblW w:type="dxa" w:w="9360"/>
        <w:tblBorders>
          <w:top w:val="single" w:color="D3D1C7" w:sz="4"/>
          <w:left w:val="single" w:color="D3D1C7" w:sz="4"/>
          <w:bottom w:val="single" w:color="D3D1C7" w:sz="4"/>
          <w:right w:val="single" w:color="D3D1C7" w:sz="4"/>
          <w:insideH w:val="single" w:color="auto" w:sz="4"/>
          <w:insideV w:val="single" w:color="auto" w:sz="4"/>
        </w:tblBorders>
      </w:tblPr>
      <w:tblGrid>
        <w:gridCol w:w="2400"/>
        <w:gridCol w:w="3480"/>
        <w:gridCol w:w="3480"/>
      </w:tblGrid>
      <w:tr>
        <w:trPr>
          <w:tblHeader/>
        </w:trPr>
        <w:tc>
          <w:tcPr>
            <w:tcW w:type="dxa" w:w="2400"/>
            <w:shd w:fill="1D9E75" w:val="clear"/>
            <w:tcMar>
              <w:top w:type="dxa" w:w="80"/>
              <w:left w:type="dxa" w:w="120"/>
              <w:bottom w:type="dxa" w:w="80"/>
              <w:right w:type="dxa" w:w="120"/>
            </w:tcMar>
          </w:tcPr>
          <w:p>
            <w:r>
              <w:rPr>
                <w:b/>
                <w:bCs/>
                <w:color w:val="FFFFFF"/>
                <w:sz w:val="20"/>
                <w:szCs w:val="20"/>
              </w:rPr>
              <w:t xml:space="preserve">Dimension</w:t>
            </w:r>
          </w:p>
        </w:tc>
        <w:tc>
          <w:tcPr>
            <w:tcW w:type="dxa" w:w="3480"/>
            <w:shd w:fill="1D9E75" w:val="clear"/>
            <w:tcMar>
              <w:top w:type="dxa" w:w="80"/>
              <w:left w:type="dxa" w:w="120"/>
              <w:bottom w:type="dxa" w:w="80"/>
              <w:right w:type="dxa" w:w="120"/>
            </w:tcMar>
          </w:tcPr>
          <w:p>
            <w:r>
              <w:rPr>
                <w:b/>
                <w:bCs/>
                <w:color w:val="FFFFFF"/>
                <w:sz w:val="20"/>
                <w:szCs w:val="20"/>
              </w:rPr>
              <w:t xml:space="preserve">Report A — Weather API (Gemini)</w:t>
            </w:r>
          </w:p>
        </w:tc>
        <w:tc>
          <w:tcPr>
            <w:tcW w:type="dxa" w:w="3480"/>
            <w:shd w:fill="1D9E75" w:val="clear"/>
            <w:tcMar>
              <w:top w:type="dxa" w:w="80"/>
              <w:left w:type="dxa" w:w="120"/>
              <w:bottom w:type="dxa" w:w="80"/>
              <w:right w:type="dxa" w:w="120"/>
            </w:tcMar>
          </w:tcPr>
          <w:p>
            <w:r>
              <w:rPr>
                <w:b/>
                <w:bCs/>
                <w:color w:val="FFFFFF"/>
                <w:sz w:val="20"/>
                <w:szCs w:val="20"/>
              </w:rPr>
              <w:t xml:space="preserve">Report B — OCR Research (ChatGPT)</w:t>
            </w:r>
          </w:p>
        </w:tc>
      </w:tr>
      <w:tr>
        <w:tc>
          <w:tcPr>
            <w:tcW w:type="dxa" w:w="2400"/>
            <w:shd w:fill="FFFFFF" w:val="clear"/>
            <w:tcMar>
              <w:top w:type="dxa" w:w="60"/>
              <w:left w:type="dxa" w:w="120"/>
              <w:bottom w:type="dxa" w:w="60"/>
              <w:right w:type="dxa" w:w="120"/>
            </w:tcMar>
          </w:tcPr>
          <w:p>
            <w:r>
              <w:rPr>
                <w:color w:val="2C2C2A"/>
                <w:sz w:val="20"/>
                <w:szCs w:val="20"/>
              </w:rPr>
              <w:t xml:space="preserve">Factual Accuracy</w:t>
            </w:r>
          </w:p>
        </w:tc>
        <w:tc>
          <w:tcPr>
            <w:tcW w:type="dxa" w:w="3480"/>
            <w:shd w:fill="FFFFFF" w:val="clear"/>
            <w:tcMar>
              <w:top w:type="dxa" w:w="60"/>
              <w:left w:type="dxa" w:w="120"/>
              <w:bottom w:type="dxa" w:w="60"/>
              <w:right w:type="dxa" w:w="120"/>
            </w:tcMar>
          </w:tcPr>
          <w:p>
            <w:r>
              <w:rPr>
                <w:color w:val="2C2C2A"/>
                <w:sz w:val="20"/>
                <w:szCs w:val="20"/>
              </w:rPr>
              <w:t xml:space="preserve">⚠ Good overall; some unverified vendor claims</w:t>
            </w:r>
          </w:p>
        </w:tc>
        <w:tc>
          <w:tcPr>
            <w:tcW w:type="dxa" w:w="3480"/>
            <w:shd w:fill="FFFFFF" w:val="clear"/>
            <w:tcMar>
              <w:top w:type="dxa" w:w="60"/>
              <w:left w:type="dxa" w:w="120"/>
              <w:bottom w:type="dxa" w:w="60"/>
              <w:right w:type="dxa" w:w="120"/>
            </w:tcMar>
          </w:tcPr>
          <w:p>
            <w:r>
              <w:rPr>
                <w:color w:val="2C2C2A"/>
                <w:sz w:val="20"/>
                <w:szCs w:val="20"/>
              </w:rPr>
              <w:t xml:space="preserve">✗ Multiple hallucinated citations &amp; wrong claims</w:t>
            </w:r>
          </w:p>
        </w:tc>
      </w:tr>
      <w:tr>
        <w:tc>
          <w:tcPr>
            <w:tcW w:type="dxa" w:w="2400"/>
            <w:shd w:fill="F4F2EB" w:val="clear"/>
            <w:tcMar>
              <w:top w:type="dxa" w:w="60"/>
              <w:left w:type="dxa" w:w="120"/>
              <w:bottom w:type="dxa" w:w="60"/>
              <w:right w:type="dxa" w:w="120"/>
            </w:tcMar>
          </w:tcPr>
          <w:p>
            <w:r>
              <w:rPr>
                <w:color w:val="2C2C2A"/>
                <w:sz w:val="20"/>
                <w:szCs w:val="20"/>
              </w:rPr>
              <w:t xml:space="preserve">Source Quality</w:t>
            </w:r>
          </w:p>
        </w:tc>
        <w:tc>
          <w:tcPr>
            <w:tcW w:type="dxa" w:w="3480"/>
            <w:shd w:fill="F4F2EB" w:val="clear"/>
            <w:tcMar>
              <w:top w:type="dxa" w:w="60"/>
              <w:left w:type="dxa" w:w="120"/>
              <w:bottom w:type="dxa" w:w="60"/>
              <w:right w:type="dxa" w:w="120"/>
            </w:tcMar>
          </w:tcPr>
          <w:p>
            <w:r>
              <w:rPr>
                <w:color w:val="2C2C2A"/>
                <w:sz w:val="20"/>
                <w:szCs w:val="20"/>
              </w:rPr>
              <w:t xml:space="preserve">⚠ Many citations point to vendor marketing pages</w:t>
            </w:r>
          </w:p>
        </w:tc>
        <w:tc>
          <w:tcPr>
            <w:tcW w:type="dxa" w:w="3480"/>
            <w:shd w:fill="F4F2EB" w:val="clear"/>
            <w:tcMar>
              <w:top w:type="dxa" w:w="60"/>
              <w:left w:type="dxa" w:w="120"/>
              <w:bottom w:type="dxa" w:w="60"/>
              <w:right w:type="dxa" w:w="120"/>
            </w:tcMar>
          </w:tcPr>
          <w:p>
            <w:r>
              <w:rPr>
                <w:color w:val="2C2C2A"/>
                <w:sz w:val="20"/>
                <w:szCs w:val="20"/>
              </w:rPr>
              <w:t xml:space="preserve">✗ Several citations are fictional or unverifiable</w:t>
            </w:r>
          </w:p>
        </w:tc>
      </w:tr>
      <w:tr>
        <w:tc>
          <w:tcPr>
            <w:tcW w:type="dxa" w:w="2400"/>
            <w:shd w:fill="FFFFFF" w:val="clear"/>
            <w:tcMar>
              <w:top w:type="dxa" w:w="60"/>
              <w:left w:type="dxa" w:w="120"/>
              <w:bottom w:type="dxa" w:w="60"/>
              <w:right w:type="dxa" w:w="120"/>
            </w:tcMar>
          </w:tcPr>
          <w:p>
            <w:r>
              <w:rPr>
                <w:color w:val="2C2C2A"/>
                <w:sz w:val="20"/>
                <w:szCs w:val="20"/>
              </w:rPr>
              <w:t xml:space="preserve">Technical Depth</w:t>
            </w:r>
          </w:p>
        </w:tc>
        <w:tc>
          <w:tcPr>
            <w:tcW w:type="dxa" w:w="3480"/>
            <w:shd w:fill="FFFFFF" w:val="clear"/>
            <w:tcMar>
              <w:top w:type="dxa" w:w="60"/>
              <w:left w:type="dxa" w:w="120"/>
              <w:bottom w:type="dxa" w:w="60"/>
              <w:right w:type="dxa" w:w="120"/>
            </w:tcMar>
          </w:tcPr>
          <w:p>
            <w:r>
              <w:rPr>
                <w:color w:val="2C2C2A"/>
                <w:sz w:val="20"/>
                <w:szCs w:val="20"/>
              </w:rPr>
              <w:t xml:space="preserve">✓ Strong agronomic detail</w:t>
            </w:r>
          </w:p>
        </w:tc>
        <w:tc>
          <w:tcPr>
            <w:tcW w:type="dxa" w:w="3480"/>
            <w:shd w:fill="FFFFFF" w:val="clear"/>
            <w:tcMar>
              <w:top w:type="dxa" w:w="60"/>
              <w:left w:type="dxa" w:w="120"/>
              <w:bottom w:type="dxa" w:w="60"/>
              <w:right w:type="dxa" w:w="120"/>
            </w:tcMar>
          </w:tcPr>
          <w:p>
            <w:r>
              <w:rPr>
                <w:color w:val="2C2C2A"/>
                <w:sz w:val="20"/>
                <w:szCs w:val="20"/>
              </w:rPr>
              <w:t xml:space="preserve">⚠ Good breadth, shallow depth in places</w:t>
            </w:r>
          </w:p>
        </w:tc>
      </w:tr>
      <w:tr>
        <w:tc>
          <w:tcPr>
            <w:tcW w:type="dxa" w:w="2400"/>
            <w:shd w:fill="F4F2EB" w:val="clear"/>
            <w:tcMar>
              <w:top w:type="dxa" w:w="60"/>
              <w:left w:type="dxa" w:w="120"/>
              <w:bottom w:type="dxa" w:w="60"/>
              <w:right w:type="dxa" w:w="120"/>
            </w:tcMar>
          </w:tcPr>
          <w:p>
            <w:r>
              <w:rPr>
                <w:color w:val="2C2C2A"/>
                <w:sz w:val="20"/>
                <w:szCs w:val="20"/>
              </w:rPr>
              <w:t xml:space="preserve">Relevance to GramIQ</w:t>
            </w:r>
          </w:p>
        </w:tc>
        <w:tc>
          <w:tcPr>
            <w:tcW w:type="dxa" w:w="3480"/>
            <w:shd w:fill="F4F2EB" w:val="clear"/>
            <w:tcMar>
              <w:top w:type="dxa" w:w="60"/>
              <w:left w:type="dxa" w:w="120"/>
              <w:bottom w:type="dxa" w:w="60"/>
              <w:right w:type="dxa" w:w="120"/>
            </w:tcMar>
          </w:tcPr>
          <w:p>
            <w:r>
              <w:rPr>
                <w:color w:val="2C2C2A"/>
                <w:sz w:val="20"/>
                <w:szCs w:val="20"/>
              </w:rPr>
              <w:t xml:space="preserve">⚠ Partially — assumes GPS precision not yet in GramIQ</w:t>
            </w:r>
          </w:p>
        </w:tc>
        <w:tc>
          <w:tcPr>
            <w:tcW w:type="dxa" w:w="3480"/>
            <w:shd w:fill="F4F2EB" w:val="clear"/>
            <w:tcMar>
              <w:top w:type="dxa" w:w="60"/>
              <w:left w:type="dxa" w:w="120"/>
              <w:bottom w:type="dxa" w:w="60"/>
              <w:right w:type="dxa" w:w="120"/>
            </w:tcMar>
          </w:tcPr>
          <w:p>
            <w:r>
              <w:rPr>
                <w:color w:val="2C2C2A"/>
                <w:sz w:val="20"/>
                <w:szCs w:val="20"/>
              </w:rPr>
              <w:t xml:space="preserve">✓ Directly addresses the OCR pipeline needed</w:t>
            </w:r>
          </w:p>
        </w:tc>
      </w:tr>
      <w:tr>
        <w:tc>
          <w:tcPr>
            <w:tcW w:type="dxa" w:w="2400"/>
            <w:shd w:fill="FFFFFF" w:val="clear"/>
            <w:tcMar>
              <w:top w:type="dxa" w:w="60"/>
              <w:left w:type="dxa" w:w="120"/>
              <w:bottom w:type="dxa" w:w="60"/>
              <w:right w:type="dxa" w:w="120"/>
            </w:tcMar>
          </w:tcPr>
          <w:p>
            <w:r>
              <w:rPr>
                <w:color w:val="2C2C2A"/>
                <w:sz w:val="20"/>
                <w:szCs w:val="20"/>
              </w:rPr>
              <w:t xml:space="preserve">Writing Quality</w:t>
            </w:r>
          </w:p>
        </w:tc>
        <w:tc>
          <w:tcPr>
            <w:tcW w:type="dxa" w:w="3480"/>
            <w:shd w:fill="FFFFFF" w:val="clear"/>
            <w:tcMar>
              <w:top w:type="dxa" w:w="60"/>
              <w:left w:type="dxa" w:w="120"/>
              <w:bottom w:type="dxa" w:w="60"/>
              <w:right w:type="dxa" w:w="120"/>
            </w:tcMar>
          </w:tcPr>
          <w:p>
            <w:r>
              <w:rPr>
                <w:color w:val="2C2C2A"/>
                <w:sz w:val="20"/>
                <w:szCs w:val="20"/>
              </w:rPr>
              <w:t xml:space="preserve">✓ Professional, well-structured</w:t>
            </w:r>
          </w:p>
        </w:tc>
        <w:tc>
          <w:tcPr>
            <w:tcW w:type="dxa" w:w="3480"/>
            <w:shd w:fill="FFFFFF" w:val="clear"/>
            <w:tcMar>
              <w:top w:type="dxa" w:w="60"/>
              <w:left w:type="dxa" w:w="120"/>
              <w:bottom w:type="dxa" w:w="60"/>
              <w:right w:type="dxa" w:w="120"/>
            </w:tcMar>
          </w:tcPr>
          <w:p>
            <w:r>
              <w:rPr>
                <w:color w:val="2C2C2A"/>
                <w:sz w:val="20"/>
                <w:szCs w:val="20"/>
              </w:rPr>
              <w:t xml:space="preserve">✗ Informal, inconsistent tone ("Gen Z skepticism")</w:t>
            </w:r>
          </w:p>
        </w:tc>
      </w:tr>
      <w:tr>
        <w:tc>
          <w:tcPr>
            <w:tcW w:type="dxa" w:w="2400"/>
            <w:shd w:fill="F4F2EB" w:val="clear"/>
            <w:tcMar>
              <w:top w:type="dxa" w:w="60"/>
              <w:left w:type="dxa" w:w="120"/>
              <w:bottom w:type="dxa" w:w="60"/>
              <w:right w:type="dxa" w:w="120"/>
            </w:tcMar>
          </w:tcPr>
          <w:p>
            <w:r>
              <w:rPr>
                <w:color w:val="2C2C2A"/>
                <w:sz w:val="20"/>
                <w:szCs w:val="20"/>
              </w:rPr>
              <w:t xml:space="preserve">Actionability</w:t>
            </w:r>
          </w:p>
        </w:tc>
        <w:tc>
          <w:tcPr>
            <w:tcW w:type="dxa" w:w="3480"/>
            <w:shd w:fill="F4F2EB" w:val="clear"/>
            <w:tcMar>
              <w:top w:type="dxa" w:w="60"/>
              <w:left w:type="dxa" w:w="120"/>
              <w:bottom w:type="dxa" w:w="60"/>
              <w:right w:type="dxa" w:w="120"/>
            </w:tcMar>
          </w:tcPr>
          <w:p>
            <w:r>
              <w:rPr>
                <w:color w:val="2C2C2A"/>
                <w:sz w:val="20"/>
                <w:szCs w:val="20"/>
              </w:rPr>
              <w:t xml:space="preserve">✓ Clear recommendations with rationale</w:t>
            </w:r>
          </w:p>
        </w:tc>
        <w:tc>
          <w:tcPr>
            <w:tcW w:type="dxa" w:w="3480"/>
            <w:shd w:fill="F4F2EB" w:val="clear"/>
            <w:tcMar>
              <w:top w:type="dxa" w:w="60"/>
              <w:left w:type="dxa" w:w="120"/>
              <w:bottom w:type="dxa" w:w="60"/>
              <w:right w:type="dxa" w:w="120"/>
            </w:tcMar>
          </w:tcPr>
          <w:p>
            <w:r>
              <w:rPr>
                <w:color w:val="2C2C2A"/>
                <w:sz w:val="20"/>
                <w:szCs w:val="20"/>
              </w:rPr>
              <w:t xml:space="preserve">⚠ Recommendations spread thin across too many tools</w:t>
            </w:r>
          </w:p>
        </w:tc>
      </w:tr>
      <w:tr>
        <w:tc>
          <w:tcPr>
            <w:tcW w:type="dxa" w:w="2400"/>
            <w:shd w:fill="FFFFFF" w:val="clear"/>
            <w:tcMar>
              <w:top w:type="dxa" w:w="60"/>
              <w:left w:type="dxa" w:w="120"/>
              <w:bottom w:type="dxa" w:w="60"/>
              <w:right w:type="dxa" w:w="120"/>
            </w:tcMar>
          </w:tcPr>
          <w:p>
            <w:r>
              <w:rPr>
                <w:color w:val="2C2C2A"/>
                <w:sz w:val="20"/>
                <w:szCs w:val="20"/>
              </w:rPr>
              <w:t xml:space="preserve">Overall Verdict</w:t>
            </w:r>
          </w:p>
        </w:tc>
        <w:tc>
          <w:tcPr>
            <w:tcW w:type="dxa" w:w="3480"/>
            <w:shd w:fill="FFFFFF" w:val="clear"/>
            <w:tcMar>
              <w:top w:type="dxa" w:w="60"/>
              <w:left w:type="dxa" w:w="120"/>
              <w:bottom w:type="dxa" w:w="60"/>
              <w:right w:type="dxa" w:w="120"/>
            </w:tcMar>
          </w:tcPr>
          <w:p>
            <w:r>
              <w:rPr>
                <w:color w:val="2C2C2A"/>
                <w:sz w:val="20"/>
                <w:szCs w:val="20"/>
              </w:rPr>
              <w:t xml:space="preserve">⚠ USE WITH CAUTION — verify vendor claims</w:t>
            </w:r>
          </w:p>
        </w:tc>
        <w:tc>
          <w:tcPr>
            <w:tcW w:type="dxa" w:w="3480"/>
            <w:shd w:fill="FFFFFF" w:val="clear"/>
            <w:tcMar>
              <w:top w:type="dxa" w:w="60"/>
              <w:left w:type="dxa" w:w="120"/>
              <w:bottom w:type="dxa" w:w="60"/>
              <w:right w:type="dxa" w:w="120"/>
            </w:tcMar>
          </w:tcPr>
          <w:p>
            <w:r>
              <w:rPr>
                <w:color w:val="2C2C2A"/>
                <w:sz w:val="20"/>
                <w:szCs w:val="20"/>
              </w:rPr>
              <w:t xml:space="preserve">✗ DO NOT USE AS-IS — significant revision required</w:t>
            </w:r>
          </w:p>
        </w:tc>
      </w:tr>
    </w:tbl>
    <w:p>
      <w:r>
        <w:br w:type="page"/>
      </w:r>
    </w:p>
    <w:p>
      <w:pPr>
        <w:pStyle w:val="Heading1"/>
        <w:pBdr>
          <w:bottom w:val="single" w:color="1D9E75" w:sz="6" w:space="4"/>
        </w:pBdr>
        <w:spacing w:after="120" w:before="360"/>
      </w:pPr>
      <w:r>
        <w:t xml:space="preserve">Part 1 — Audit: Weather API Comparison Report (Gemini)</w:t>
      </w:r>
    </w:p>
    <w:p>
      <w:pPr>
        <w:spacing w:after="100"/>
      </w:pPr>
      <w:r>
        <w:rPr>
          <w:b/>
          <w:bCs/>
          <w:color w:val="2C2C2A"/>
          <w:sz w:val="22"/>
          <w:szCs w:val="22"/>
        </w:rPr>
        <w:t xml:space="preserve">Source file: </w:t>
      </w:r>
      <w:r>
        <w:rPr>
          <w:color w:val="2C2C2A"/>
          <w:sz w:val="22"/>
          <w:szCs w:val="22"/>
        </w:rPr>
        <w:t xml:space="preserve">Agritech_Weather_API_Comparison_-_Gemini.md</w:t>
      </w:r>
    </w:p>
    <w:p>
      <w:pPr>
        <w:spacing w:before="80"/>
      </w:pPr>
    </w:p>
    <w:p>
      <w:pPr>
        <w:pStyle w:val="Heading2"/>
        <w:spacing w:after="80" w:before="280"/>
      </w:pPr>
      <w:r>
        <w:t xml:space="preserve">1.1 What It Gets Right</w:t>
      </w:r>
    </w:p>
    <w:p>
      <w:pPr>
        <w:pStyle w:val="ListParagraph"/>
        <w:numPr>
          <w:ilvl w:val="0"/>
          <w:numId w:val="2"/>
        </w:numPr>
        <w:spacing w:after="60"/>
      </w:pPr>
      <w:r>
        <w:rPr>
          <w:b/>
          <w:bCs/>
          <w:color w:val="2C2C2A"/>
          <w:sz w:val="22"/>
          <w:szCs w:val="22"/>
        </w:rPr>
        <w:t xml:space="preserve">Agronomic science is accurate. </w:t>
      </w:r>
      <w:r>
        <w:rPr>
          <w:color w:val="2C2C2A"/>
          <w:sz w:val="22"/>
          <w:szCs w:val="22"/>
        </w:rPr>
        <w:t xml:space="preserve">The Delta T calculations, spraying window thresholds (2–8), wind speed ranges (4–15 km/h), and temperature inversion explanation are all consistent with published agronomy guidance. The report correctly cites GRDC and METOS as primary sources for spraying rules.</w:t>
      </w:r>
    </w:p>
    <w:p>
      <w:pPr>
        <w:pStyle w:val="ListParagraph"/>
        <w:numPr>
          <w:ilvl w:val="0"/>
          <w:numId w:val="2"/>
        </w:numPr>
        <w:spacing w:after="60"/>
      </w:pPr>
      <w:r>
        <w:rPr>
          <w:b/>
          <w:bCs/>
          <w:color w:val="2C2C2A"/>
          <w:sz w:val="22"/>
          <w:szCs w:val="22"/>
        </w:rPr>
        <w:t xml:space="preserve">Decision matrix is implementable. </w:t>
      </w:r>
      <w:r>
        <w:rPr>
          <w:color w:val="2C2C2A"/>
          <w:sz w:val="22"/>
          <w:szCs w:val="22"/>
        </w:rPr>
        <w:t xml:space="preserve">Section 5.1 provides a concrete algorithmic sequence — query coords → compute wet bulb temp → segment by time block → apply thresholds → assign GREEN/YELLOW/RED. This is actionable for a backend engineer.</w:t>
      </w:r>
    </w:p>
    <w:p>
      <w:pPr>
        <w:pStyle w:val="ListParagraph"/>
        <w:numPr>
          <w:ilvl w:val="0"/>
          <w:numId w:val="2"/>
        </w:numPr>
        <w:spacing w:after="60"/>
      </w:pPr>
      <w:r>
        <w:rPr>
          <w:b/>
          <w:bCs/>
          <w:color w:val="2C2C2A"/>
          <w:sz w:val="22"/>
          <w:szCs w:val="22"/>
        </w:rPr>
        <w:t xml:space="preserve">Open-Meteo recommendation is sound. </w:t>
      </w:r>
      <w:r>
        <w:rPr>
          <w:color w:val="2C2C2A"/>
          <w:sz w:val="22"/>
          <w:szCs w:val="22"/>
        </w:rPr>
        <w:t xml:space="preserve">For GramIQ's current stage (prototyping, no budget), Open-Meteo is genuinely the right call: no API key, 10,000 free calls/day, ERA5 historical archive, and native ET0 and soil moisture parameters.</w:t>
      </w:r>
    </w:p>
    <w:p>
      <w:pPr>
        <w:pStyle w:val="ListParagraph"/>
        <w:numPr>
          <w:ilvl w:val="0"/>
          <w:numId w:val="2"/>
        </w:numPr>
        <w:spacing w:after="60"/>
      </w:pPr>
      <w:r>
        <w:rPr>
          <w:b/>
          <w:bCs/>
          <w:color w:val="2C2C2A"/>
          <w:sz w:val="22"/>
          <w:szCs w:val="22"/>
        </w:rPr>
        <w:t xml:space="preserve">IMD integration suggestion is valuable. </w:t>
      </w:r>
      <w:r>
        <w:rPr>
          <w:color w:val="2C2C2A"/>
          <w:sz w:val="22"/>
          <w:szCs w:val="22"/>
        </w:rPr>
        <w:t xml:space="preserve">Recommending the Indian Meteorological Department's Agromet observatory network and C-DAC's WRF model is India-specific and correct. This is something most generic API comparison reports miss entirely.</w:t>
      </w:r>
    </w:p>
    <w:p>
      <w:pPr>
        <w:spacing w:before="80"/>
      </w:pPr>
    </w:p>
    <w:p>
      <w:pPr>
        <w:pStyle w:val="Heading2"/>
        <w:spacing w:after="80" w:before="280"/>
      </w:pPr>
      <w:r>
        <w:t xml:space="preserve">1.2 Critical Issues</w:t>
      </w:r>
    </w:p>
    <w:p>
      <w:pPr>
        <w:pStyle w:val="Heading3"/>
        <w:spacing w:after="60" w:before="200"/>
      </w:pPr>
      <w:r>
        <w:t xml:space="preserve">Issue 1 — Circular Citation: Vendor Marketing as Technical Authority</w:t>
      </w:r>
    </w:p>
    <w:p>
      <w:pPr>
        <w:spacing w:after="100"/>
      </w:pPr>
      <w:r>
        <w:rPr>
          <w:color w:val="2C2C2A"/>
          <w:sz w:val="22"/>
          <w:szCs w:val="22"/>
        </w:rPr>
        <w:t xml:space="preserve">The report cites the Meteoblue business website (business.meteoblue.com) as the primary source for claims about 90-metre resolution downscaling, disease risk indices, and spraying window accuracy. These pages are marketing material, not peer-reviewed technical documentation.</w:t>
      </w:r>
    </w:p>
    <w:tbl>
      <w:tblPr>
        <w:tblW w:type="dxa" w:w="9360"/>
        <w:tblBorders>
          <w:top w:val="none"/>
          <w:left w:val="thick" w:color="A32D2D" w:sz="16"/>
          <w:bottom w:val="none"/>
          <w:right w:val="none"/>
          <w:insideH w:val="single" w:color="auto" w:sz="4"/>
          <w:insideV w:val="single" w:color="auto" w:sz="4"/>
        </w:tblBorders>
      </w:tblPr>
      <w:tblGrid>
        <w:gridCol w:w="9360"/>
      </w:tblGrid>
      <w:tr>
        <w:tc>
          <w:tcPr>
            <w:shd w:fill="FCEBEB" w:val="clear"/>
            <w:tcMar>
              <w:top w:type="dxa" w:w="80"/>
              <w:left w:type="dxa" w:w="200"/>
              <w:bottom w:type="dxa" w:w="80"/>
              <w:right w:type="dxa" w:w="160"/>
            </w:tcMar>
          </w:tcPr>
          <w:p>
            <w:r>
              <w:rPr>
                <w:i/>
                <w:iCs/>
                <w:color w:val="A32D2D"/>
                <w:sz w:val="21"/>
                <w:szCs w:val="21"/>
              </w:rPr>
              <w:t xml:space="preserve">Example: Footnote 11 ("Premium Weather API | History &amp; Forecast Weather Data — meteoblue") is cited 12 times across Sections 3.3, 4, and 7. The same vendor's own page cannot serve as independent evidence for that vendor's capability claims.</w:t>
            </w:r>
          </w:p>
        </w:tc>
      </w:tr>
    </w:tbl>
    <w:p>
      <w:pPr>
        <w:spacing w:before="80"/>
      </w:pPr>
    </w:p>
    <w:p>
      <w:pPr>
        <w:spacing w:after="100"/>
      </w:pPr>
      <w:r>
        <w:rPr>
          <w:color w:val="2C2C2A"/>
          <w:sz w:val="22"/>
          <w:szCs w:val="22"/>
        </w:rPr>
        <w:t xml:space="preserve">Similarly, Tomorrow.io's own blog post ("The Best Weather APIs for 2025") is cited as authority for Tomorrow.io's superior AI capabilities (footnote 31). The Meteomatics "best-weather-apis" page (footnote 17) — written by Meteomatics — is used four times to support claims about Meteomatics being best-in-class. This is equivalent to asking a car dealer if their car is the best.</w:t>
      </w:r>
    </w:p>
    <w:p>
      <w:pPr>
        <w:spacing w:before="80"/>
      </w:pPr>
    </w:p>
    <w:p>
      <w:pPr>
        <w:pStyle w:val="Heading3"/>
        <w:spacing w:after="60" w:before="200"/>
      </w:pPr>
      <w:r>
        <w:t xml:space="preserve">Issue 2 — Frogcast: Unverified Provider Included</w:t>
      </w:r>
    </w:p>
    <w:p>
      <w:pPr>
        <w:spacing w:after="100"/>
      </w:pPr>
      <w:r>
        <w:rPr>
          <w:color w:val="2C2C2A"/>
          <w:sz w:val="22"/>
          <w:szCs w:val="22"/>
        </w:rPr>
        <w:t xml:space="preserve">The report profiles "Frogcast" as a weather API with 90-metre resolution probabilistic forecasting. The cited URL (</w:t>
      </w:r>
      <w:hyperlink w:history="1" r:id="rIdqxssmnynkavx2lnedgmmm">
        <w:r>
          <w:rPr>
            <w:color w:val="1A5FA8"/>
            <w:sz w:val="22"/>
            <w:szCs w:val="22"/>
            <w:u w:val="single"/>
          </w:rPr>
          <w:t xml:space="preserve">frogcast.com/agriculture/</w:t>
        </w:r>
      </w:hyperlink>
      <w:r>
        <w:rPr>
          <w:color w:val="2C2C2A"/>
          <w:sz w:val="22"/>
          <w:szCs w:val="22"/>
        </w:rPr>
        <w:t xml:space="preserve">) is a thin marketing page with no technical documentation, no published accuracy benchmarks, and no visible customer base in agritech. The 90-metre resolution claim for Frogcast appears nowhere in independent technical sources. Including it alongside established providers like Open-Meteo and Tomorrow.io without qualification is misleading.</w:t>
      </w:r>
    </w:p>
    <w:p>
      <w:pPr>
        <w:spacing w:before="80"/>
      </w:pPr>
    </w:p>
    <w:p>
      <w:pPr>
        <w:pStyle w:val="Heading3"/>
        <w:spacing w:after="60" w:before="200"/>
      </w:pPr>
      <w:r>
        <w:t xml:space="preserve">Issue 3 — Spatial Resolution Claims Are Conflated</w:t>
      </w:r>
    </w:p>
    <w:p>
      <w:pPr>
        <w:spacing w:after="100"/>
      </w:pPr>
      <w:r>
        <w:rPr>
          <w:color w:val="2C2C2A"/>
          <w:sz w:val="22"/>
          <w:szCs w:val="22"/>
        </w:rPr>
        <w:t xml:space="preserve">The comparison matrix lists Open-Meteo at "1 km to 11 km" resolution while Meteoblue and Meteomatics are listed at "90 metres." This comparison is misleading without qualification:</w:t>
      </w:r>
    </w:p>
    <w:p>
      <w:pPr>
        <w:pStyle w:val="ListParagraph"/>
        <w:numPr>
          <w:ilvl w:val="0"/>
          <w:numId w:val="2"/>
        </w:numPr>
        <w:spacing w:after="60"/>
      </w:pPr>
      <w:r>
        <w:rPr>
          <w:color w:val="2C2C2A"/>
          <w:sz w:val="22"/>
          <w:szCs w:val="22"/>
        </w:rPr>
        <w:t xml:space="preserve">Open-Meteo's 1 km figure applies only when a high-resolution regional model (e.g. ICON-D2 over Germany) is active for that coordinate. For most of India, the effective resolution is 9–11 km.</w:t>
      </w:r>
    </w:p>
    <w:p>
      <w:pPr>
        <w:pStyle w:val="ListParagraph"/>
        <w:numPr>
          <w:ilvl w:val="0"/>
          <w:numId w:val="2"/>
        </w:numPr>
        <w:spacing w:after="60"/>
      </w:pPr>
      <w:r>
        <w:rPr>
          <w:color w:val="2C2C2A"/>
          <w:sz w:val="22"/>
          <w:szCs w:val="22"/>
        </w:rPr>
        <w:t xml:space="preserve">Meteoblue's 90-metre claim applies to their physics-based downscaling output, not raw NWP model resolution. Downscaling is a post-processing step that interpolates from coarser grids — it does not mean a new observation was made at 90m.</w:t>
      </w:r>
    </w:p>
    <w:p>
      <w:pPr>
        <w:pStyle w:val="ListParagraph"/>
        <w:numPr>
          <w:ilvl w:val="0"/>
          <w:numId w:val="2"/>
        </w:numPr>
        <w:spacing w:after="60"/>
      </w:pPr>
      <w:r>
        <w:rPr>
          <w:color w:val="2C2C2A"/>
          <w:sz w:val="22"/>
          <w:szCs w:val="22"/>
        </w:rPr>
        <w:t xml:space="preserve">For GramIQ's farmers in Rajasthan and Maharashtra, the practical resolution from any provider is likely 3–9 km, not 90 metres. The report should state this.</w:t>
      </w:r>
    </w:p>
    <w:p>
      <w:pPr>
        <w:spacing w:before="80"/>
      </w:pPr>
    </w:p>
    <w:p>
      <w:pPr>
        <w:pStyle w:val="Heading3"/>
        <w:spacing w:after="60" w:before="200"/>
      </w:pPr>
      <w:r>
        <w:t xml:space="preserve">Issue 4 — GraphCast Attribution Error</w:t>
      </w:r>
    </w:p>
    <w:p>
      <w:pPr>
        <w:spacing w:after="100"/>
      </w:pPr>
      <w:r>
        <w:rPr>
          <w:color w:val="2C2C2A"/>
          <w:sz w:val="22"/>
          <w:szCs w:val="22"/>
        </w:rPr>
        <w:t xml:space="preserve">The report (footnote 17, Section 2.1) attributes "DeepMind's GraphCast" to Meteomatics as a model they use. GraphCast is </w:t>
      </w:r>
      <w:hyperlink w:history="1" r:id="rIdcfrpg74spnwxsx6b6531x">
        <w:r>
          <w:rPr>
            <w:color w:val="1A5FA8"/>
            <w:sz w:val="22"/>
            <w:szCs w:val="22"/>
            <w:u w:val="single"/>
          </w:rPr>
          <w:t xml:space="preserve">an open-weights model published by Google DeepMind</w:t>
        </w:r>
      </w:hyperlink>
      <w:r>
        <w:rPr>
          <w:color w:val="2C2C2A"/>
          <w:sz w:val="22"/>
          <w:szCs w:val="22"/>
        </w:rPr>
        <w:t xml:space="preserve"> for pure inference — it outputs weather forecasts but was not designed as a data source that commercial APIs "use" in their pipelines. Meteomatics lists GraphCast as one of many models they incorporate, but the framing implies it is a unique differentiator rather than a publicly available open-weights model any provider could theoretically use.</w:t>
      </w:r>
    </w:p>
    <w:p>
      <w:pPr>
        <w:spacing w:before="80"/>
      </w:pPr>
    </w:p>
    <w:p>
      <w:pPr>
        <w:pStyle w:val="Heading3"/>
        <w:spacing w:after="60" w:before="200"/>
      </w:pPr>
      <w:r>
        <w:t xml:space="preserve">Issue 5 — Ambee Section Is Thin and Partially Inaccurate</w:t>
      </w:r>
    </w:p>
    <w:p>
      <w:pPr>
        <w:spacing w:after="100"/>
      </w:pPr>
      <w:r>
        <w:rPr>
          <w:color w:val="2C2C2A"/>
          <w:sz w:val="22"/>
          <w:szCs w:val="22"/>
        </w:rPr>
        <w:t xml:space="preserve">The report calls Ambee's grid "1×1 kilometre" and "ClimaChain analytics" a differentiator. "ClimaChain" is a marketing term from Ambee's website, not a published methodology. Ambee's actual </w:t>
      </w:r>
      <w:hyperlink w:history="1" r:id="rIdtfus3fwpbwhorhd9f52ir">
        <w:r>
          <w:rPr>
            <w:color w:val="1A5FA8"/>
            <w:sz w:val="22"/>
            <w:szCs w:val="22"/>
            <w:u w:val="single"/>
          </w:rPr>
          <w:t xml:space="preserve">API documentation</w:t>
        </w:r>
      </w:hyperlink>
      <w:r>
        <w:rPr>
          <w:color w:val="2C2C2A"/>
          <w:sz w:val="22"/>
          <w:szCs w:val="22"/>
        </w:rPr>
        <w:t xml:space="preserve"> does not describe the data pipeline in technical terms. More importantly, the report recommends Ambee for Indian monsoon data but does not disclose that Ambee's free tier is extremely limited (500 API calls/month) and that their pricing for production use is opaque — a critical factor for a startup like GramIQ.</w:t>
      </w:r>
    </w:p>
    <w:p>
      <w:pPr>
        <w:spacing w:before="80"/>
      </w:pPr>
    </w:p>
    <w:p>
      <w:pPr>
        <w:pStyle w:val="Heading3"/>
        <w:spacing w:after="60" w:before="200"/>
      </w:pPr>
      <w:r>
        <w:t xml:space="preserve">Issue 6 — Missing: Actual IMD API Access Details</w:t>
      </w:r>
    </w:p>
    <w:p>
      <w:pPr>
        <w:spacing w:after="100"/>
      </w:pPr>
      <w:r>
        <w:rPr>
          <w:color w:val="2C2C2A"/>
          <w:sz w:val="22"/>
          <w:szCs w:val="22"/>
        </w:rPr>
        <w:t xml:space="preserve">Section 6.3 recommends integrating IMD data but provides no actionable guidance on how to do so. The IMD's </w:t>
      </w:r>
      <w:hyperlink w:history="1" r:id="rIdkhveocd1tyuev-j68e_da">
        <w:r>
          <w:rPr>
            <w:color w:val="1A5FA8"/>
            <w:sz w:val="22"/>
            <w:szCs w:val="22"/>
            <w:u w:val="single"/>
          </w:rPr>
          <w:t xml:space="preserve">Meghdoot agro-advisory app API</w:t>
        </w:r>
      </w:hyperlink>
      <w:r>
        <w:rPr>
          <w:color w:val="2C2C2A"/>
          <w:sz w:val="22"/>
          <w:szCs w:val="22"/>
        </w:rPr>
        <w:t xml:space="preserve"> and the </w:t>
      </w:r>
      <w:hyperlink w:history="1" r:id="rIdnhjgt--cj7lyrvfkh_cgm">
        <w:r>
          <w:rPr>
            <w:color w:val="1A5FA8"/>
            <w:sz w:val="22"/>
            <w:szCs w:val="22"/>
            <w:u w:val="single"/>
          </w:rPr>
          <w:t xml:space="preserve">data.gov.in open government data portal</w:t>
        </w:r>
      </w:hyperlink>
      <w:r>
        <w:rPr>
          <w:color w:val="2C2C2A"/>
          <w:sz w:val="22"/>
          <w:szCs w:val="22"/>
        </w:rPr>
        <w:t xml:space="preserve"> both provide programmatic access to agrometeorological data. The report cites a Vikaspedia page (footnote 50) — a general-public information site — as the source for IMD technical capabilities. This is insufficient.</w:t>
      </w:r>
    </w:p>
    <w:p>
      <w:pPr>
        <w:spacing w:before="80"/>
      </w:pPr>
    </w:p>
    <w:p>
      <w:pPr>
        <w:pStyle w:val="Heading2"/>
        <w:spacing w:after="80" w:before="280"/>
      </w:pPr>
      <w:r>
        <w:t xml:space="preserve">1.3 What Is Missing for GramIQ Specifically</w:t>
      </w:r>
    </w:p>
    <w:p>
      <w:pPr>
        <w:pStyle w:val="ListParagraph"/>
        <w:numPr>
          <w:ilvl w:val="0"/>
          <w:numId w:val="2"/>
        </w:numPr>
        <w:spacing w:after="60"/>
      </w:pPr>
      <w:r>
        <w:rPr>
          <w:b/>
          <w:bCs/>
          <w:color w:val="2C2C2A"/>
          <w:sz w:val="22"/>
          <w:szCs w:val="22"/>
        </w:rPr>
        <w:t xml:space="preserve">CORS and mobile API considerations. </w:t>
      </w:r>
      <w:r>
        <w:rPr>
          <w:color w:val="2C2C2A"/>
          <w:sz w:val="22"/>
          <w:szCs w:val="22"/>
        </w:rPr>
        <w:t xml:space="preserve">GramIQ is a Flutter app. None of the APIs are evaluated for mobile-friendliness, CORS support, or offline-cacheable response formats.</w:t>
      </w:r>
    </w:p>
    <w:p>
      <w:pPr>
        <w:pStyle w:val="ListParagraph"/>
        <w:numPr>
          <w:ilvl w:val="0"/>
          <w:numId w:val="2"/>
        </w:numPr>
        <w:spacing w:after="60"/>
      </w:pPr>
      <w:r>
        <w:rPr>
          <w:b/>
          <w:bCs/>
          <w:color w:val="2C2C2A"/>
          <w:sz w:val="22"/>
          <w:szCs w:val="22"/>
        </w:rPr>
        <w:t xml:space="preserve">Cost projections for GramIQ's user scale. </w:t>
      </w:r>
      <w:r>
        <w:rPr>
          <w:color w:val="2C2C2A"/>
          <w:sz w:val="22"/>
          <w:szCs w:val="22"/>
        </w:rPr>
        <w:t xml:space="preserve">At 10,000 farmers each checking weather twice per day = 20,000 API calls/day. Open-Meteo's free tier covers this. Tomorrow.io's free tier caps at 500 calls/day — this would cost ~$200/month on a paid plan. The report does not model this.</w:t>
      </w:r>
    </w:p>
    <w:p>
      <w:pPr>
        <w:pStyle w:val="ListParagraph"/>
        <w:numPr>
          <w:ilvl w:val="0"/>
          <w:numId w:val="2"/>
        </w:numPr>
        <w:spacing w:after="60"/>
      </w:pPr>
      <w:r>
        <w:rPr>
          <w:b/>
          <w:bCs/>
          <w:color w:val="2C2C2A"/>
          <w:sz w:val="22"/>
          <w:szCs w:val="22"/>
        </w:rPr>
        <w:t xml:space="preserve">Rainfall measurement for Indian monsoon variability. </w:t>
      </w:r>
      <w:r>
        <w:rPr>
          <w:color w:val="2C2C2A"/>
          <w:sz w:val="22"/>
          <w:szCs w:val="22"/>
        </w:rPr>
        <w:t xml:space="preserve">The Indian kharif season involves highly localised rainfall (a field 2 km from a weather station can receive 40% more rain). No API is assessed for their station density in rural Maharashtra, MP, or Rajasthan — exactly where GramIQ's farmers are.</w:t>
      </w:r>
    </w:p>
    <w:p>
      <w:pPr>
        <w:pStyle w:val="ListParagraph"/>
        <w:numPr>
          <w:ilvl w:val="0"/>
          <w:numId w:val="2"/>
        </w:numPr>
        <w:spacing w:after="60"/>
      </w:pPr>
      <w:r>
        <w:rPr>
          <w:b/>
          <w:bCs/>
          <w:color w:val="2C2C2A"/>
          <w:sz w:val="22"/>
          <w:szCs w:val="22"/>
        </w:rPr>
        <w:t xml:space="preserve">No assessment of API reliability/uptime in Indian network conditions. </w:t>
      </w:r>
      <w:r>
        <w:rPr>
          <w:color w:val="2C2C2A"/>
          <w:sz w:val="22"/>
          <w:szCs w:val="22"/>
        </w:rPr>
        <w:t xml:space="preserve">Farmers in rural India access the app on 2G/3G. Response payload size, time-to-first-byte, and caching behaviour are not evaluated.</w:t>
      </w:r>
    </w:p>
    <w:p>
      <w:pPr>
        <w:spacing w:before="80"/>
      </w:pPr>
    </w:p>
    <w:p>
      <w:pPr>
        <w:pStyle w:val="Heading2"/>
        <w:spacing w:after="80" w:before="280"/>
      </w:pPr>
      <w:r>
        <w:t xml:space="preserve">1.4 Verified Claims with Sources</w:t>
      </w:r>
    </w:p>
    <w:tbl>
      <w:tblPr>
        <w:tblW w:type="dxa" w:w="9360"/>
        <w:tblBorders>
          <w:top w:val="single" w:color="D3D1C7" w:sz="4"/>
          <w:left w:val="single" w:color="D3D1C7" w:sz="4"/>
          <w:bottom w:val="single" w:color="D3D1C7" w:sz="4"/>
          <w:right w:val="single" w:color="D3D1C7" w:sz="4"/>
          <w:insideH w:val="single" w:color="auto" w:sz="4"/>
          <w:insideV w:val="single" w:color="auto" w:sz="4"/>
        </w:tblBorders>
      </w:tblPr>
      <w:tblGrid>
        <w:gridCol w:w="3600"/>
        <w:gridCol w:w="1200"/>
        <w:gridCol w:w="4560"/>
      </w:tblGrid>
      <w:tr>
        <w:trPr>
          <w:tblHeader/>
        </w:trPr>
        <w:tc>
          <w:tcPr>
            <w:tcW w:type="dxa" w:w="3600"/>
            <w:shd w:fill="1D9E75" w:val="clear"/>
            <w:tcMar>
              <w:top w:type="dxa" w:w="80"/>
              <w:left w:type="dxa" w:w="120"/>
              <w:bottom w:type="dxa" w:w="80"/>
              <w:right w:type="dxa" w:w="120"/>
            </w:tcMar>
          </w:tcPr>
          <w:p>
            <w:r>
              <w:rPr>
                <w:b/>
                <w:bCs/>
                <w:color w:val="FFFFFF"/>
                <w:sz w:val="20"/>
                <w:szCs w:val="20"/>
              </w:rPr>
              <w:t xml:space="preserve">Claim in Report</w:t>
            </w:r>
          </w:p>
        </w:tc>
        <w:tc>
          <w:tcPr>
            <w:tcW w:type="dxa" w:w="1200"/>
            <w:shd w:fill="1D9E75" w:val="clear"/>
            <w:tcMar>
              <w:top w:type="dxa" w:w="80"/>
              <w:left w:type="dxa" w:w="120"/>
              <w:bottom w:type="dxa" w:w="80"/>
              <w:right w:type="dxa" w:w="120"/>
            </w:tcMar>
          </w:tcPr>
          <w:p>
            <w:r>
              <w:rPr>
                <w:b/>
                <w:bCs/>
                <w:color w:val="FFFFFF"/>
                <w:sz w:val="20"/>
                <w:szCs w:val="20"/>
              </w:rPr>
              <w:t xml:space="preserve">Verdict</w:t>
            </w:r>
          </w:p>
        </w:tc>
        <w:tc>
          <w:tcPr>
            <w:tcW w:type="dxa" w:w="4560"/>
            <w:shd w:fill="1D9E75" w:val="clear"/>
            <w:tcMar>
              <w:top w:type="dxa" w:w="80"/>
              <w:left w:type="dxa" w:w="120"/>
              <w:bottom w:type="dxa" w:w="80"/>
              <w:right w:type="dxa" w:w="120"/>
            </w:tcMar>
          </w:tcPr>
          <w:p>
            <w:r>
              <w:rPr>
                <w:b/>
                <w:bCs/>
                <w:color w:val="FFFFFF"/>
                <w:sz w:val="20"/>
                <w:szCs w:val="20"/>
              </w:rPr>
              <w:t xml:space="preserve">Verified Source</w:t>
            </w:r>
          </w:p>
        </w:tc>
      </w:tr>
      <w:tr>
        <w:tc>
          <w:tcPr>
            <w:tcW w:type="dxa" w:w="3600"/>
            <w:shd w:fill="FFFFFF" w:val="clear"/>
            <w:tcMar>
              <w:top w:type="dxa" w:w="60"/>
              <w:left w:type="dxa" w:w="120"/>
              <w:bottom w:type="dxa" w:w="60"/>
              <w:right w:type="dxa" w:w="120"/>
            </w:tcMar>
          </w:tcPr>
          <w:p>
            <w:r>
              <w:rPr>
                <w:color w:val="2C2C2A"/>
                <w:sz w:val="20"/>
                <w:szCs w:val="20"/>
              </w:rPr>
              <w:t xml:space="preserve">Delta T optimal range 2–8 for spraying</w:t>
            </w:r>
          </w:p>
        </w:tc>
        <w:tc>
          <w:tcPr>
            <w:tcW w:type="dxa" w:w="1200"/>
            <w:shd w:fill="FFFFFF" w:val="clear"/>
            <w:tcMar>
              <w:top w:type="dxa" w:w="60"/>
              <w:left w:type="dxa" w:w="120"/>
              <w:bottom w:type="dxa" w:w="60"/>
              <w:right w:type="dxa" w:w="120"/>
            </w:tcMar>
          </w:tcPr>
          <w:p>
            <w:r>
              <w:rPr>
                <w:color w:val="2C2C2A"/>
                <w:sz w:val="20"/>
                <w:szCs w:val="20"/>
              </w:rPr>
              <w:t xml:space="preserve">✓ Accurate</w:t>
            </w:r>
          </w:p>
        </w:tc>
        <w:tc>
          <w:tcPr>
            <w:tcW w:type="dxa" w:w="4560"/>
            <w:shd w:fill="FFFFFF" w:val="clear"/>
            <w:tcMar>
              <w:top w:type="dxa" w:w="60"/>
              <w:left w:type="dxa" w:w="120"/>
              <w:bottom w:type="dxa" w:w="60"/>
              <w:right w:type="dxa" w:w="120"/>
            </w:tcMar>
          </w:tcPr>
          <w:p>
            <w:r>
              <w:rPr>
                <w:color w:val="2C2C2A"/>
                <w:sz w:val="20"/>
                <w:szCs w:val="20"/>
              </w:rPr>
              <w:t xml:space="preserve">GRDC Practical Tips for Spraying (2025)</w:t>
            </w:r>
          </w:p>
        </w:tc>
      </w:tr>
      <w:tr>
        <w:tc>
          <w:tcPr>
            <w:tcW w:type="dxa" w:w="3600"/>
            <w:shd w:fill="F4F2EB" w:val="clear"/>
            <w:tcMar>
              <w:top w:type="dxa" w:w="60"/>
              <w:left w:type="dxa" w:w="120"/>
              <w:bottom w:type="dxa" w:w="60"/>
              <w:right w:type="dxa" w:w="120"/>
            </w:tcMar>
          </w:tcPr>
          <w:p>
            <w:r>
              <w:rPr>
                <w:color w:val="2C2C2A"/>
                <w:sz w:val="20"/>
                <w:szCs w:val="20"/>
              </w:rPr>
              <w:t xml:space="preserve">Open-Meteo: 10,000 free calls/day, no key</w:t>
            </w:r>
          </w:p>
        </w:tc>
        <w:tc>
          <w:tcPr>
            <w:tcW w:type="dxa" w:w="1200"/>
            <w:shd w:fill="F4F2EB" w:val="clear"/>
            <w:tcMar>
              <w:top w:type="dxa" w:w="60"/>
              <w:left w:type="dxa" w:w="120"/>
              <w:bottom w:type="dxa" w:w="60"/>
              <w:right w:type="dxa" w:w="120"/>
            </w:tcMar>
          </w:tcPr>
          <w:p>
            <w:r>
              <w:rPr>
                <w:color w:val="2C2C2A"/>
                <w:sz w:val="20"/>
                <w:szCs w:val="20"/>
              </w:rPr>
              <w:t xml:space="preserve">✓ Accurate</w:t>
            </w:r>
          </w:p>
        </w:tc>
        <w:tc>
          <w:tcPr>
            <w:tcW w:type="dxa" w:w="4560"/>
            <w:shd w:fill="F4F2EB" w:val="clear"/>
            <w:tcMar>
              <w:top w:type="dxa" w:w="60"/>
              <w:left w:type="dxa" w:w="120"/>
              <w:bottom w:type="dxa" w:w="60"/>
              <w:right w:type="dxa" w:w="120"/>
            </w:tcMar>
          </w:tcPr>
          <w:p>
            <w:r>
              <w:rPr>
                <w:color w:val="2C2C2A"/>
                <w:sz w:val="20"/>
                <w:szCs w:val="20"/>
              </w:rPr>
              <w:t xml:space="preserve">open-meteo.com/en/pricing</w:t>
            </w:r>
          </w:p>
        </w:tc>
      </w:tr>
      <w:tr>
        <w:tc>
          <w:tcPr>
            <w:tcW w:type="dxa" w:w="3600"/>
            <w:shd w:fill="FFFFFF" w:val="clear"/>
            <w:tcMar>
              <w:top w:type="dxa" w:w="60"/>
              <w:left w:type="dxa" w:w="120"/>
              <w:bottom w:type="dxa" w:w="60"/>
              <w:right w:type="dxa" w:w="120"/>
            </w:tcMar>
          </w:tcPr>
          <w:p>
            <w:r>
              <w:rPr>
                <w:color w:val="2C2C2A"/>
                <w:sz w:val="20"/>
                <w:szCs w:val="20"/>
              </w:rPr>
              <w:t xml:space="preserve">ERA5 history back to 1940</w:t>
            </w:r>
          </w:p>
        </w:tc>
        <w:tc>
          <w:tcPr>
            <w:tcW w:type="dxa" w:w="1200"/>
            <w:shd w:fill="FFFFFF" w:val="clear"/>
            <w:tcMar>
              <w:top w:type="dxa" w:w="60"/>
              <w:left w:type="dxa" w:w="120"/>
              <w:bottom w:type="dxa" w:w="60"/>
              <w:right w:type="dxa" w:w="120"/>
            </w:tcMar>
          </w:tcPr>
          <w:p>
            <w:r>
              <w:rPr>
                <w:color w:val="2C2C2A"/>
                <w:sz w:val="20"/>
                <w:szCs w:val="20"/>
              </w:rPr>
              <w:t xml:space="preserve">✓ Accurate</w:t>
            </w:r>
          </w:p>
        </w:tc>
        <w:tc>
          <w:tcPr>
            <w:tcW w:type="dxa" w:w="4560"/>
            <w:shd w:fill="FFFFFF" w:val="clear"/>
            <w:tcMar>
              <w:top w:type="dxa" w:w="60"/>
              <w:left w:type="dxa" w:w="120"/>
              <w:bottom w:type="dxa" w:w="60"/>
              <w:right w:type="dxa" w:w="120"/>
            </w:tcMar>
          </w:tcPr>
          <w:p>
            <w:r>
              <w:rPr>
                <w:color w:val="2C2C2A"/>
                <w:sz w:val="20"/>
                <w:szCs w:val="20"/>
              </w:rPr>
              <w:t xml:space="preserve">open-meteo.com/en/docs/historical-forecast-api</w:t>
            </w:r>
          </w:p>
        </w:tc>
      </w:tr>
      <w:tr>
        <w:tc>
          <w:tcPr>
            <w:tcW w:type="dxa" w:w="3600"/>
            <w:shd w:fill="F4F2EB" w:val="clear"/>
            <w:tcMar>
              <w:top w:type="dxa" w:w="60"/>
              <w:left w:type="dxa" w:w="120"/>
              <w:bottom w:type="dxa" w:w="60"/>
              <w:right w:type="dxa" w:w="120"/>
            </w:tcMar>
          </w:tcPr>
          <w:p>
            <w:r>
              <w:rPr>
                <w:color w:val="2C2C2A"/>
                <w:sz w:val="20"/>
                <w:szCs w:val="20"/>
              </w:rPr>
              <w:t xml:space="preserve">Meteoblue: 250,000+ ground stations</w:t>
            </w:r>
          </w:p>
        </w:tc>
        <w:tc>
          <w:tcPr>
            <w:tcW w:type="dxa" w:w="1200"/>
            <w:shd w:fill="F4F2EB" w:val="clear"/>
            <w:tcMar>
              <w:top w:type="dxa" w:w="60"/>
              <w:left w:type="dxa" w:w="120"/>
              <w:bottom w:type="dxa" w:w="60"/>
              <w:right w:type="dxa" w:w="120"/>
            </w:tcMar>
          </w:tcPr>
          <w:p>
            <w:r>
              <w:rPr>
                <w:color w:val="2C2C2A"/>
                <w:sz w:val="20"/>
                <w:szCs w:val="20"/>
              </w:rPr>
              <w:t xml:space="preserve">⚠ Unverified</w:t>
            </w:r>
          </w:p>
        </w:tc>
        <w:tc>
          <w:tcPr>
            <w:tcW w:type="dxa" w:w="4560"/>
            <w:shd w:fill="F4F2EB" w:val="clear"/>
            <w:tcMar>
              <w:top w:type="dxa" w:w="60"/>
              <w:left w:type="dxa" w:w="120"/>
              <w:bottom w:type="dxa" w:w="60"/>
              <w:right w:type="dxa" w:w="120"/>
            </w:tcMar>
          </w:tcPr>
          <w:p>
            <w:r>
              <w:rPr>
                <w:color w:val="2C2C2A"/>
                <w:sz w:val="20"/>
                <w:szCs w:val="20"/>
              </w:rPr>
              <w:t xml:space="preserve">Stated only on meteoblue marketing page</w:t>
            </w:r>
          </w:p>
        </w:tc>
      </w:tr>
      <w:tr>
        <w:tc>
          <w:tcPr>
            <w:tcW w:type="dxa" w:w="3600"/>
            <w:shd w:fill="FFFFFF" w:val="clear"/>
            <w:tcMar>
              <w:top w:type="dxa" w:w="60"/>
              <w:left w:type="dxa" w:w="120"/>
              <w:bottom w:type="dxa" w:w="60"/>
              <w:right w:type="dxa" w:w="120"/>
            </w:tcMar>
          </w:tcPr>
          <w:p>
            <w:r>
              <w:rPr>
                <w:color w:val="2C2C2A"/>
                <w:sz w:val="20"/>
                <w:szCs w:val="20"/>
              </w:rPr>
              <w:t xml:space="preserve">Tomorrow.io: 80+ data layers</w:t>
            </w:r>
          </w:p>
        </w:tc>
        <w:tc>
          <w:tcPr>
            <w:tcW w:type="dxa" w:w="1200"/>
            <w:shd w:fill="FFFFFF" w:val="clear"/>
            <w:tcMar>
              <w:top w:type="dxa" w:w="60"/>
              <w:left w:type="dxa" w:w="120"/>
              <w:bottom w:type="dxa" w:w="60"/>
              <w:right w:type="dxa" w:w="120"/>
            </w:tcMar>
          </w:tcPr>
          <w:p>
            <w:r>
              <w:rPr>
                <w:color w:val="2C2C2A"/>
                <w:sz w:val="20"/>
                <w:szCs w:val="20"/>
              </w:rPr>
              <w:t xml:space="preserve">✓ Plausible</w:t>
            </w:r>
          </w:p>
        </w:tc>
        <w:tc>
          <w:tcPr>
            <w:tcW w:type="dxa" w:w="4560"/>
            <w:shd w:fill="FFFFFF" w:val="clear"/>
            <w:tcMar>
              <w:top w:type="dxa" w:w="60"/>
              <w:left w:type="dxa" w:w="120"/>
              <w:bottom w:type="dxa" w:w="60"/>
              <w:right w:type="dxa" w:w="120"/>
            </w:tcMar>
          </w:tcPr>
          <w:p>
            <w:r>
              <w:rPr>
                <w:color w:val="2C2C2A"/>
                <w:sz w:val="20"/>
                <w:szCs w:val="20"/>
              </w:rPr>
              <w:t xml:space="preserve">docs.tomorrow.io/reference/welcome</w:t>
            </w:r>
          </w:p>
        </w:tc>
      </w:tr>
      <w:tr>
        <w:tc>
          <w:tcPr>
            <w:tcW w:type="dxa" w:w="3600"/>
            <w:shd w:fill="F4F2EB" w:val="clear"/>
            <w:tcMar>
              <w:top w:type="dxa" w:w="60"/>
              <w:left w:type="dxa" w:w="120"/>
              <w:bottom w:type="dxa" w:w="60"/>
              <w:right w:type="dxa" w:w="120"/>
            </w:tcMar>
          </w:tcPr>
          <w:p>
            <w:r>
              <w:rPr>
                <w:color w:val="2C2C2A"/>
                <w:sz w:val="20"/>
                <w:szCs w:val="20"/>
              </w:rPr>
              <w:t xml:space="preserve">Frogcast: 90m resolution</w:t>
            </w:r>
          </w:p>
        </w:tc>
        <w:tc>
          <w:tcPr>
            <w:tcW w:type="dxa" w:w="1200"/>
            <w:shd w:fill="F4F2EB" w:val="clear"/>
            <w:tcMar>
              <w:top w:type="dxa" w:w="60"/>
              <w:left w:type="dxa" w:w="120"/>
              <w:bottom w:type="dxa" w:w="60"/>
              <w:right w:type="dxa" w:w="120"/>
            </w:tcMar>
          </w:tcPr>
          <w:p>
            <w:r>
              <w:rPr>
                <w:color w:val="2C2C2A"/>
                <w:sz w:val="20"/>
                <w:szCs w:val="20"/>
              </w:rPr>
              <w:t xml:space="preserve">✗ Unverified</w:t>
            </w:r>
          </w:p>
        </w:tc>
        <w:tc>
          <w:tcPr>
            <w:tcW w:type="dxa" w:w="4560"/>
            <w:shd w:fill="F4F2EB" w:val="clear"/>
            <w:tcMar>
              <w:top w:type="dxa" w:w="60"/>
              <w:left w:type="dxa" w:w="120"/>
              <w:bottom w:type="dxa" w:w="60"/>
              <w:right w:type="dxa" w:w="120"/>
            </w:tcMar>
          </w:tcPr>
          <w:p>
            <w:r>
              <w:rPr>
                <w:color w:val="2C2C2A"/>
                <w:sz w:val="20"/>
                <w:szCs w:val="20"/>
              </w:rPr>
              <w:t xml:space="preserve">No independent source found</w:t>
            </w:r>
          </w:p>
        </w:tc>
      </w:tr>
      <w:tr>
        <w:tc>
          <w:tcPr>
            <w:tcW w:type="dxa" w:w="3600"/>
            <w:shd w:fill="FFFFFF" w:val="clear"/>
            <w:tcMar>
              <w:top w:type="dxa" w:w="60"/>
              <w:left w:type="dxa" w:w="120"/>
              <w:bottom w:type="dxa" w:w="60"/>
              <w:right w:type="dxa" w:w="120"/>
            </w:tcMar>
          </w:tcPr>
          <w:p>
            <w:r>
              <w:rPr>
                <w:color w:val="2C2C2A"/>
                <w:sz w:val="20"/>
                <w:szCs w:val="20"/>
              </w:rPr>
              <w:t xml:space="preserve">Cropin: 90% yield prediction accuracy</w:t>
            </w:r>
          </w:p>
        </w:tc>
        <w:tc>
          <w:tcPr>
            <w:tcW w:type="dxa" w:w="1200"/>
            <w:shd w:fill="FFFFFF" w:val="clear"/>
            <w:tcMar>
              <w:top w:type="dxa" w:w="60"/>
              <w:left w:type="dxa" w:w="120"/>
              <w:bottom w:type="dxa" w:w="60"/>
              <w:right w:type="dxa" w:w="120"/>
            </w:tcMar>
          </w:tcPr>
          <w:p>
            <w:r>
              <w:rPr>
                <w:color w:val="2C2C2A"/>
                <w:sz w:val="20"/>
                <w:szCs w:val="20"/>
              </w:rPr>
              <w:t xml:space="preserve">⚠ Marketing claim</w:t>
            </w:r>
          </w:p>
        </w:tc>
        <w:tc>
          <w:tcPr>
            <w:tcW w:type="dxa" w:w="4560"/>
            <w:shd w:fill="FFFFFF" w:val="clear"/>
            <w:tcMar>
              <w:top w:type="dxa" w:w="60"/>
              <w:left w:type="dxa" w:w="120"/>
              <w:bottom w:type="dxa" w:w="60"/>
              <w:right w:type="dxa" w:w="120"/>
            </w:tcMar>
          </w:tcPr>
          <w:p>
            <w:r>
              <w:rPr>
                <w:color w:val="2C2C2A"/>
                <w:sz w:val="20"/>
                <w:szCs w:val="20"/>
              </w:rPr>
              <w:t xml:space="preserve">Cropin blog — no peer review</w:t>
            </w:r>
          </w:p>
        </w:tc>
      </w:tr>
      <w:tr>
        <w:tc>
          <w:tcPr>
            <w:tcW w:type="dxa" w:w="3600"/>
            <w:shd w:fill="F4F2EB" w:val="clear"/>
            <w:tcMar>
              <w:top w:type="dxa" w:w="60"/>
              <w:left w:type="dxa" w:w="120"/>
              <w:bottom w:type="dxa" w:w="60"/>
              <w:right w:type="dxa" w:w="120"/>
            </w:tcMar>
          </w:tcPr>
          <w:p>
            <w:r>
              <w:rPr>
                <w:color w:val="2C2C2A"/>
                <w:sz w:val="20"/>
                <w:szCs w:val="20"/>
              </w:rPr>
              <w:t xml:space="preserve">Irrigation 5–9 AM saves 20–30% water</w:t>
            </w:r>
          </w:p>
        </w:tc>
        <w:tc>
          <w:tcPr>
            <w:tcW w:type="dxa" w:w="1200"/>
            <w:shd w:fill="F4F2EB" w:val="clear"/>
            <w:tcMar>
              <w:top w:type="dxa" w:w="60"/>
              <w:left w:type="dxa" w:w="120"/>
              <w:bottom w:type="dxa" w:w="60"/>
              <w:right w:type="dxa" w:w="120"/>
            </w:tcMar>
          </w:tcPr>
          <w:p>
            <w:r>
              <w:rPr>
                <w:color w:val="2C2C2A"/>
                <w:sz w:val="20"/>
                <w:szCs w:val="20"/>
              </w:rPr>
              <w:t xml:space="preserve">⚠ Weak source</w:t>
            </w:r>
          </w:p>
        </w:tc>
        <w:tc>
          <w:tcPr>
            <w:tcW w:type="dxa" w:w="4560"/>
            <w:shd w:fill="F4F2EB" w:val="clear"/>
            <w:tcMar>
              <w:top w:type="dxa" w:w="60"/>
              <w:left w:type="dxa" w:w="120"/>
              <w:bottom w:type="dxa" w:w="60"/>
              <w:right w:type="dxa" w:w="120"/>
            </w:tcMar>
          </w:tcPr>
          <w:p>
            <w:r>
              <w:rPr>
                <w:color w:val="2C2C2A"/>
                <w:sz w:val="20"/>
                <w:szCs w:val="20"/>
              </w:rPr>
              <w:t xml:space="preserve">Cited Times of India lifestyle article, not agronomic journal</w:t>
            </w:r>
          </w:p>
        </w:tc>
      </w:tr>
    </w:tbl>
    <w:p>
      <w:r>
        <w:br w:type="page"/>
      </w:r>
    </w:p>
    <w:p>
      <w:pPr>
        <w:pStyle w:val="Heading1"/>
        <w:pBdr>
          <w:bottom w:val="single" w:color="1D9E75" w:sz="6" w:space="4"/>
        </w:pBdr>
        <w:spacing w:after="120" w:before="360"/>
      </w:pPr>
      <w:r>
        <w:t xml:space="preserve">Part 2 — Audit: Finance OCR Research Report (ChatGPT)</w:t>
      </w:r>
    </w:p>
    <w:p>
      <w:pPr>
        <w:spacing w:after="100"/>
      </w:pPr>
      <w:r>
        <w:rPr>
          <w:b/>
          <w:bCs/>
          <w:color w:val="2C2C2A"/>
          <w:sz w:val="22"/>
          <w:szCs w:val="22"/>
        </w:rPr>
        <w:t xml:space="preserve">Source file: </w:t>
      </w:r>
      <w:r>
        <w:rPr>
          <w:color w:val="2C2C2A"/>
          <w:sz w:val="22"/>
          <w:szCs w:val="22"/>
        </w:rPr>
        <w:t xml:space="preserve">Finance_OCR_Research_-_ChatGPT.md</w:t>
      </w:r>
    </w:p>
    <w:p>
      <w:pPr>
        <w:spacing w:before="80"/>
      </w:pPr>
    </w:p>
    <w:tbl>
      <w:tblPr>
        <w:tblW w:type="dxa" w:w="9360"/>
        <w:tblBorders>
          <w:top w:val="none"/>
          <w:left w:val="thick" w:color="A32D2D" w:sz="16"/>
          <w:bottom w:val="none"/>
          <w:right w:val="none"/>
          <w:insideH w:val="single" w:color="auto" w:sz="4"/>
          <w:insideV w:val="single" w:color="auto" w:sz="4"/>
        </w:tblBorders>
      </w:tblPr>
      <w:tblGrid>
        <w:gridCol w:w="9360"/>
      </w:tblGrid>
      <w:tr>
        <w:tc>
          <w:tcPr>
            <w:shd w:fill="FCEBEB" w:val="clear"/>
            <w:tcMar>
              <w:top w:type="dxa" w:w="80"/>
              <w:left w:type="dxa" w:w="200"/>
              <w:bottom w:type="dxa" w:w="80"/>
              <w:right w:type="dxa" w:w="160"/>
            </w:tcMar>
          </w:tcPr>
          <w:p>
            <w:r>
              <w:rPr>
                <w:i/>
                <w:iCs/>
                <w:color w:val="A32D2D"/>
                <w:sz w:val="21"/>
                <w:szCs w:val="21"/>
              </w:rPr>
              <w:t xml:space="preserve">This report has significantly more problems than Report A. It contains hallucinated citations, inaccurate model descriptions, outdated version claims presented as current, informal language that undermines professionalism, and a recommended architecture that contains internal contradictions. A detailed line-by-line critique follows.</w:t>
            </w:r>
          </w:p>
        </w:tc>
      </w:tr>
    </w:tbl>
    <w:p>
      <w:pPr>
        <w:spacing w:before="160"/>
      </w:pPr>
    </w:p>
    <w:p>
      <w:pPr>
        <w:pStyle w:val="Heading2"/>
        <w:spacing w:after="80" w:before="280"/>
      </w:pPr>
      <w:r>
        <w:t xml:space="preserve">2.1 What It Gets Right</w:t>
      </w:r>
    </w:p>
    <w:p>
      <w:pPr>
        <w:pStyle w:val="ListParagraph"/>
        <w:numPr>
          <w:ilvl w:val="0"/>
          <w:numId w:val="2"/>
        </w:numPr>
        <w:spacing w:after="60"/>
      </w:pPr>
      <w:r>
        <w:rPr>
          <w:b/>
          <w:bCs/>
          <w:color w:val="2C2C2A"/>
          <w:sz w:val="22"/>
          <w:szCs w:val="22"/>
        </w:rPr>
        <w:t xml:space="preserve">Overall pipeline structure is correct. </w:t>
      </w:r>
      <w:r>
        <w:rPr>
          <w:color w:val="2C2C2A"/>
          <w:sz w:val="22"/>
          <w:szCs w:val="22"/>
        </w:rPr>
        <w:t xml:space="preserve">The 10-step pipeline (image enhancement → layout detection → OCR/HTR → document understanding → segmentation → extraction → categorisation → confidence scoring → human review → DB ingestion) is a reasonable and industry-standard approach for this problem.</w:t>
      </w:r>
    </w:p>
    <w:p>
      <w:pPr>
        <w:pStyle w:val="ListParagraph"/>
        <w:numPr>
          <w:ilvl w:val="0"/>
          <w:numId w:val="2"/>
        </w:numPr>
        <w:spacing w:after="60"/>
      </w:pPr>
      <w:r>
        <w:rPr>
          <w:b/>
          <w:bCs/>
          <w:color w:val="2C2C2A"/>
          <w:sz w:val="22"/>
          <w:szCs w:val="22"/>
        </w:rPr>
        <w:t xml:space="preserve">PaddleOCR recommendation is sound. </w:t>
      </w:r>
      <w:r>
        <w:rPr>
          <w:color w:val="2C2C2A"/>
          <w:sz w:val="22"/>
          <w:szCs w:val="22"/>
        </w:rPr>
        <w:t xml:space="preserve">PaddleOCR is genuinely the best open-source choice for Devanagari (Hindi/Marathi) support, offline operation, and production readiness. The 70k GitHub star count and Apache-2.0 licence are accurate.</w:t>
      </w:r>
    </w:p>
    <w:p>
      <w:pPr>
        <w:pStyle w:val="ListParagraph"/>
        <w:numPr>
          <w:ilvl w:val="0"/>
          <w:numId w:val="2"/>
        </w:numPr>
        <w:spacing w:after="60"/>
      </w:pPr>
      <w:r>
        <w:rPr>
          <w:b/>
          <w:bCs/>
          <w:color w:val="2C2C2A"/>
          <w:sz w:val="22"/>
          <w:szCs w:val="22"/>
        </w:rPr>
        <w:t xml:space="preserve">Donut concept is correctly described. </w:t>
      </w:r>
      <w:r>
        <w:rPr>
          <w:color w:val="2C2C2A"/>
          <w:sz w:val="22"/>
          <w:szCs w:val="22"/>
        </w:rPr>
        <w:t xml:space="preserve">The OCR-free document understanding approach (image → JSON without intermediate OCR) is a real and important architectural pattern, and Donut is the canonical paper for it.</w:t>
      </w:r>
    </w:p>
    <w:p>
      <w:pPr>
        <w:pStyle w:val="ListParagraph"/>
        <w:numPr>
          <w:ilvl w:val="0"/>
          <w:numId w:val="2"/>
        </w:numPr>
        <w:spacing w:after="60"/>
      </w:pPr>
      <w:r>
        <w:rPr>
          <w:b/>
          <w:bCs/>
          <w:color w:val="2C2C2A"/>
          <w:sz w:val="22"/>
          <w:szCs w:val="22"/>
        </w:rPr>
        <w:t xml:space="preserve">Dataset gap is correctly identified. </w:t>
      </w:r>
      <w:r>
        <w:rPr>
          <w:color w:val="2C2C2A"/>
          <w:sz w:val="22"/>
          <w:szCs w:val="22"/>
        </w:rPr>
        <w:t xml:space="preserve">There is genuinely no public dataset of annotated farmer notebooks in Hindi/Marathi. Recommending GramIQ create one is the right call and an actual research contribution opportunity.</w:t>
      </w:r>
    </w:p>
    <w:p>
      <w:pPr>
        <w:pStyle w:val="ListParagraph"/>
        <w:numPr>
          <w:ilvl w:val="0"/>
          <w:numId w:val="2"/>
        </w:numPr>
        <w:spacing w:after="60"/>
      </w:pPr>
      <w:r>
        <w:rPr>
          <w:b/>
          <w:bCs/>
          <w:color w:val="2C2C2A"/>
          <w:sz w:val="22"/>
          <w:szCs w:val="22"/>
        </w:rPr>
        <w:t xml:space="preserve">Human-in-the-loop emphasis is appropriate. </w:t>
      </w:r>
      <w:r>
        <w:rPr>
          <w:color w:val="2C2C2A"/>
          <w:sz w:val="22"/>
          <w:szCs w:val="22"/>
        </w:rPr>
        <w:t xml:space="preserve">Flagging entries below 80% confidence for farmer review aligns with GramIQ's already-designed farmer self-review flow.</w:t>
      </w:r>
    </w:p>
    <w:p>
      <w:pPr>
        <w:spacing w:before="80"/>
      </w:pPr>
    </w:p>
    <w:p>
      <w:pPr>
        <w:pStyle w:val="Heading2"/>
        <w:spacing w:after="80" w:before="280"/>
      </w:pPr>
      <w:r>
        <w:t xml:space="preserve">2.2 Hallucinated and Unverifiable Citations</w:t>
      </w:r>
    </w:p>
    <w:p>
      <w:pPr>
        <w:pStyle w:val="Heading3"/>
        <w:spacing w:after="60" w:before="200"/>
      </w:pPr>
      <w:r>
        <w:t xml:space="preserve">Issue 1 — AgroExpense-OCR (2026) Paper</w:t>
      </w:r>
    </w:p>
    <w:p>
      <w:pPr>
        <w:spacing w:after="100"/>
      </w:pPr>
      <w:r>
        <w:rPr>
          <w:color w:val="2C2C2A"/>
          <w:sz w:val="22"/>
          <w:szCs w:val="22"/>
        </w:rPr>
        <w:t xml:space="preserve">The report cites: "AgroExpense-OCR (2026) – Nuankaew et al. (JAIT) — achieving 96.8% accuracy on printed receipts and 92.4% on handwritten ones." This citation cannot be verified. A search of the </w:t>
      </w:r>
      <w:hyperlink w:history="1" r:id="rIdgdcoosscbmelecfpykoj5">
        <w:r>
          <w:rPr>
            <w:color w:val="1A5FA8"/>
            <w:sz w:val="22"/>
            <w:szCs w:val="22"/>
            <w:u w:val="single"/>
          </w:rPr>
          <w:t xml:space="preserve">Journal of Advances in Information Technology (JAIT)</w:t>
        </w:r>
      </w:hyperlink>
      <w:r>
        <w:rPr>
          <w:color w:val="2C2C2A"/>
          <w:sz w:val="22"/>
          <w:szCs w:val="22"/>
        </w:rPr>
        <w:t xml:space="preserve"> reveals no such paper. The author name "Nuankaew" does not appear in JAIT's index for 2026. This is a hallucinated citation — a known failure mode of LLMs. Using this as evidence that "tailored OCR+categorization can work well in practice" is baseless.</w:t>
      </w:r>
    </w:p>
    <w:p>
      <w:pPr>
        <w:spacing w:before="80"/>
      </w:pPr>
    </w:p>
    <w:tbl>
      <w:tblPr>
        <w:tblW w:type="dxa" w:w="9360"/>
        <w:tblBorders>
          <w:top w:val="none"/>
          <w:left w:val="thick" w:color="A32D2D" w:sz="16"/>
          <w:bottom w:val="none"/>
          <w:right w:val="none"/>
          <w:insideH w:val="single" w:color="auto" w:sz="4"/>
          <w:insideV w:val="single" w:color="auto" w:sz="4"/>
        </w:tblBorders>
      </w:tblPr>
      <w:tblGrid>
        <w:gridCol w:w="9360"/>
      </w:tblGrid>
      <w:tr>
        <w:tc>
          <w:tcPr>
            <w:shd w:fill="FCEBEB" w:val="clear"/>
            <w:tcMar>
              <w:top w:type="dxa" w:w="80"/>
              <w:left w:type="dxa" w:w="200"/>
              <w:bottom w:type="dxa" w:w="80"/>
              <w:right w:type="dxa" w:w="160"/>
            </w:tcMar>
          </w:tcPr>
          <w:p>
            <w:r>
              <w:rPr>
                <w:i/>
                <w:iCs/>
                <w:color w:val="A32D2D"/>
                <w:sz w:val="21"/>
                <w:szCs w:val="21"/>
              </w:rPr>
              <w:t xml:space="preserve">CRITICAL: Any report section that says "research shows X% accuracy" must be independently verified before being cited in GramIQ technical documentation, investor materials, or product decisions.</w:t>
            </w:r>
          </w:p>
        </w:tc>
      </w:tr>
    </w:tbl>
    <w:p>
      <w:pPr>
        <w:spacing w:before="80"/>
      </w:pPr>
    </w:p>
    <w:p>
      <w:pPr>
        <w:pStyle w:val="Heading3"/>
        <w:spacing w:after="60" w:before="200"/>
      </w:pPr>
      <w:r>
        <w:t xml:space="preserve">Issue 2 — GOT-OCR Attribution</w:t>
      </w:r>
    </w:p>
    <w:p>
      <w:pPr>
        <w:spacing w:after="100"/>
      </w:pPr>
      <w:r>
        <w:rPr>
          <w:color w:val="2C2C2A"/>
          <w:sz w:val="22"/>
          <w:szCs w:val="22"/>
        </w:rPr>
        <w:t xml:space="preserve">The report lists "GOT-OCR (Google OCR for text orientation)" as a GitHub repository. This is confused. </w:t>
      </w:r>
      <w:hyperlink w:history="1" r:id="rIdj7ux4rtp-btscnil2kx8g">
        <w:r>
          <w:rPr>
            <w:color w:val="1A5FA8"/>
            <w:sz w:val="22"/>
            <w:szCs w:val="22"/>
            <w:u w:val="single"/>
          </w:rPr>
          <w:t xml:space="preserve">GOT-OCR2.0</w:t>
        </w:r>
      </w:hyperlink>
      <w:r>
        <w:rPr>
          <w:color w:val="2C2C2A"/>
          <w:sz w:val="22"/>
          <w:szCs w:val="22"/>
        </w:rPr>
        <w:t xml:space="preserve"> is a real model — but it stands for "General OCR Theory" and was published by researchers at the University of Chinese Academy of Sciences, not Google. The description "Google OCR for text orientation" is entirely fabricated. The report even hedges with "(or 'Guided OCR with Transformers' — not widely used)" — a clear sign the model was uncertain and should have omitted the entry.</w:t>
      </w:r>
    </w:p>
    <w:p>
      <w:pPr>
        <w:spacing w:before="80"/>
      </w:pPr>
    </w:p>
    <w:p>
      <w:pPr>
        <w:pStyle w:val="Heading3"/>
        <w:spacing w:after="60" w:before="200"/>
      </w:pPr>
      <w:r>
        <w:t xml:space="preserve">Issue 3 — PaddleOCR-VL Repository Link</w:t>
      </w:r>
    </w:p>
    <w:p>
      <w:pPr>
        <w:spacing w:after="100"/>
      </w:pPr>
      <w:r>
        <w:rPr>
          <w:color w:val="2C2C2A"/>
          <w:sz w:val="22"/>
          <w:szCs w:val="22"/>
        </w:rPr>
        <w:t xml:space="preserve">The report links PaddleOCR-VL to "</w:t>
      </w:r>
      <w:hyperlink w:history="1" r:id="rIdcfvel5pxpeqhupm3yq8qy">
        <w:r>
          <w:rPr>
            <w:color w:val="1A5FA8"/>
            <w:sz w:val="22"/>
            <w:szCs w:val="22"/>
            <w:u w:val="single"/>
          </w:rPr>
          <w:t xml:space="preserve">github.com/PaddlePaddle/FLORENCE_OCR</w:t>
        </w:r>
      </w:hyperlink>
      <w:r>
        <w:rPr>
          <w:color w:val="2C2C2A"/>
          <w:sz w:val="22"/>
          <w:szCs w:val="22"/>
        </w:rPr>
        <w:t xml:space="preserve">". This URL does not exist. The actual PaddleOCR repository is </w:t>
      </w:r>
      <w:hyperlink w:history="1" r:id="rIdyabmcxsvuk1mzjvfyr-xq">
        <w:r>
          <w:rPr>
            <w:color w:val="1A5FA8"/>
            <w:sz w:val="22"/>
            <w:szCs w:val="22"/>
            <w:u w:val="single"/>
          </w:rPr>
          <w:t xml:space="preserve">github.com/PaddlePaddle/PaddleOCR</w:t>
        </w:r>
      </w:hyperlink>
      <w:r>
        <w:rPr>
          <w:color w:val="2C2C2A"/>
          <w:sz w:val="22"/>
          <w:szCs w:val="22"/>
        </w:rPr>
        <w:t xml:space="preserve">. "FLORENCE_OCR" appears to be a confabulation mixing Microsoft's Florence-2 model name with Baidu's PaddleOCR.</w:t>
      </w:r>
    </w:p>
    <w:p>
      <w:pPr>
        <w:spacing w:before="80"/>
      </w:pPr>
    </w:p>
    <w:p>
      <w:pPr>
        <w:pStyle w:val="Heading3"/>
        <w:spacing w:after="60" w:before="200"/>
      </w:pPr>
      <w:r>
        <w:t xml:space="preserve">Issue 4 — InternVL 3.5 "241B Parameters" Claim</w:t>
      </w:r>
    </w:p>
    <w:p>
      <w:pPr>
        <w:spacing w:after="100"/>
      </w:pPr>
      <w:r>
        <w:rPr>
          <w:color w:val="2C2C2A"/>
          <w:sz w:val="22"/>
          <w:szCs w:val="22"/>
        </w:rPr>
        <w:t xml:space="preserve">The report states InternVL 3.5 has "~241B" parameters. The actual </w:t>
      </w:r>
      <w:hyperlink w:history="1" r:id="rIdtfkzhqrdjggyivaonzmvn">
        <w:r>
          <w:rPr>
            <w:color w:val="1A5FA8"/>
            <w:sz w:val="22"/>
            <w:szCs w:val="22"/>
            <w:u w:val="single"/>
          </w:rPr>
          <w:t xml:space="preserve">InternVL2.5 model family</w:t>
        </w:r>
      </w:hyperlink>
      <w:r>
        <w:rPr>
          <w:color w:val="2C2C2A"/>
          <w:sz w:val="22"/>
          <w:szCs w:val="22"/>
        </w:rPr>
        <w:t xml:space="preserve"> ranges from 1B to 78B parameters. The 241B figure appears nowhere in the InternVL technical reports. This is likely a hallucination conflating InternVL with a mixture-of-experts model total.</w:t>
      </w:r>
    </w:p>
    <w:p>
      <w:pPr>
        <w:spacing w:before="80"/>
      </w:pPr>
    </w:p>
    <w:p>
      <w:pPr>
        <w:pStyle w:val="Heading3"/>
        <w:spacing w:after="60" w:before="200"/>
      </w:pPr>
      <w:r>
        <w:t xml:space="preserve">Issue 5 — GPT-5 and Gemini 2.5 Described as Unannounced</w:t>
      </w:r>
    </w:p>
    <w:p>
      <w:pPr>
        <w:spacing w:after="100"/>
      </w:pPr>
      <w:r>
        <w:rPr>
          <w:color w:val="2C2C2A"/>
          <w:sz w:val="22"/>
          <w:szCs w:val="22"/>
        </w:rPr>
        <w:t xml:space="preserve">The report mentions "GPT-5 / Gemini 2.5 / Claude Opus — Not published in detail yet" and "Gemini 2.5 (Google) and Claude Opus (Anthropic) are rumored to be multimodal." Both Gemini 2.5 Pro and Claude Opus 4 are fully released and publicly available at the time of this audit (July 2026). This suggests the report was not updated after initial generation, or the model's training cutoff was not accounted for in the prompting.</w:t>
      </w:r>
    </w:p>
    <w:p>
      <w:pPr>
        <w:spacing w:before="80"/>
      </w:pPr>
    </w:p>
    <w:p>
      <w:pPr>
        <w:pStyle w:val="Heading3"/>
        <w:spacing w:after="60" w:before="200"/>
      </w:pPr>
      <w:r>
        <w:t xml:space="preserve">Issue 6 — Rossum "276-Language" Claim</w:t>
      </w:r>
    </w:p>
    <w:p>
      <w:pPr>
        <w:spacing w:after="100"/>
      </w:pPr>
      <w:r>
        <w:rPr>
          <w:color w:val="2C2C2A"/>
          <w:sz w:val="22"/>
          <w:szCs w:val="22"/>
        </w:rPr>
        <w:t xml:space="preserve">The report states Rossum supports "276 languages with handwriting support." Rossum's actual </w:t>
      </w:r>
      <w:hyperlink w:history="1" r:id="rIdryc63qsc2_ioohkqikklb">
        <w:r>
          <w:rPr>
            <w:color w:val="1A5FA8"/>
            <w:sz w:val="22"/>
            <w:szCs w:val="22"/>
            <w:u w:val="single"/>
          </w:rPr>
          <w:t xml:space="preserve">documentation</w:t>
        </w:r>
      </w:hyperlink>
      <w:r>
        <w:rPr>
          <w:color w:val="2C2C2A"/>
          <w:sz w:val="22"/>
          <w:szCs w:val="22"/>
        </w:rPr>
        <w:t xml:space="preserve"> describes a transactional document AI system primarily for invoices and purchase orders in European and US contexts. The 276-language claim with handwriting support is not verifiable from their published materials and likely originates from confused data about a different provider.</w:t>
      </w:r>
    </w:p>
    <w:p>
      <w:pPr>
        <w:spacing w:before="80"/>
      </w:pPr>
    </w:p>
    <w:p>
      <w:pPr>
        <w:pStyle w:val="Heading2"/>
        <w:spacing w:after="80" w:before="280"/>
      </w:pPr>
      <w:r>
        <w:t xml:space="preserve">2.3 Technical Inaccuracies</w:t>
      </w:r>
    </w:p>
    <w:p>
      <w:pPr>
        <w:pStyle w:val="Heading3"/>
        <w:spacing w:after="60" w:before="200"/>
      </w:pPr>
      <w:r>
        <w:t xml:space="preserve">Issue 7 — MiniCPM-V 4.6 Does Not Exist</w:t>
      </w:r>
    </w:p>
    <w:p>
      <w:pPr>
        <w:spacing w:after="100"/>
      </w:pPr>
      <w:r>
        <w:rPr>
          <w:color w:val="2C2C2A"/>
          <w:sz w:val="22"/>
          <w:szCs w:val="22"/>
        </w:rPr>
        <w:t xml:space="preserve">The report profiles "MiniCPM-V 4.6 (2024) — A compact 1.3B Chinese VLM." The actual model is </w:t>
      </w:r>
      <w:hyperlink w:history="1" r:id="rIduqipglmjlov-g_xd0nhcq">
        <w:r>
          <w:rPr>
            <w:color w:val="1A5FA8"/>
            <w:sz w:val="22"/>
            <w:szCs w:val="22"/>
            <w:u w:val="single"/>
          </w:rPr>
          <w:t xml:space="preserve">MiniCPM-V 2.6</w:t>
        </w:r>
      </w:hyperlink>
      <w:r>
        <w:rPr>
          <w:color w:val="2C2C2A"/>
          <w:sz w:val="22"/>
          <w:szCs w:val="22"/>
        </w:rPr>
        <w:t xml:space="preserve"> (2.6, not 4.6). The "4.6" version number does not exist. The parameter count of 1.3B is also incorrect — MiniCPM-V 2.6 has approximately 8B parameters, not 1.3B. The 1.3B figure refers to an older variant (MiniCPM-V 2.0). This conflation of version numbers and parameter counts would lead an engineer to choose the wrong model.</w:t>
      </w:r>
    </w:p>
    <w:p>
      <w:pPr>
        <w:spacing w:before="80"/>
      </w:pPr>
    </w:p>
    <w:p>
      <w:pPr>
        <w:pStyle w:val="Heading3"/>
        <w:spacing w:after="60" w:before="200"/>
      </w:pPr>
      <w:r>
        <w:t xml:space="preserve">Issue 8 — Qwen2.5-VL "Closed Architecture" Claim</w:t>
      </w:r>
    </w:p>
    <w:p>
      <w:pPr>
        <w:spacing w:after="100"/>
      </w:pPr>
      <w:r>
        <w:rPr>
          <w:color w:val="2C2C2A"/>
          <w:sz w:val="22"/>
          <w:szCs w:val="22"/>
        </w:rPr>
        <w:t xml:space="preserve">The report describes Qwen2.5-VL as "Closed architecture (China company)" with "175B+ parameters." In reality, Qwen2.5-VL is </w:t>
      </w:r>
      <w:hyperlink w:history="1" r:id="rIdzm6-tnnfswhpj7ehz5tlp">
        <w:r>
          <w:rPr>
            <w:color w:val="1A5FA8"/>
            <w:sz w:val="22"/>
            <w:szCs w:val="22"/>
            <w:u w:val="single"/>
          </w:rPr>
          <w:t xml:space="preserve">fully open-sourced on Hugging Face</w:t>
        </w:r>
      </w:hyperlink>
      <w:r>
        <w:rPr>
          <w:color w:val="2C2C2A"/>
          <w:sz w:val="22"/>
          <w:szCs w:val="22"/>
        </w:rPr>
        <w:t xml:space="preserve"> under Apache-2.0 licence. The flagship model is 72B parameters, not 175B+. Calling it "closed" is the opposite of true and would cause an engineer to unnecessarily rule it out for self-hosted deployment.</w:t>
      </w:r>
    </w:p>
    <w:p>
      <w:pPr>
        <w:spacing w:before="80"/>
      </w:pPr>
    </w:p>
    <w:p>
      <w:pPr>
        <w:pStyle w:val="Heading3"/>
        <w:spacing w:after="60" w:before="200"/>
      </w:pPr>
      <w:r>
        <w:t xml:space="preserve">Issue 9 — Claude Opus "JSON API" Claim</w:t>
      </w:r>
    </w:p>
    <w:p>
      <w:pPr>
        <w:spacing w:after="100"/>
      </w:pPr>
      <w:r>
        <w:rPr>
          <w:color w:val="2C2C2A"/>
          <w:sz w:val="22"/>
          <w:szCs w:val="22"/>
        </w:rPr>
        <w:t xml:space="preserve">The VLM comparison table states Claude Opus has "No direct JSON API; need system prompts." This is incorrect. The Anthropic API has supported native JSON output mode (structured output) for over a year. This is a factual error that would lead a developer to add unnecessary prompt engineering workarounds.</w:t>
      </w:r>
    </w:p>
    <w:p>
      <w:pPr>
        <w:spacing w:before="80"/>
      </w:pPr>
    </w:p>
    <w:p>
      <w:pPr>
        <w:pStyle w:val="Heading3"/>
        <w:spacing w:after="60" w:before="200"/>
      </w:pPr>
      <w:r>
        <w:t xml:space="preserve">Issue 10 — LayoutXLM Language Coverage</w:t>
      </w:r>
    </w:p>
    <w:p>
      <w:pPr>
        <w:spacing w:after="100"/>
      </w:pPr>
      <w:r>
        <w:rPr>
          <w:color w:val="2C2C2A"/>
          <w:sz w:val="22"/>
          <w:szCs w:val="22"/>
        </w:rPr>
        <w:t xml:space="preserve">The report states LayoutXLM was "pre-trained on 7 languages (English, Chinese, Japanese, Spanish, French, Italian, German)." The actual LayoutXLM paper covers 8 languages and includes Korean, not Italian. More importantly, the report notes it "did not include Indic languages" — which is correct — but then says "approach shows multi-script possible" without discussing the substantial additional work needed to extend it to Devanagari.</w:t>
      </w:r>
    </w:p>
    <w:p>
      <w:pPr>
        <w:spacing w:before="80"/>
      </w:pPr>
    </w:p>
    <w:p>
      <w:pPr>
        <w:pStyle w:val="Heading2"/>
        <w:spacing w:after="80" w:before="280"/>
      </w:pPr>
      <w:r>
        <w:t xml:space="preserve">2.4 Professional Writing Issues</w:t>
      </w:r>
    </w:p>
    <w:p>
      <w:pPr>
        <w:pStyle w:val="Heading3"/>
        <w:spacing w:after="60" w:before="200"/>
      </w:pPr>
      <w:r>
        <w:t xml:space="preserve">Issue 11 — Inappropriate Tone</w:t>
      </w:r>
    </w:p>
    <w:p>
      <w:pPr>
        <w:spacing w:after="100"/>
      </w:pPr>
      <w:r>
        <w:rPr>
          <w:color w:val="2C2C2A"/>
          <w:sz w:val="22"/>
          <w:szCs w:val="22"/>
        </w:rPr>
        <w:t xml:space="preserve">The executive summary includes the phrase: "by blending proven document-AI techniques with a dash of Gen Z skepticism ('No cap, farm OCR is hard but doable')." This is unsuitable for a technical research document that may be read by investors, university evaluators, or engineering leadership. It signals that the report was not reviewed or edited post-generation.</w:t>
      </w:r>
    </w:p>
    <w:p>
      <w:pPr>
        <w:spacing w:before="80"/>
      </w:pPr>
    </w:p>
    <w:p>
      <w:pPr>
        <w:pStyle w:val="Heading3"/>
        <w:spacing w:after="60" w:before="200"/>
      </w:pPr>
      <w:r>
        <w:t xml:space="preserve">Issue 12 — Self-Referential Inconsistency</w:t>
      </w:r>
    </w:p>
    <w:p>
      <w:pPr>
        <w:spacing w:after="100"/>
      </w:pPr>
      <w:r>
        <w:rPr>
          <w:color w:val="2C2C2A"/>
          <w:sz w:val="22"/>
          <w:szCs w:val="22"/>
        </w:rPr>
        <w:t xml:space="preserve">The report recommends Donut in the architecture section but then describes it as potentially hallucinating text and requiring domain-specific fine-tuning that "is not trivial." It simultaneously recommends PaddleOCR-VL as superior ("most practical") but places Donut ahead of it in the recommended stack. The architecture and recommendation sections contradict each other.</w:t>
      </w:r>
    </w:p>
    <w:p>
      <w:pPr>
        <w:spacing w:before="80"/>
      </w:pPr>
    </w:p>
    <w:p>
      <w:pPr>
        <w:pStyle w:val="Heading3"/>
        <w:spacing w:after="60" w:before="200"/>
      </w:pPr>
      <w:r>
        <w:t xml:space="preserve">Issue 13 — "Sources" Section Is Not Sources</w:t>
      </w:r>
    </w:p>
    <w:p>
      <w:pPr>
        <w:spacing w:after="100"/>
      </w:pPr>
      <w:r>
        <w:rPr>
          <w:color w:val="2C2C2A"/>
          <w:sz w:val="22"/>
          <w:szCs w:val="22"/>
        </w:rPr>
        <w:t xml:space="preserve">The report ends with: "We referenced state-of-the-art models and benchmarks, plus various GitHub repos... for concrete data on stars, license, and capabilities." This is not a citation list. No URLs, no author names, no paper titles. A research report without verifiable citations cannot be treated as authoritative.</w:t>
      </w:r>
    </w:p>
    <w:p>
      <w:r>
        <w:br w:type="page"/>
      </w:r>
    </w:p>
    <w:p>
      <w:pPr>
        <w:pStyle w:val="Heading1"/>
        <w:pBdr>
          <w:bottom w:val="single" w:color="1D9E75" w:sz="6" w:space="4"/>
        </w:pBdr>
        <w:spacing w:after="120" w:before="360"/>
      </w:pPr>
      <w:r>
        <w:t xml:space="preserve">Part 3 — Unified Corrected Report for GramIQ</w:t>
      </w:r>
    </w:p>
    <w:p>
      <w:pPr>
        <w:spacing w:after="100"/>
      </w:pPr>
      <w:r>
        <w:rPr>
          <w:color w:val="2C2C2A"/>
          <w:sz w:val="22"/>
          <w:szCs w:val="22"/>
        </w:rPr>
        <w:t xml:space="preserve">This section synthesises the verified, corrected findings from both reports into a single actionable reference for GramIQ's engineering team.</w:t>
      </w:r>
    </w:p>
    <w:p>
      <w:pPr>
        <w:spacing w:before="80"/>
      </w:pPr>
    </w:p>
    <w:p>
      <w:pPr>
        <w:pStyle w:val="Heading2"/>
        <w:spacing w:after="80" w:before="280"/>
      </w:pPr>
      <w:r>
        <w:t xml:space="preserve">3.1 Weather API — Corrected Recommendations</w:t>
      </w:r>
    </w:p>
    <w:p>
      <w:pPr>
        <w:pStyle w:val="Heading3"/>
        <w:spacing w:after="60" w:before="200"/>
      </w:pPr>
      <w:r>
        <w:t xml:space="preserve">For GramIQ v1 (Current Stage): Open-Meteo</w:t>
      </w:r>
    </w:p>
    <w:p>
      <w:pPr>
        <w:pStyle w:val="ListParagraph"/>
        <w:numPr>
          <w:ilvl w:val="0"/>
          <w:numId w:val="2"/>
        </w:numPr>
        <w:spacing w:after="60"/>
      </w:pPr>
      <w:r>
        <w:rPr>
          <w:b/>
          <w:bCs/>
          <w:color w:val="2C2C2A"/>
          <w:sz w:val="22"/>
          <w:szCs w:val="22"/>
        </w:rPr>
        <w:t xml:space="preserve">Why: </w:t>
      </w:r>
      <w:r>
        <w:rPr>
          <w:color w:val="2C2C2A"/>
          <w:sz w:val="22"/>
          <w:szCs w:val="22"/>
        </w:rPr>
        <w:t xml:space="preserve">No API key, 10,000 free calls/day, native ET0 + soil moisture + leaf wetness parameters, ERA5 history to 1940, best_match routing. For rural India coordinates, effective resolution is 5–9 km — adequate for daily advisory decisions.</w:t>
      </w:r>
    </w:p>
    <w:p>
      <w:pPr>
        <w:pStyle w:val="ListParagraph"/>
        <w:numPr>
          <w:ilvl w:val="0"/>
          <w:numId w:val="2"/>
        </w:numPr>
        <w:spacing w:after="60"/>
      </w:pPr>
      <w:r>
        <w:rPr>
          <w:b/>
          <w:bCs/>
          <w:color w:val="2C2C2A"/>
          <w:sz w:val="22"/>
          <w:szCs w:val="22"/>
        </w:rPr>
        <w:t xml:space="preserve">Verified URL: </w:t>
      </w:r>
      <w:hyperlink w:history="1" r:id="rIdeaztjwqtqpts51barmeag">
        <w:r>
          <w:rPr>
            <w:color w:val="1A5FA8"/>
            <w:sz w:val="22"/>
            <w:szCs w:val="22"/>
            <w:u w:val="single"/>
          </w:rPr>
          <w:t xml:space="preserve">open-meteo.com</w:t>
        </w:r>
      </w:hyperlink>
    </w:p>
    <w:p>
      <w:pPr>
        <w:pStyle w:val="ListParagraph"/>
        <w:numPr>
          <w:ilvl w:val="0"/>
          <w:numId w:val="2"/>
        </w:numPr>
        <w:spacing w:after="60"/>
      </w:pPr>
      <w:r>
        <w:rPr>
          <w:b/>
          <w:bCs/>
          <w:color w:val="2C2C2A"/>
          <w:sz w:val="22"/>
          <w:szCs w:val="22"/>
        </w:rPr>
        <w:t xml:space="preserve">Parameters to request: </w:t>
      </w:r>
      <w:r>
        <w:rPr>
          <w:color w:val="2C2C2A"/>
          <w:sz w:val="22"/>
          <w:szCs w:val="22"/>
        </w:rPr>
        <w:t xml:space="preserve">temperature_2m, relative_humidity_2m, wind_speed_10m, precipitation_probability, soil_temperature_0cm, et0_fao_evapotranspiration, leaf_wetness_index at hourly resolution.</w:t>
      </w:r>
    </w:p>
    <w:p>
      <w:pPr>
        <w:pStyle w:val="ListParagraph"/>
        <w:numPr>
          <w:ilvl w:val="0"/>
          <w:numId w:val="2"/>
        </w:numPr>
        <w:spacing w:after="60"/>
      </w:pPr>
      <w:r>
        <w:rPr>
          <w:b/>
          <w:bCs/>
          <w:color w:val="2C2C2A"/>
          <w:sz w:val="22"/>
          <w:szCs w:val="22"/>
        </w:rPr>
        <w:t xml:space="preserve">Rate limit management: </w:t>
      </w:r>
      <w:r>
        <w:rPr>
          <w:color w:val="2C2C2A"/>
          <w:sz w:val="22"/>
          <w:szCs w:val="22"/>
        </w:rPr>
        <w:t xml:space="preserve">Cache responses per farm location for 1 hour. For 10,000 farms × 2 calls/day = 20,000 calls/day, well within the free tier.</w:t>
      </w:r>
    </w:p>
    <w:p>
      <w:pPr>
        <w:spacing w:before="80"/>
      </w:pPr>
    </w:p>
    <w:p>
      <w:pPr>
        <w:pStyle w:val="Heading3"/>
        <w:spacing w:after="60" w:before="200"/>
      </w:pPr>
      <w:r>
        <w:t xml:space="preserve">For GramIQ v2 (Post-Funding): IMD + Open-Meteo Ensemble</w:t>
      </w:r>
    </w:p>
    <w:p>
      <w:pPr>
        <w:pStyle w:val="ListParagraph"/>
        <w:numPr>
          <w:ilvl w:val="0"/>
          <w:numId w:val="2"/>
        </w:numPr>
        <w:spacing w:after="60"/>
      </w:pPr>
      <w:r>
        <w:rPr>
          <w:b/>
          <w:bCs/>
          <w:color w:val="2C2C2A"/>
          <w:sz w:val="22"/>
          <w:szCs w:val="22"/>
        </w:rPr>
        <w:t xml:space="preserve">IMD data access: </w:t>
      </w:r>
      <w:hyperlink w:history="1" r:id="rIdwntvztligcoxmt5tekyea">
        <w:r>
          <w:rPr>
            <w:color w:val="1A5FA8"/>
            <w:sz w:val="22"/>
            <w:szCs w:val="22"/>
            <w:u w:val="single"/>
          </w:rPr>
          <w:t xml:space="preserve">data.gov.in</w:t>
        </w:r>
      </w:hyperlink>
      <w:r>
        <w:rPr>
          <w:color w:val="2C2C2A"/>
          <w:sz w:val="22"/>
          <w:szCs w:val="22"/>
        </w:rPr>
        <w:t xml:space="preserve"> provides district-level agrometeorological data. The IMD Meghdoot app API provides block-level forecasts for registered agritech partners.</w:t>
      </w:r>
    </w:p>
    <w:p>
      <w:pPr>
        <w:pStyle w:val="ListParagraph"/>
        <w:numPr>
          <w:ilvl w:val="0"/>
          <w:numId w:val="2"/>
        </w:numPr>
        <w:spacing w:after="60"/>
      </w:pPr>
      <w:r>
        <w:rPr>
          <w:b/>
          <w:bCs/>
          <w:color w:val="2C2C2A"/>
          <w:sz w:val="22"/>
          <w:szCs w:val="22"/>
        </w:rPr>
        <w:t xml:space="preserve">Ensemble approach: </w:t>
      </w:r>
      <w:r>
        <w:rPr>
          <w:color w:val="2C2C2A"/>
          <w:sz w:val="22"/>
          <w:szCs w:val="22"/>
        </w:rPr>
        <w:t xml:space="preserve">Use Open-Meteo as primary source. Cross-reference IMD district forecasts for precipitation probability. If they diverge by &gt;20%, flag as uncertain and show wider confidence range in UI.</w:t>
      </w:r>
    </w:p>
    <w:p>
      <w:pPr>
        <w:pStyle w:val="ListParagraph"/>
        <w:numPr>
          <w:ilvl w:val="0"/>
          <w:numId w:val="2"/>
        </w:numPr>
        <w:spacing w:after="60"/>
      </w:pPr>
      <w:r>
        <w:rPr>
          <w:b/>
          <w:bCs/>
          <w:color w:val="2C2C2A"/>
          <w:sz w:val="22"/>
          <w:szCs w:val="22"/>
        </w:rPr>
        <w:t xml:space="preserve">Do NOT upgrade to Tomorrow.io or Meteoblue until GramIQ reaches 50,000+ active farmers. </w:t>
      </w:r>
      <w:r>
        <w:rPr>
          <w:color w:val="2C2C2A"/>
          <w:sz w:val="22"/>
          <w:szCs w:val="22"/>
        </w:rPr>
        <w:t xml:space="preserve">The cost uplift (~$200–500/month) is not justified by measurable accuracy gains for daily advisory decisions at the current scale.</w:t>
      </w:r>
    </w:p>
    <w:p>
      <w:pPr>
        <w:spacing w:before="80"/>
      </w:pPr>
    </w:p>
    <w:p>
      <w:pPr>
        <w:pStyle w:val="Heading3"/>
        <w:spacing w:after="60" w:before="200"/>
      </w:pPr>
      <w:r>
        <w:t xml:space="preserve">Agronomic Rules Engine — Verified Thresholds</w:t>
      </w:r>
    </w:p>
    <w:tbl>
      <w:tblPr>
        <w:tblW w:type="dxa" w:w="9360"/>
        <w:tblBorders>
          <w:top w:val="single" w:color="D3D1C7" w:sz="4"/>
          <w:left w:val="single" w:color="D3D1C7" w:sz="4"/>
          <w:bottom w:val="single" w:color="D3D1C7" w:sz="4"/>
          <w:right w:val="single" w:color="D3D1C7" w:sz="4"/>
          <w:insideH w:val="single" w:color="auto" w:sz="4"/>
          <w:insideV w:val="single" w:color="auto" w:sz="4"/>
        </w:tblBorders>
      </w:tblPr>
      <w:tblGrid>
        <w:gridCol w:w="2200"/>
        <w:gridCol w:w="2600"/>
        <w:gridCol w:w="1800"/>
        <w:gridCol w:w="2760"/>
      </w:tblGrid>
      <w:tr>
        <w:trPr>
          <w:tblHeader/>
        </w:trPr>
        <w:tc>
          <w:tcPr>
            <w:tcW w:type="dxa" w:w="2200"/>
            <w:shd w:fill="1D9E75" w:val="clear"/>
            <w:tcMar>
              <w:top w:type="dxa" w:w="80"/>
              <w:left w:type="dxa" w:w="120"/>
              <w:bottom w:type="dxa" w:w="80"/>
              <w:right w:type="dxa" w:w="120"/>
            </w:tcMar>
          </w:tcPr>
          <w:p>
            <w:r>
              <w:rPr>
                <w:b/>
                <w:bCs/>
                <w:color w:val="FFFFFF"/>
                <w:sz w:val="20"/>
                <w:szCs w:val="20"/>
              </w:rPr>
              <w:t xml:space="preserve">Parameter</w:t>
            </w:r>
          </w:p>
        </w:tc>
        <w:tc>
          <w:tcPr>
            <w:tcW w:type="dxa" w:w="2600"/>
            <w:shd w:fill="1D9E75" w:val="clear"/>
            <w:tcMar>
              <w:top w:type="dxa" w:w="80"/>
              <w:left w:type="dxa" w:w="120"/>
              <w:bottom w:type="dxa" w:w="80"/>
              <w:right w:type="dxa" w:w="120"/>
            </w:tcMar>
          </w:tcPr>
          <w:p>
            <w:r>
              <w:rPr>
                <w:b/>
                <w:bCs/>
                <w:color w:val="FFFFFF"/>
                <w:sz w:val="20"/>
                <w:szCs w:val="20"/>
              </w:rPr>
              <w:t xml:space="preserve">Advisory</w:t>
            </w:r>
          </w:p>
        </w:tc>
        <w:tc>
          <w:tcPr>
            <w:tcW w:type="dxa" w:w="1800"/>
            <w:shd w:fill="1D9E75" w:val="clear"/>
            <w:tcMar>
              <w:top w:type="dxa" w:w="80"/>
              <w:left w:type="dxa" w:w="120"/>
              <w:bottom w:type="dxa" w:w="80"/>
              <w:right w:type="dxa" w:w="120"/>
            </w:tcMar>
          </w:tcPr>
          <w:p>
            <w:r>
              <w:rPr>
                <w:b/>
                <w:bCs/>
                <w:color w:val="FFFFFF"/>
                <w:sz w:val="20"/>
                <w:szCs w:val="20"/>
              </w:rPr>
              <w:t xml:space="preserve">Threshold</w:t>
            </w:r>
          </w:p>
        </w:tc>
        <w:tc>
          <w:tcPr>
            <w:tcW w:type="dxa" w:w="2760"/>
            <w:shd w:fill="1D9E75" w:val="clear"/>
            <w:tcMar>
              <w:top w:type="dxa" w:w="80"/>
              <w:left w:type="dxa" w:w="120"/>
              <w:bottom w:type="dxa" w:w="80"/>
              <w:right w:type="dxa" w:w="120"/>
            </w:tcMar>
          </w:tcPr>
          <w:p>
            <w:r>
              <w:rPr>
                <w:b/>
                <w:bCs/>
                <w:color w:val="FFFFFF"/>
                <w:sz w:val="20"/>
                <w:szCs w:val="20"/>
              </w:rPr>
              <w:t xml:space="preserve">Source</w:t>
            </w:r>
          </w:p>
        </w:tc>
      </w:tr>
      <w:tr>
        <w:tc>
          <w:tcPr>
            <w:tcW w:type="dxa" w:w="2200"/>
            <w:shd w:fill="FFFFFF" w:val="clear"/>
            <w:tcMar>
              <w:top w:type="dxa" w:w="60"/>
              <w:left w:type="dxa" w:w="120"/>
              <w:bottom w:type="dxa" w:w="60"/>
              <w:right w:type="dxa" w:w="120"/>
            </w:tcMar>
          </w:tcPr>
          <w:p>
            <w:r>
              <w:rPr>
                <w:color w:val="2C2C2A"/>
                <w:sz w:val="20"/>
                <w:szCs w:val="20"/>
              </w:rPr>
              <w:t xml:space="preserve">Delta T</w:t>
            </w:r>
          </w:p>
        </w:tc>
        <w:tc>
          <w:tcPr>
            <w:tcW w:type="dxa" w:w="2600"/>
            <w:shd w:fill="FFFFFF" w:val="clear"/>
            <w:tcMar>
              <w:top w:type="dxa" w:w="60"/>
              <w:left w:type="dxa" w:w="120"/>
              <w:bottom w:type="dxa" w:w="60"/>
              <w:right w:type="dxa" w:w="120"/>
            </w:tcMar>
          </w:tcPr>
          <w:p>
            <w:r>
              <w:rPr>
                <w:color w:val="2C2C2A"/>
                <w:sz w:val="20"/>
                <w:szCs w:val="20"/>
              </w:rPr>
              <w:t xml:space="preserve">Spraying: OPTIMAL</w:t>
            </w:r>
          </w:p>
        </w:tc>
        <w:tc>
          <w:tcPr>
            <w:tcW w:type="dxa" w:w="1800"/>
            <w:shd w:fill="FFFFFF" w:val="clear"/>
            <w:tcMar>
              <w:top w:type="dxa" w:w="60"/>
              <w:left w:type="dxa" w:w="120"/>
              <w:bottom w:type="dxa" w:w="60"/>
              <w:right w:type="dxa" w:w="120"/>
            </w:tcMar>
          </w:tcPr>
          <w:p>
            <w:r>
              <w:rPr>
                <w:color w:val="2C2C2A"/>
                <w:sz w:val="20"/>
                <w:szCs w:val="20"/>
              </w:rPr>
              <w:t xml:space="preserve">2 – 8</w:t>
            </w:r>
          </w:p>
        </w:tc>
        <w:tc>
          <w:tcPr>
            <w:tcW w:type="dxa" w:w="2760"/>
            <w:shd w:fill="FFFFFF" w:val="clear"/>
            <w:tcMar>
              <w:top w:type="dxa" w:w="60"/>
              <w:left w:type="dxa" w:w="120"/>
              <w:bottom w:type="dxa" w:w="60"/>
              <w:right w:type="dxa" w:w="120"/>
            </w:tcMar>
          </w:tcPr>
          <w:p>
            <w:r>
              <w:rPr>
                <w:color w:val="2C2C2A"/>
                <w:sz w:val="20"/>
                <w:szCs w:val="20"/>
              </w:rPr>
              <w:t xml:space="preserve">GRDC (2025)</w:t>
            </w:r>
          </w:p>
        </w:tc>
      </w:tr>
      <w:tr>
        <w:tc>
          <w:tcPr>
            <w:tcW w:type="dxa" w:w="2200"/>
            <w:shd w:fill="F4F2EB" w:val="clear"/>
            <w:tcMar>
              <w:top w:type="dxa" w:w="60"/>
              <w:left w:type="dxa" w:w="120"/>
              <w:bottom w:type="dxa" w:w="60"/>
              <w:right w:type="dxa" w:w="120"/>
            </w:tcMar>
          </w:tcPr>
          <w:p>
            <w:r>
              <w:rPr>
                <w:color w:val="2C2C2A"/>
                <w:sz w:val="20"/>
                <w:szCs w:val="20"/>
              </w:rPr>
              <w:t xml:space="preserve">Delta T</w:t>
            </w:r>
          </w:p>
        </w:tc>
        <w:tc>
          <w:tcPr>
            <w:tcW w:type="dxa" w:w="2600"/>
            <w:shd w:fill="F4F2EB" w:val="clear"/>
            <w:tcMar>
              <w:top w:type="dxa" w:w="60"/>
              <w:left w:type="dxa" w:w="120"/>
              <w:bottom w:type="dxa" w:w="60"/>
              <w:right w:type="dxa" w:w="120"/>
            </w:tcMar>
          </w:tcPr>
          <w:p>
            <w:r>
              <w:rPr>
                <w:color w:val="2C2C2A"/>
                <w:sz w:val="20"/>
                <w:szCs w:val="20"/>
              </w:rPr>
              <w:t xml:space="preserve">Spraying: DO NOT SPRAY</w:t>
            </w:r>
          </w:p>
        </w:tc>
        <w:tc>
          <w:tcPr>
            <w:tcW w:type="dxa" w:w="1800"/>
            <w:shd w:fill="F4F2EB" w:val="clear"/>
            <w:tcMar>
              <w:top w:type="dxa" w:w="60"/>
              <w:left w:type="dxa" w:w="120"/>
              <w:bottom w:type="dxa" w:w="60"/>
              <w:right w:type="dxa" w:w="120"/>
            </w:tcMar>
          </w:tcPr>
          <w:p>
            <w:r>
              <w:rPr>
                <w:color w:val="2C2C2A"/>
                <w:sz w:val="20"/>
                <w:szCs w:val="20"/>
              </w:rPr>
              <w:t xml:space="preserve">&gt; 10 or &lt; 2</w:t>
            </w:r>
          </w:p>
        </w:tc>
        <w:tc>
          <w:tcPr>
            <w:tcW w:type="dxa" w:w="2760"/>
            <w:shd w:fill="F4F2EB" w:val="clear"/>
            <w:tcMar>
              <w:top w:type="dxa" w:w="60"/>
              <w:left w:type="dxa" w:w="120"/>
              <w:bottom w:type="dxa" w:w="60"/>
              <w:right w:type="dxa" w:w="120"/>
            </w:tcMar>
          </w:tcPr>
          <w:p>
            <w:r>
              <w:rPr>
                <w:color w:val="2C2C2A"/>
                <w:sz w:val="20"/>
                <w:szCs w:val="20"/>
              </w:rPr>
              <w:t xml:space="preserve">GRDC (2025)</w:t>
            </w:r>
          </w:p>
        </w:tc>
      </w:tr>
      <w:tr>
        <w:tc>
          <w:tcPr>
            <w:tcW w:type="dxa" w:w="2200"/>
            <w:shd w:fill="FFFFFF" w:val="clear"/>
            <w:tcMar>
              <w:top w:type="dxa" w:w="60"/>
              <w:left w:type="dxa" w:w="120"/>
              <w:bottom w:type="dxa" w:w="60"/>
              <w:right w:type="dxa" w:w="120"/>
            </w:tcMar>
          </w:tcPr>
          <w:p>
            <w:r>
              <w:rPr>
                <w:color w:val="2C2C2A"/>
                <w:sz w:val="20"/>
                <w:szCs w:val="20"/>
              </w:rPr>
              <w:t xml:space="preserve">Wind Speed</w:t>
            </w:r>
          </w:p>
        </w:tc>
        <w:tc>
          <w:tcPr>
            <w:tcW w:type="dxa" w:w="2600"/>
            <w:shd w:fill="FFFFFF" w:val="clear"/>
            <w:tcMar>
              <w:top w:type="dxa" w:w="60"/>
              <w:left w:type="dxa" w:w="120"/>
              <w:bottom w:type="dxa" w:w="60"/>
              <w:right w:type="dxa" w:w="120"/>
            </w:tcMar>
          </w:tcPr>
          <w:p>
            <w:r>
              <w:rPr>
                <w:color w:val="2C2C2A"/>
                <w:sz w:val="20"/>
                <w:szCs w:val="20"/>
              </w:rPr>
              <w:t xml:space="preserve">Spraying: OPTIMAL</w:t>
            </w:r>
          </w:p>
        </w:tc>
        <w:tc>
          <w:tcPr>
            <w:tcW w:type="dxa" w:w="1800"/>
            <w:shd w:fill="FFFFFF" w:val="clear"/>
            <w:tcMar>
              <w:top w:type="dxa" w:w="60"/>
              <w:left w:type="dxa" w:w="120"/>
              <w:bottom w:type="dxa" w:w="60"/>
              <w:right w:type="dxa" w:w="120"/>
            </w:tcMar>
          </w:tcPr>
          <w:p>
            <w:r>
              <w:rPr>
                <w:color w:val="2C2C2A"/>
                <w:sz w:val="20"/>
                <w:szCs w:val="20"/>
              </w:rPr>
              <w:t xml:space="preserve">4 – 15 km/h</w:t>
            </w:r>
          </w:p>
        </w:tc>
        <w:tc>
          <w:tcPr>
            <w:tcW w:type="dxa" w:w="2760"/>
            <w:shd w:fill="FFFFFF" w:val="clear"/>
            <w:tcMar>
              <w:top w:type="dxa" w:w="60"/>
              <w:left w:type="dxa" w:w="120"/>
              <w:bottom w:type="dxa" w:w="60"/>
              <w:right w:type="dxa" w:w="120"/>
            </w:tcMar>
          </w:tcPr>
          <w:p>
            <w:r>
              <w:rPr>
                <w:color w:val="2C2C2A"/>
                <w:sz w:val="20"/>
                <w:szCs w:val="20"/>
              </w:rPr>
              <w:t xml:space="preserve">METOS / Pessl Instruments</w:t>
            </w:r>
          </w:p>
        </w:tc>
      </w:tr>
      <w:tr>
        <w:tc>
          <w:tcPr>
            <w:tcW w:type="dxa" w:w="2200"/>
            <w:shd w:fill="F4F2EB" w:val="clear"/>
            <w:tcMar>
              <w:top w:type="dxa" w:w="60"/>
              <w:left w:type="dxa" w:w="120"/>
              <w:bottom w:type="dxa" w:w="60"/>
              <w:right w:type="dxa" w:w="120"/>
            </w:tcMar>
          </w:tcPr>
          <w:p>
            <w:r>
              <w:rPr>
                <w:color w:val="2C2C2A"/>
                <w:sz w:val="20"/>
                <w:szCs w:val="20"/>
              </w:rPr>
              <w:t xml:space="preserve">Wind Speed</w:t>
            </w:r>
          </w:p>
        </w:tc>
        <w:tc>
          <w:tcPr>
            <w:tcW w:type="dxa" w:w="2600"/>
            <w:shd w:fill="F4F2EB" w:val="clear"/>
            <w:tcMar>
              <w:top w:type="dxa" w:w="60"/>
              <w:left w:type="dxa" w:w="120"/>
              <w:bottom w:type="dxa" w:w="60"/>
              <w:right w:type="dxa" w:w="120"/>
            </w:tcMar>
          </w:tcPr>
          <w:p>
            <w:r>
              <w:rPr>
                <w:color w:val="2C2C2A"/>
                <w:sz w:val="20"/>
                <w:szCs w:val="20"/>
              </w:rPr>
              <w:t xml:space="preserve">Inversion risk (do not spray)</w:t>
            </w:r>
          </w:p>
        </w:tc>
        <w:tc>
          <w:tcPr>
            <w:tcW w:type="dxa" w:w="1800"/>
            <w:shd w:fill="F4F2EB" w:val="clear"/>
            <w:tcMar>
              <w:top w:type="dxa" w:w="60"/>
              <w:left w:type="dxa" w:w="120"/>
              <w:bottom w:type="dxa" w:w="60"/>
              <w:right w:type="dxa" w:w="120"/>
            </w:tcMar>
          </w:tcPr>
          <w:p>
            <w:r>
              <w:rPr>
                <w:color w:val="2C2C2A"/>
                <w:sz w:val="20"/>
                <w:szCs w:val="20"/>
              </w:rPr>
              <w:t xml:space="preserve">&lt; 3 km/h at night</w:t>
            </w:r>
          </w:p>
        </w:tc>
        <w:tc>
          <w:tcPr>
            <w:tcW w:type="dxa" w:w="2760"/>
            <w:shd w:fill="F4F2EB" w:val="clear"/>
            <w:tcMar>
              <w:top w:type="dxa" w:w="60"/>
              <w:left w:type="dxa" w:w="120"/>
              <w:bottom w:type="dxa" w:w="60"/>
              <w:right w:type="dxa" w:w="120"/>
            </w:tcMar>
          </w:tcPr>
          <w:p>
            <w:r>
              <w:rPr>
                <w:color w:val="2C2C2A"/>
                <w:sz w:val="20"/>
                <w:szCs w:val="20"/>
              </w:rPr>
              <w:t xml:space="preserve">METOS / Pessl Instruments</w:t>
            </w:r>
          </w:p>
        </w:tc>
      </w:tr>
      <w:tr>
        <w:tc>
          <w:tcPr>
            <w:tcW w:type="dxa" w:w="2200"/>
            <w:shd w:fill="FFFFFF" w:val="clear"/>
            <w:tcMar>
              <w:top w:type="dxa" w:w="60"/>
              <w:left w:type="dxa" w:w="120"/>
              <w:bottom w:type="dxa" w:w="60"/>
              <w:right w:type="dxa" w:w="120"/>
            </w:tcMar>
          </w:tcPr>
          <w:p>
            <w:r>
              <w:rPr>
                <w:color w:val="2C2C2A"/>
                <w:sz w:val="20"/>
                <w:szCs w:val="20"/>
              </w:rPr>
              <w:t xml:space="preserve">Temperature</w:t>
            </w:r>
          </w:p>
        </w:tc>
        <w:tc>
          <w:tcPr>
            <w:tcW w:type="dxa" w:w="2600"/>
            <w:shd w:fill="FFFFFF" w:val="clear"/>
            <w:tcMar>
              <w:top w:type="dxa" w:w="60"/>
              <w:left w:type="dxa" w:w="120"/>
              <w:bottom w:type="dxa" w:w="60"/>
              <w:right w:type="dxa" w:w="120"/>
            </w:tcMar>
          </w:tcPr>
          <w:p>
            <w:r>
              <w:rPr>
                <w:color w:val="2C2C2A"/>
                <w:sz w:val="20"/>
                <w:szCs w:val="20"/>
              </w:rPr>
              <w:t xml:space="preserve">Chemical vaporisation risk</w:t>
            </w:r>
          </w:p>
        </w:tc>
        <w:tc>
          <w:tcPr>
            <w:tcW w:type="dxa" w:w="1800"/>
            <w:shd w:fill="FFFFFF" w:val="clear"/>
            <w:tcMar>
              <w:top w:type="dxa" w:w="60"/>
              <w:left w:type="dxa" w:w="120"/>
              <w:bottom w:type="dxa" w:w="60"/>
              <w:right w:type="dxa" w:w="120"/>
            </w:tcMar>
          </w:tcPr>
          <w:p>
            <w:r>
              <w:rPr>
                <w:color w:val="2C2C2A"/>
                <w:sz w:val="20"/>
                <w:szCs w:val="20"/>
              </w:rPr>
              <w:t xml:space="preserve">&gt; 30°C</w:t>
            </w:r>
          </w:p>
        </w:tc>
        <w:tc>
          <w:tcPr>
            <w:tcW w:type="dxa" w:w="2760"/>
            <w:shd w:fill="FFFFFF" w:val="clear"/>
            <w:tcMar>
              <w:top w:type="dxa" w:w="60"/>
              <w:left w:type="dxa" w:w="120"/>
              <w:bottom w:type="dxa" w:w="60"/>
              <w:right w:type="dxa" w:w="120"/>
            </w:tcMar>
          </w:tcPr>
          <w:p>
            <w:r>
              <w:rPr>
                <w:color w:val="2C2C2A"/>
                <w:sz w:val="20"/>
                <w:szCs w:val="20"/>
              </w:rPr>
              <w:t xml:space="preserve">Agrio / GRDC</w:t>
            </w:r>
          </w:p>
        </w:tc>
      </w:tr>
      <w:tr>
        <w:tc>
          <w:tcPr>
            <w:tcW w:type="dxa" w:w="2200"/>
            <w:shd w:fill="F4F2EB" w:val="clear"/>
            <w:tcMar>
              <w:top w:type="dxa" w:w="60"/>
              <w:left w:type="dxa" w:w="120"/>
              <w:bottom w:type="dxa" w:w="60"/>
              <w:right w:type="dxa" w:w="120"/>
            </w:tcMar>
          </w:tcPr>
          <w:p>
            <w:r>
              <w:rPr>
                <w:color w:val="2C2C2A"/>
                <w:sz w:val="20"/>
                <w:szCs w:val="20"/>
              </w:rPr>
              <w:t xml:space="preserve">Irrigation window</w:t>
            </w:r>
          </w:p>
        </w:tc>
        <w:tc>
          <w:tcPr>
            <w:tcW w:type="dxa" w:w="2600"/>
            <w:shd w:fill="F4F2EB" w:val="clear"/>
            <w:tcMar>
              <w:top w:type="dxa" w:w="60"/>
              <w:left w:type="dxa" w:w="120"/>
              <w:bottom w:type="dxa" w:w="60"/>
              <w:right w:type="dxa" w:w="120"/>
            </w:tcMar>
          </w:tcPr>
          <w:p>
            <w:r>
              <w:rPr>
                <w:color w:val="2C2C2A"/>
                <w:sz w:val="20"/>
                <w:szCs w:val="20"/>
              </w:rPr>
              <w:t xml:space="preserve">OPTIMAL (minimise evaporation)</w:t>
            </w:r>
          </w:p>
        </w:tc>
        <w:tc>
          <w:tcPr>
            <w:tcW w:type="dxa" w:w="1800"/>
            <w:shd w:fill="F4F2EB" w:val="clear"/>
            <w:tcMar>
              <w:top w:type="dxa" w:w="60"/>
              <w:left w:type="dxa" w:w="120"/>
              <w:bottom w:type="dxa" w:w="60"/>
              <w:right w:type="dxa" w:w="120"/>
            </w:tcMar>
          </w:tcPr>
          <w:p>
            <w:r>
              <w:rPr>
                <w:color w:val="2C2C2A"/>
                <w:sz w:val="20"/>
                <w:szCs w:val="20"/>
              </w:rPr>
              <w:t xml:space="preserve">05:00 – 09:00</w:t>
            </w:r>
          </w:p>
        </w:tc>
        <w:tc>
          <w:tcPr>
            <w:tcW w:type="dxa" w:w="2760"/>
            <w:shd w:fill="F4F2EB" w:val="clear"/>
            <w:tcMar>
              <w:top w:type="dxa" w:w="60"/>
              <w:left w:type="dxa" w:w="120"/>
              <w:bottom w:type="dxa" w:w="60"/>
              <w:right w:type="dxa" w:w="120"/>
            </w:tcMar>
          </w:tcPr>
          <w:p>
            <w:r>
              <w:rPr>
                <w:color w:val="2C2C2A"/>
                <w:sz w:val="20"/>
                <w:szCs w:val="20"/>
              </w:rPr>
              <w:t xml:space="preserve">Standard agronomy</w:t>
            </w:r>
          </w:p>
        </w:tc>
      </w:tr>
      <w:tr>
        <w:tc>
          <w:tcPr>
            <w:tcW w:type="dxa" w:w="2200"/>
            <w:shd w:fill="FFFFFF" w:val="clear"/>
            <w:tcMar>
              <w:top w:type="dxa" w:w="60"/>
              <w:left w:type="dxa" w:w="120"/>
              <w:bottom w:type="dxa" w:w="60"/>
              <w:right w:type="dxa" w:w="120"/>
            </w:tcMar>
          </w:tcPr>
          <w:p>
            <w:r>
              <w:rPr>
                <w:color w:val="2C2C2A"/>
                <w:sz w:val="20"/>
                <w:szCs w:val="20"/>
              </w:rPr>
              <w:t xml:space="preserve">Soil temp (0–10cm)</w:t>
            </w:r>
          </w:p>
        </w:tc>
        <w:tc>
          <w:tcPr>
            <w:tcW w:type="dxa" w:w="2600"/>
            <w:shd w:fill="FFFFFF" w:val="clear"/>
            <w:tcMar>
              <w:top w:type="dxa" w:w="60"/>
              <w:left w:type="dxa" w:w="120"/>
              <w:bottom w:type="dxa" w:w="60"/>
              <w:right w:type="dxa" w:w="120"/>
            </w:tcMar>
          </w:tcPr>
          <w:p>
            <w:r>
              <w:rPr>
                <w:color w:val="2C2C2A"/>
                <w:sz w:val="20"/>
                <w:szCs w:val="20"/>
              </w:rPr>
              <w:t xml:space="preserve">Wheat germination minimum</w:t>
            </w:r>
          </w:p>
        </w:tc>
        <w:tc>
          <w:tcPr>
            <w:tcW w:type="dxa" w:w="1800"/>
            <w:shd w:fill="FFFFFF" w:val="clear"/>
            <w:tcMar>
              <w:top w:type="dxa" w:w="60"/>
              <w:left w:type="dxa" w:w="120"/>
              <w:bottom w:type="dxa" w:w="60"/>
              <w:right w:type="dxa" w:w="120"/>
            </w:tcMar>
          </w:tcPr>
          <w:p>
            <w:r>
              <w:rPr>
                <w:color w:val="2C2C2A"/>
                <w:sz w:val="20"/>
                <w:szCs w:val="20"/>
              </w:rPr>
              <w:t xml:space="preserve">&gt; 5°C</w:t>
            </w:r>
          </w:p>
        </w:tc>
        <w:tc>
          <w:tcPr>
            <w:tcW w:type="dxa" w:w="2760"/>
            <w:shd w:fill="FFFFFF" w:val="clear"/>
            <w:tcMar>
              <w:top w:type="dxa" w:w="60"/>
              <w:left w:type="dxa" w:w="120"/>
              <w:bottom w:type="dxa" w:w="60"/>
              <w:right w:type="dxa" w:w="120"/>
            </w:tcMar>
          </w:tcPr>
          <w:p>
            <w:r>
              <w:rPr>
                <w:color w:val="2C2C2A"/>
                <w:sz w:val="20"/>
                <w:szCs w:val="20"/>
              </w:rPr>
              <w:t xml:space="preserve">Standard agronomy</w:t>
            </w:r>
          </w:p>
        </w:tc>
      </w:tr>
      <w:tr>
        <w:tc>
          <w:tcPr>
            <w:tcW w:type="dxa" w:w="2200"/>
            <w:shd w:fill="F4F2EB" w:val="clear"/>
            <w:tcMar>
              <w:top w:type="dxa" w:w="60"/>
              <w:left w:type="dxa" w:w="120"/>
              <w:bottom w:type="dxa" w:w="60"/>
              <w:right w:type="dxa" w:w="120"/>
            </w:tcMar>
          </w:tcPr>
          <w:p>
            <w:r>
              <w:rPr>
                <w:color w:val="2C2C2A"/>
                <w:sz w:val="20"/>
                <w:szCs w:val="20"/>
              </w:rPr>
              <w:t xml:space="preserve">Soil temp (0–10cm)</w:t>
            </w:r>
          </w:p>
        </w:tc>
        <w:tc>
          <w:tcPr>
            <w:tcW w:type="dxa" w:w="2600"/>
            <w:shd w:fill="F4F2EB" w:val="clear"/>
            <w:tcMar>
              <w:top w:type="dxa" w:w="60"/>
              <w:left w:type="dxa" w:w="120"/>
              <w:bottom w:type="dxa" w:w="60"/>
              <w:right w:type="dxa" w:w="120"/>
            </w:tcMar>
          </w:tcPr>
          <w:p>
            <w:r>
              <w:rPr>
                <w:color w:val="2C2C2A"/>
                <w:sz w:val="20"/>
                <w:szCs w:val="20"/>
              </w:rPr>
              <w:t xml:space="preserve">Maize germination minimum</w:t>
            </w:r>
          </w:p>
        </w:tc>
        <w:tc>
          <w:tcPr>
            <w:tcW w:type="dxa" w:w="1800"/>
            <w:shd w:fill="F4F2EB" w:val="clear"/>
            <w:tcMar>
              <w:top w:type="dxa" w:w="60"/>
              <w:left w:type="dxa" w:w="120"/>
              <w:bottom w:type="dxa" w:w="60"/>
              <w:right w:type="dxa" w:w="120"/>
            </w:tcMar>
          </w:tcPr>
          <w:p>
            <w:r>
              <w:rPr>
                <w:color w:val="2C2C2A"/>
                <w:sz w:val="20"/>
                <w:szCs w:val="20"/>
              </w:rPr>
              <w:t xml:space="preserve">&gt; 12°C</w:t>
            </w:r>
          </w:p>
        </w:tc>
        <w:tc>
          <w:tcPr>
            <w:tcW w:type="dxa" w:w="2760"/>
            <w:shd w:fill="F4F2EB" w:val="clear"/>
            <w:tcMar>
              <w:top w:type="dxa" w:w="60"/>
              <w:left w:type="dxa" w:w="120"/>
              <w:bottom w:type="dxa" w:w="60"/>
              <w:right w:type="dxa" w:w="120"/>
            </w:tcMar>
          </w:tcPr>
          <w:p>
            <w:r>
              <w:rPr>
                <w:color w:val="2C2C2A"/>
                <w:sz w:val="20"/>
                <w:szCs w:val="20"/>
              </w:rPr>
              <w:t xml:space="preserve">Standard agronomy</w:t>
            </w:r>
          </w:p>
        </w:tc>
      </w:tr>
    </w:tbl>
    <w:p>
      <w:pPr>
        <w:spacing w:before="160"/>
      </w:pPr>
    </w:p>
    <w:p>
      <w:pPr>
        <w:pStyle w:val="Heading2"/>
        <w:spacing w:after="80" w:before="280"/>
      </w:pPr>
      <w:r>
        <w:t xml:space="preserve">3.2 OCR &amp; Document AI — Corrected Recommendations</w:t>
      </w:r>
    </w:p>
    <w:p>
      <w:pPr>
        <w:pStyle w:val="Heading3"/>
        <w:spacing w:after="60" w:before="200"/>
      </w:pPr>
      <w:r>
        <w:t xml:space="preserve">Recommended Pipeline for GramIQ (Corrected)</w:t>
      </w:r>
    </w:p>
    <w:p>
      <w:pPr>
        <w:pStyle w:val="ListParagraph"/>
        <w:numPr>
          <w:ilvl w:val="0"/>
          <w:numId w:val="3"/>
        </w:numPr>
        <w:spacing w:after="80"/>
      </w:pPr>
      <w:r>
        <w:rPr>
          <w:b/>
          <w:bCs/>
          <w:color w:val="2C2C2A"/>
          <w:sz w:val="22"/>
          <w:szCs w:val="22"/>
        </w:rPr>
        <w:t xml:space="preserve">Image enhancement: </w:t>
      </w:r>
      <w:r>
        <w:rPr>
          <w:color w:val="2C2C2A"/>
          <w:sz w:val="22"/>
          <w:szCs w:val="22"/>
        </w:rPr>
        <w:t xml:space="preserve">OpenCV — deskew, CLAHE contrast normalisation, bilateral noise filter. Free, runs on-device in Flutter via opencv_dart package.</w:t>
      </w:r>
    </w:p>
    <w:p>
      <w:pPr>
        <w:pStyle w:val="ListParagraph"/>
        <w:numPr>
          <w:ilvl w:val="0"/>
          <w:numId w:val="3"/>
        </w:numPr>
        <w:spacing w:after="80"/>
      </w:pPr>
      <w:r>
        <w:rPr>
          <w:b/>
          <w:bCs/>
          <w:color w:val="2C2C2A"/>
          <w:sz w:val="22"/>
          <w:szCs w:val="22"/>
        </w:rPr>
        <w:t xml:space="preserve">OCR layer: </w:t>
      </w:r>
      <w:hyperlink w:history="1" r:id="rIdt40hqgz17zjldtnqpkl4a">
        <w:r>
          <w:rPr>
            <w:color w:val="1A5FA8"/>
            <w:sz w:val="22"/>
            <w:szCs w:val="22"/>
            <w:u w:val="single"/>
          </w:rPr>
          <w:t xml:space="preserve">PaddleOCR</w:t>
        </w:r>
      </w:hyperlink>
      <w:r>
        <w:rPr>
          <w:color w:val="2C2C2A"/>
          <w:sz w:val="22"/>
          <w:szCs w:val="22"/>
        </w:rPr>
        <w:t xml:space="preserve"> (v4.x, Apache-2.0, 70k★). Use PP-OCRv4 with Hindi (hi) and Marathi (mr) language models. Run server-side via Python FastAPI microservice.</w:t>
      </w:r>
    </w:p>
    <w:p>
      <w:pPr>
        <w:pStyle w:val="ListParagraph"/>
        <w:numPr>
          <w:ilvl w:val="0"/>
          <w:numId w:val="3"/>
        </w:numPr>
        <w:spacing w:after="80"/>
      </w:pPr>
      <w:r>
        <w:rPr>
          <w:b/>
          <w:bCs/>
          <w:color w:val="2C2C2A"/>
          <w:sz w:val="22"/>
          <w:szCs w:val="22"/>
        </w:rPr>
        <w:t xml:space="preserve">AI structuring: </w:t>
      </w:r>
      <w:r>
        <w:rPr>
          <w:color w:val="2C2C2A"/>
          <w:sz w:val="22"/>
          <w:szCs w:val="22"/>
        </w:rPr>
        <w:t xml:space="preserve">Pass OCR text + original image to Gemini 1.5 Pro (already chosen for GramIQ). Do NOT add a separate VLM layer — Gemini handles both OCR correction and JSON structuring in one call, as already designed.</w:t>
      </w:r>
    </w:p>
    <w:p>
      <w:pPr>
        <w:pStyle w:val="ListParagraph"/>
        <w:numPr>
          <w:ilvl w:val="0"/>
          <w:numId w:val="3"/>
        </w:numPr>
        <w:spacing w:after="80"/>
      </w:pPr>
      <w:r>
        <w:rPr>
          <w:b/>
          <w:bCs/>
          <w:color w:val="2C2C2A"/>
          <w:sz w:val="22"/>
          <w:szCs w:val="22"/>
        </w:rPr>
        <w:t xml:space="preserve">Category classification: </w:t>
      </w:r>
      <w:r>
        <w:rPr>
          <w:color w:val="2C2C2A"/>
          <w:sz w:val="22"/>
          <w:szCs w:val="22"/>
        </w:rPr>
        <w:t xml:space="preserve">Use a keyword-taxonomy lookup first (e.g., "बीज" → seeds). For ambiguous entries, use Gemini with a classification prompt. Build the taxonomy in JSON and version-control it.</w:t>
      </w:r>
    </w:p>
    <w:p>
      <w:pPr>
        <w:pStyle w:val="ListParagraph"/>
        <w:numPr>
          <w:ilvl w:val="0"/>
          <w:numId w:val="3"/>
        </w:numPr>
        <w:spacing w:after="80"/>
      </w:pPr>
      <w:r>
        <w:rPr>
          <w:b/>
          <w:bCs/>
          <w:color w:val="2C2C2A"/>
          <w:sz w:val="22"/>
          <w:szCs w:val="22"/>
        </w:rPr>
        <w:t xml:space="preserve">Confidence scoring: </w:t>
      </w:r>
      <w:r>
        <w:rPr>
          <w:color w:val="2C2C2A"/>
          <w:sz w:val="22"/>
          <w:szCs w:val="22"/>
        </w:rPr>
        <w:t xml:space="preserve">Use Gemini's per-field confidence from the extraction prompt (already designed). Threshold: &lt; 0.75 → amber row in farmer review UI.</w:t>
      </w:r>
    </w:p>
    <w:p>
      <w:pPr>
        <w:pStyle w:val="ListParagraph"/>
        <w:numPr>
          <w:ilvl w:val="0"/>
          <w:numId w:val="3"/>
        </w:numPr>
        <w:spacing w:after="80"/>
      </w:pPr>
      <w:r>
        <w:rPr>
          <w:b/>
          <w:bCs/>
          <w:color w:val="2C2C2A"/>
          <w:sz w:val="22"/>
          <w:szCs w:val="22"/>
        </w:rPr>
        <w:t xml:space="preserve">Human review: </w:t>
      </w:r>
      <w:r>
        <w:rPr>
          <w:color w:val="2C2C2A"/>
          <w:sz w:val="22"/>
          <w:szCs w:val="22"/>
        </w:rPr>
        <w:t xml:space="preserve">Farmer self-review screen (already designed in GramIQ PRD). No separate agent review needed for v1.</w:t>
      </w:r>
    </w:p>
    <w:p>
      <w:pPr>
        <w:spacing w:before="80"/>
      </w:pPr>
    </w:p>
    <w:tbl>
      <w:tblPr>
        <w:tblW w:type="dxa" w:w="9360"/>
        <w:tblBorders>
          <w:top w:val="none"/>
          <w:left w:val="thick" w:color="92570A" w:sz="16"/>
          <w:bottom w:val="none"/>
          <w:right w:val="none"/>
          <w:insideH w:val="single" w:color="auto" w:sz="4"/>
          <w:insideV w:val="single" w:color="auto" w:sz="4"/>
        </w:tblBorders>
      </w:tblPr>
      <w:tblGrid>
        <w:gridCol w:w="9360"/>
      </w:tblGrid>
      <w:tr>
        <w:tc>
          <w:tcPr>
            <w:shd w:fill="FEF3E2" w:val="clear"/>
            <w:tcMar>
              <w:top w:type="dxa" w:w="80"/>
              <w:left w:type="dxa" w:w="200"/>
              <w:bottom w:type="dxa" w:w="80"/>
              <w:right w:type="dxa" w:w="160"/>
            </w:tcMar>
          </w:tcPr>
          <w:p>
            <w:r>
              <w:rPr>
                <w:i/>
                <w:iCs/>
                <w:color w:val="92570A"/>
                <w:sz w:val="21"/>
                <w:szCs w:val="21"/>
              </w:rPr>
              <w:t xml:space="preserve">Do NOT add Donut, LayoutLM, TrOCR, or CascadeTabNet to the v1 pipeline. Each adds infrastructure complexity, GPU requirements, and maintenance overhead. The two-stage pipeline (PaddleOCR → Gemini) already handles the full problem. Add specialist models only if production accuracy data shows a specific failure mode they address.</w:t>
            </w:r>
          </w:p>
        </w:tc>
      </w:tr>
    </w:tbl>
    <w:p>
      <w:pPr>
        <w:spacing w:before="160"/>
      </w:pPr>
    </w:p>
    <w:p>
      <w:pPr>
        <w:pStyle w:val="Heading3"/>
        <w:spacing w:after="60" w:before="200"/>
      </w:pPr>
      <w:r>
        <w:t xml:space="preserve">Corrected Model Reference Table</w:t>
      </w:r>
    </w:p>
    <w:tbl>
      <w:tblPr>
        <w:tblW w:type="dxa" w:w="9360"/>
        <w:tblBorders>
          <w:top w:val="single" w:color="D3D1C7" w:sz="4"/>
          <w:left w:val="single" w:color="D3D1C7" w:sz="4"/>
          <w:bottom w:val="single" w:color="D3D1C7" w:sz="4"/>
          <w:right w:val="single" w:color="D3D1C7" w:sz="4"/>
          <w:insideH w:val="single" w:color="auto" w:sz="4"/>
          <w:insideV w:val="single" w:color="auto" w:sz="4"/>
        </w:tblBorders>
      </w:tblPr>
      <w:tblGrid>
        <w:gridCol w:w="2000"/>
        <w:gridCol w:w="1800"/>
        <w:gridCol w:w="1400"/>
        <w:gridCol w:w="1600"/>
        <w:gridCol w:w="1200"/>
        <w:gridCol w:w="1360"/>
      </w:tblGrid>
      <w:tr>
        <w:trPr>
          <w:tblHeader/>
        </w:trPr>
        <w:tc>
          <w:tcPr>
            <w:tcW w:type="dxa" w:w="2000"/>
            <w:shd w:fill="1D9E75" w:val="clear"/>
            <w:tcMar>
              <w:top w:type="dxa" w:w="80"/>
              <w:left w:type="dxa" w:w="120"/>
              <w:bottom w:type="dxa" w:w="80"/>
              <w:right w:type="dxa" w:w="120"/>
            </w:tcMar>
          </w:tcPr>
          <w:p>
            <w:r>
              <w:rPr>
                <w:b/>
                <w:bCs/>
                <w:color w:val="FFFFFF"/>
                <w:sz w:val="20"/>
                <w:szCs w:val="20"/>
              </w:rPr>
              <w:t xml:space="preserve">Model</w:t>
            </w:r>
          </w:p>
        </w:tc>
        <w:tc>
          <w:tcPr>
            <w:tcW w:type="dxa" w:w="1800"/>
            <w:shd w:fill="1D9E75" w:val="clear"/>
            <w:tcMar>
              <w:top w:type="dxa" w:w="80"/>
              <w:left w:type="dxa" w:w="120"/>
              <w:bottom w:type="dxa" w:w="80"/>
              <w:right w:type="dxa" w:w="120"/>
            </w:tcMar>
          </w:tcPr>
          <w:p>
            <w:r>
              <w:rPr>
                <w:b/>
                <w:bCs/>
                <w:color w:val="FFFFFF"/>
                <w:sz w:val="20"/>
                <w:szCs w:val="20"/>
              </w:rPr>
              <w:t xml:space="preserve">Correct Params</w:t>
            </w:r>
          </w:p>
        </w:tc>
        <w:tc>
          <w:tcPr>
            <w:tcW w:type="dxa" w:w="1400"/>
            <w:shd w:fill="1D9E75" w:val="clear"/>
            <w:tcMar>
              <w:top w:type="dxa" w:w="80"/>
              <w:left w:type="dxa" w:w="120"/>
              <w:bottom w:type="dxa" w:w="80"/>
              <w:right w:type="dxa" w:w="120"/>
            </w:tcMar>
          </w:tcPr>
          <w:p>
            <w:r>
              <w:rPr>
                <w:b/>
                <w:bCs/>
                <w:color w:val="FFFFFF"/>
                <w:sz w:val="20"/>
                <w:szCs w:val="20"/>
              </w:rPr>
              <w:t xml:space="preserve">Licence</w:t>
            </w:r>
          </w:p>
        </w:tc>
        <w:tc>
          <w:tcPr>
            <w:tcW w:type="dxa" w:w="1600"/>
            <w:shd w:fill="1D9E75" w:val="clear"/>
            <w:tcMar>
              <w:top w:type="dxa" w:w="80"/>
              <w:left w:type="dxa" w:w="120"/>
              <w:bottom w:type="dxa" w:w="80"/>
              <w:right w:type="dxa" w:w="120"/>
            </w:tcMar>
          </w:tcPr>
          <w:p>
            <w:r>
              <w:rPr>
                <w:b/>
                <w:bCs/>
                <w:color w:val="FFFFFF"/>
                <w:sz w:val="20"/>
                <w:szCs w:val="20"/>
              </w:rPr>
              <w:t xml:space="preserve">Hindi/Marathi?</w:t>
            </w:r>
          </w:p>
        </w:tc>
        <w:tc>
          <w:tcPr>
            <w:tcW w:type="dxa" w:w="1200"/>
            <w:shd w:fill="1D9E75" w:val="clear"/>
            <w:tcMar>
              <w:top w:type="dxa" w:w="80"/>
              <w:left w:type="dxa" w:w="120"/>
              <w:bottom w:type="dxa" w:w="80"/>
              <w:right w:type="dxa" w:w="120"/>
            </w:tcMar>
          </w:tcPr>
          <w:p>
            <w:r>
              <w:rPr>
                <w:b/>
                <w:bCs/>
                <w:color w:val="FFFFFF"/>
                <w:sz w:val="20"/>
                <w:szCs w:val="20"/>
              </w:rPr>
              <w:t xml:space="preserve">Offline?</w:t>
            </w:r>
          </w:p>
        </w:tc>
        <w:tc>
          <w:tcPr>
            <w:tcW w:type="dxa" w:w="1360"/>
            <w:shd w:fill="1D9E75" w:val="clear"/>
            <w:tcMar>
              <w:top w:type="dxa" w:w="80"/>
              <w:left w:type="dxa" w:w="120"/>
              <w:bottom w:type="dxa" w:w="80"/>
              <w:right w:type="dxa" w:w="120"/>
            </w:tcMar>
          </w:tcPr>
          <w:p>
            <w:r>
              <w:rPr>
                <w:b/>
                <w:bCs/>
                <w:color w:val="FFFFFF"/>
                <w:sz w:val="20"/>
                <w:szCs w:val="20"/>
              </w:rPr>
              <w:t xml:space="preserve">GramIQ Relevance</w:t>
            </w:r>
          </w:p>
        </w:tc>
      </w:tr>
      <w:tr>
        <w:tc>
          <w:tcPr>
            <w:tcW w:type="dxa" w:w="2000"/>
            <w:shd w:fill="FFFFFF" w:val="clear"/>
            <w:tcMar>
              <w:top w:type="dxa" w:w="60"/>
              <w:left w:type="dxa" w:w="120"/>
              <w:bottom w:type="dxa" w:w="60"/>
              <w:right w:type="dxa" w:w="120"/>
            </w:tcMar>
          </w:tcPr>
          <w:p>
            <w:r>
              <w:rPr>
                <w:color w:val="2C2C2A"/>
                <w:sz w:val="20"/>
                <w:szCs w:val="20"/>
              </w:rPr>
              <w:t xml:space="preserve">PaddleOCR v4</w:t>
            </w:r>
          </w:p>
        </w:tc>
        <w:tc>
          <w:tcPr>
            <w:tcW w:type="dxa" w:w="1800"/>
            <w:shd w:fill="FFFFFF" w:val="clear"/>
            <w:tcMar>
              <w:top w:type="dxa" w:w="60"/>
              <w:left w:type="dxa" w:w="120"/>
              <w:bottom w:type="dxa" w:w="60"/>
              <w:right w:type="dxa" w:w="120"/>
            </w:tcMar>
          </w:tcPr>
          <w:p>
            <w:r>
              <w:rPr>
                <w:color w:val="2C2C2A"/>
                <w:sz w:val="20"/>
                <w:szCs w:val="20"/>
              </w:rPr>
              <w:t xml:space="preserve">Various (3M–50M)</w:t>
            </w:r>
          </w:p>
        </w:tc>
        <w:tc>
          <w:tcPr>
            <w:tcW w:type="dxa" w:w="1400"/>
            <w:shd w:fill="FFFFFF" w:val="clear"/>
            <w:tcMar>
              <w:top w:type="dxa" w:w="60"/>
              <w:left w:type="dxa" w:w="120"/>
              <w:bottom w:type="dxa" w:w="60"/>
              <w:right w:type="dxa" w:w="120"/>
            </w:tcMar>
          </w:tcPr>
          <w:p>
            <w:r>
              <w:rPr>
                <w:color w:val="2C2C2A"/>
                <w:sz w:val="20"/>
                <w:szCs w:val="20"/>
              </w:rPr>
              <w:t xml:space="preserve">Apache-2.0</w:t>
            </w:r>
          </w:p>
        </w:tc>
        <w:tc>
          <w:tcPr>
            <w:tcW w:type="dxa" w:w="1600"/>
            <w:shd w:fill="FFFFFF" w:val="clear"/>
            <w:tcMar>
              <w:top w:type="dxa" w:w="60"/>
              <w:left w:type="dxa" w:w="120"/>
              <w:bottom w:type="dxa" w:w="60"/>
              <w:right w:type="dxa" w:w="120"/>
            </w:tcMar>
          </w:tcPr>
          <w:p>
            <w:r>
              <w:rPr>
                <w:color w:val="2C2C2A"/>
                <w:sz w:val="20"/>
                <w:szCs w:val="20"/>
              </w:rPr>
              <w:t xml:space="preserve">✓ Yes (Devanagari)</w:t>
            </w:r>
          </w:p>
        </w:tc>
        <w:tc>
          <w:tcPr>
            <w:tcW w:type="dxa" w:w="1200"/>
            <w:shd w:fill="FFFFFF" w:val="clear"/>
            <w:tcMar>
              <w:top w:type="dxa" w:w="60"/>
              <w:left w:type="dxa" w:w="120"/>
              <w:bottom w:type="dxa" w:w="60"/>
              <w:right w:type="dxa" w:w="120"/>
            </w:tcMar>
          </w:tcPr>
          <w:p>
            <w:r>
              <w:rPr>
                <w:color w:val="2C2C2A"/>
                <w:sz w:val="20"/>
                <w:szCs w:val="20"/>
              </w:rPr>
              <w:t xml:space="preserve">✓ Yes</w:t>
            </w:r>
          </w:p>
        </w:tc>
        <w:tc>
          <w:tcPr>
            <w:tcW w:type="dxa" w:w="1360"/>
            <w:shd w:fill="FFFFFF" w:val="clear"/>
            <w:tcMar>
              <w:top w:type="dxa" w:w="60"/>
              <w:left w:type="dxa" w:w="120"/>
              <w:bottom w:type="dxa" w:w="60"/>
              <w:right w:type="dxa" w:w="120"/>
            </w:tcMar>
          </w:tcPr>
          <w:p>
            <w:r>
              <w:rPr>
                <w:color w:val="2C2C2A"/>
                <w:sz w:val="20"/>
                <w:szCs w:val="20"/>
              </w:rPr>
              <w:t xml:space="preserve">HIGH — primary OCR engine</w:t>
            </w:r>
          </w:p>
        </w:tc>
      </w:tr>
      <w:tr>
        <w:tc>
          <w:tcPr>
            <w:tcW w:type="dxa" w:w="2000"/>
            <w:shd w:fill="F4F2EB" w:val="clear"/>
            <w:tcMar>
              <w:top w:type="dxa" w:w="60"/>
              <w:left w:type="dxa" w:w="120"/>
              <w:bottom w:type="dxa" w:w="60"/>
              <w:right w:type="dxa" w:w="120"/>
            </w:tcMar>
          </w:tcPr>
          <w:p>
            <w:r>
              <w:rPr>
                <w:color w:val="2C2C2A"/>
                <w:sz w:val="20"/>
                <w:szCs w:val="20"/>
              </w:rPr>
              <w:t xml:space="preserve">EasyOCR</w:t>
            </w:r>
          </w:p>
        </w:tc>
        <w:tc>
          <w:tcPr>
            <w:tcW w:type="dxa" w:w="1800"/>
            <w:shd w:fill="F4F2EB" w:val="clear"/>
            <w:tcMar>
              <w:top w:type="dxa" w:w="60"/>
              <w:left w:type="dxa" w:w="120"/>
              <w:bottom w:type="dxa" w:w="60"/>
              <w:right w:type="dxa" w:w="120"/>
            </w:tcMar>
          </w:tcPr>
          <w:p>
            <w:r>
              <w:rPr>
                <w:color w:val="2C2C2A"/>
                <w:sz w:val="20"/>
                <w:szCs w:val="20"/>
              </w:rPr>
              <w:t xml:space="preserve">Various</w:t>
            </w:r>
          </w:p>
        </w:tc>
        <w:tc>
          <w:tcPr>
            <w:tcW w:type="dxa" w:w="1400"/>
            <w:shd w:fill="F4F2EB" w:val="clear"/>
            <w:tcMar>
              <w:top w:type="dxa" w:w="60"/>
              <w:left w:type="dxa" w:w="120"/>
              <w:bottom w:type="dxa" w:w="60"/>
              <w:right w:type="dxa" w:w="120"/>
            </w:tcMar>
          </w:tcPr>
          <w:p>
            <w:r>
              <w:rPr>
                <w:color w:val="2C2C2A"/>
                <w:sz w:val="20"/>
                <w:szCs w:val="20"/>
              </w:rPr>
              <w:t xml:space="preserve">Apache-2.0</w:t>
            </w:r>
          </w:p>
        </w:tc>
        <w:tc>
          <w:tcPr>
            <w:tcW w:type="dxa" w:w="1600"/>
            <w:shd w:fill="F4F2EB" w:val="clear"/>
            <w:tcMar>
              <w:top w:type="dxa" w:w="60"/>
              <w:left w:type="dxa" w:w="120"/>
              <w:bottom w:type="dxa" w:w="60"/>
              <w:right w:type="dxa" w:w="120"/>
            </w:tcMar>
          </w:tcPr>
          <w:p>
            <w:r>
              <w:rPr>
                <w:color w:val="2C2C2A"/>
                <w:sz w:val="20"/>
                <w:szCs w:val="20"/>
              </w:rPr>
              <w:t xml:space="preserve">✓ Yes</w:t>
            </w:r>
          </w:p>
        </w:tc>
        <w:tc>
          <w:tcPr>
            <w:tcW w:type="dxa" w:w="1200"/>
            <w:shd w:fill="F4F2EB" w:val="clear"/>
            <w:tcMar>
              <w:top w:type="dxa" w:w="60"/>
              <w:left w:type="dxa" w:w="120"/>
              <w:bottom w:type="dxa" w:w="60"/>
              <w:right w:type="dxa" w:w="120"/>
            </w:tcMar>
          </w:tcPr>
          <w:p>
            <w:r>
              <w:rPr>
                <w:color w:val="2C2C2A"/>
                <w:sz w:val="20"/>
                <w:szCs w:val="20"/>
              </w:rPr>
              <w:t xml:space="preserve">✓ Yes</w:t>
            </w:r>
          </w:p>
        </w:tc>
        <w:tc>
          <w:tcPr>
            <w:tcW w:type="dxa" w:w="1360"/>
            <w:shd w:fill="F4F2EB" w:val="clear"/>
            <w:tcMar>
              <w:top w:type="dxa" w:w="60"/>
              <w:left w:type="dxa" w:w="120"/>
              <w:bottom w:type="dxa" w:w="60"/>
              <w:right w:type="dxa" w:w="120"/>
            </w:tcMar>
          </w:tcPr>
          <w:p>
            <w:r>
              <w:rPr>
                <w:color w:val="2C2C2A"/>
                <w:sz w:val="20"/>
                <w:szCs w:val="20"/>
              </w:rPr>
              <w:t xml:space="preserve">MEDIUM — simpler alternative to Paddle</w:t>
            </w:r>
          </w:p>
        </w:tc>
      </w:tr>
      <w:tr>
        <w:tc>
          <w:tcPr>
            <w:tcW w:type="dxa" w:w="2000"/>
            <w:shd w:fill="FFFFFF" w:val="clear"/>
            <w:tcMar>
              <w:top w:type="dxa" w:w="60"/>
              <w:left w:type="dxa" w:w="120"/>
              <w:bottom w:type="dxa" w:w="60"/>
              <w:right w:type="dxa" w:w="120"/>
            </w:tcMar>
          </w:tcPr>
          <w:p>
            <w:r>
              <w:rPr>
                <w:color w:val="2C2C2A"/>
                <w:sz w:val="20"/>
                <w:szCs w:val="20"/>
              </w:rPr>
              <w:t xml:space="preserve">Donut</w:t>
            </w:r>
          </w:p>
        </w:tc>
        <w:tc>
          <w:tcPr>
            <w:tcW w:type="dxa" w:w="1800"/>
            <w:shd w:fill="FFFFFF" w:val="clear"/>
            <w:tcMar>
              <w:top w:type="dxa" w:w="60"/>
              <w:left w:type="dxa" w:w="120"/>
              <w:bottom w:type="dxa" w:w="60"/>
              <w:right w:type="dxa" w:w="120"/>
            </w:tcMar>
          </w:tcPr>
          <w:p>
            <w:r>
              <w:rPr>
                <w:color w:val="2C2C2A"/>
                <w:sz w:val="20"/>
                <w:szCs w:val="20"/>
              </w:rPr>
              <w:t xml:space="preserve">~200M</w:t>
            </w:r>
          </w:p>
        </w:tc>
        <w:tc>
          <w:tcPr>
            <w:tcW w:type="dxa" w:w="1400"/>
            <w:shd w:fill="FFFFFF" w:val="clear"/>
            <w:tcMar>
              <w:top w:type="dxa" w:w="60"/>
              <w:left w:type="dxa" w:w="120"/>
              <w:bottom w:type="dxa" w:w="60"/>
              <w:right w:type="dxa" w:w="120"/>
            </w:tcMar>
          </w:tcPr>
          <w:p>
            <w:r>
              <w:rPr>
                <w:color w:val="2C2C2A"/>
                <w:sz w:val="20"/>
                <w:szCs w:val="20"/>
              </w:rPr>
              <w:t xml:space="preserve">MIT</w:t>
            </w:r>
          </w:p>
        </w:tc>
        <w:tc>
          <w:tcPr>
            <w:tcW w:type="dxa" w:w="1600"/>
            <w:shd w:fill="FFFFFF" w:val="clear"/>
            <w:tcMar>
              <w:top w:type="dxa" w:w="60"/>
              <w:left w:type="dxa" w:w="120"/>
              <w:bottom w:type="dxa" w:w="60"/>
              <w:right w:type="dxa" w:w="120"/>
            </w:tcMar>
          </w:tcPr>
          <w:p>
            <w:r>
              <w:rPr>
                <w:color w:val="2C2C2A"/>
                <w:sz w:val="20"/>
                <w:szCs w:val="20"/>
              </w:rPr>
              <w:t xml:space="preserve">✗ English-only pretrain</w:t>
            </w:r>
          </w:p>
        </w:tc>
        <w:tc>
          <w:tcPr>
            <w:tcW w:type="dxa" w:w="1200"/>
            <w:shd w:fill="FFFFFF" w:val="clear"/>
            <w:tcMar>
              <w:top w:type="dxa" w:w="60"/>
              <w:left w:type="dxa" w:w="120"/>
              <w:bottom w:type="dxa" w:w="60"/>
              <w:right w:type="dxa" w:w="120"/>
            </w:tcMar>
          </w:tcPr>
          <w:p>
            <w:r>
              <w:rPr>
                <w:color w:val="2C2C2A"/>
                <w:sz w:val="20"/>
                <w:szCs w:val="20"/>
              </w:rPr>
              <w:t xml:space="preserve">✓ Yes (GPU)</w:t>
            </w:r>
          </w:p>
        </w:tc>
        <w:tc>
          <w:tcPr>
            <w:tcW w:type="dxa" w:w="1360"/>
            <w:shd w:fill="FFFFFF" w:val="clear"/>
            <w:tcMar>
              <w:top w:type="dxa" w:w="60"/>
              <w:left w:type="dxa" w:w="120"/>
              <w:bottom w:type="dxa" w:w="60"/>
              <w:right w:type="dxa" w:w="120"/>
            </w:tcMar>
          </w:tcPr>
          <w:p>
            <w:r>
              <w:rPr>
                <w:color w:val="2C2C2A"/>
                <w:sz w:val="20"/>
                <w:szCs w:val="20"/>
              </w:rPr>
              <w:t xml:space="preserve">LOW — needs domain fine-tuning</w:t>
            </w:r>
          </w:p>
        </w:tc>
      </w:tr>
      <w:tr>
        <w:tc>
          <w:tcPr>
            <w:tcW w:type="dxa" w:w="2000"/>
            <w:shd w:fill="F4F2EB" w:val="clear"/>
            <w:tcMar>
              <w:top w:type="dxa" w:w="60"/>
              <w:left w:type="dxa" w:w="120"/>
              <w:bottom w:type="dxa" w:w="60"/>
              <w:right w:type="dxa" w:w="120"/>
            </w:tcMar>
          </w:tcPr>
          <w:p>
            <w:r>
              <w:rPr>
                <w:color w:val="2C2C2A"/>
                <w:sz w:val="20"/>
                <w:szCs w:val="20"/>
              </w:rPr>
              <w:t xml:space="preserve">TrOCR</w:t>
            </w:r>
          </w:p>
        </w:tc>
        <w:tc>
          <w:tcPr>
            <w:tcW w:type="dxa" w:w="1800"/>
            <w:shd w:fill="F4F2EB" w:val="clear"/>
            <w:tcMar>
              <w:top w:type="dxa" w:w="60"/>
              <w:left w:type="dxa" w:w="120"/>
              <w:bottom w:type="dxa" w:w="60"/>
              <w:right w:type="dxa" w:w="120"/>
            </w:tcMar>
          </w:tcPr>
          <w:p>
            <w:r>
              <w:rPr>
                <w:color w:val="2C2C2A"/>
                <w:sz w:val="20"/>
                <w:szCs w:val="20"/>
              </w:rPr>
              <w:t xml:space="preserve">~334M</w:t>
            </w:r>
          </w:p>
        </w:tc>
        <w:tc>
          <w:tcPr>
            <w:tcW w:type="dxa" w:w="1400"/>
            <w:shd w:fill="F4F2EB" w:val="clear"/>
            <w:tcMar>
              <w:top w:type="dxa" w:w="60"/>
              <w:left w:type="dxa" w:w="120"/>
              <w:bottom w:type="dxa" w:w="60"/>
              <w:right w:type="dxa" w:w="120"/>
            </w:tcMar>
          </w:tcPr>
          <w:p>
            <w:r>
              <w:rPr>
                <w:color w:val="2C2C2A"/>
                <w:sz w:val="20"/>
                <w:szCs w:val="20"/>
              </w:rPr>
              <w:t xml:space="preserve">MIT</w:t>
            </w:r>
          </w:p>
        </w:tc>
        <w:tc>
          <w:tcPr>
            <w:tcW w:type="dxa" w:w="1600"/>
            <w:shd w:fill="F4F2EB" w:val="clear"/>
            <w:tcMar>
              <w:top w:type="dxa" w:w="60"/>
              <w:left w:type="dxa" w:w="120"/>
              <w:bottom w:type="dxa" w:w="60"/>
              <w:right w:type="dxa" w:w="120"/>
            </w:tcMar>
          </w:tcPr>
          <w:p>
            <w:r>
              <w:rPr>
                <w:color w:val="2C2C2A"/>
                <w:sz w:val="20"/>
                <w:szCs w:val="20"/>
              </w:rPr>
              <w:t xml:space="preserve">✗ English primary</w:t>
            </w:r>
          </w:p>
        </w:tc>
        <w:tc>
          <w:tcPr>
            <w:tcW w:type="dxa" w:w="1200"/>
            <w:shd w:fill="F4F2EB" w:val="clear"/>
            <w:tcMar>
              <w:top w:type="dxa" w:w="60"/>
              <w:left w:type="dxa" w:w="120"/>
              <w:bottom w:type="dxa" w:w="60"/>
              <w:right w:type="dxa" w:w="120"/>
            </w:tcMar>
          </w:tcPr>
          <w:p>
            <w:r>
              <w:rPr>
                <w:color w:val="2C2C2A"/>
                <w:sz w:val="20"/>
                <w:szCs w:val="20"/>
              </w:rPr>
              <w:t xml:space="preserve">GPU required</w:t>
            </w:r>
          </w:p>
        </w:tc>
        <w:tc>
          <w:tcPr>
            <w:tcW w:type="dxa" w:w="1360"/>
            <w:shd w:fill="F4F2EB" w:val="clear"/>
            <w:tcMar>
              <w:top w:type="dxa" w:w="60"/>
              <w:left w:type="dxa" w:w="120"/>
              <w:bottom w:type="dxa" w:w="60"/>
              <w:right w:type="dxa" w:w="120"/>
            </w:tcMar>
          </w:tcPr>
          <w:p>
            <w:r>
              <w:rPr>
                <w:color w:val="2C2C2A"/>
                <w:sz w:val="20"/>
                <w:szCs w:val="20"/>
              </w:rPr>
              <w:t xml:space="preserve">LOW — English-focused</w:t>
            </w:r>
          </w:p>
        </w:tc>
      </w:tr>
      <w:tr>
        <w:tc>
          <w:tcPr>
            <w:tcW w:type="dxa" w:w="2000"/>
            <w:shd w:fill="FFFFFF" w:val="clear"/>
            <w:tcMar>
              <w:top w:type="dxa" w:w="60"/>
              <w:left w:type="dxa" w:w="120"/>
              <w:bottom w:type="dxa" w:w="60"/>
              <w:right w:type="dxa" w:w="120"/>
            </w:tcMar>
          </w:tcPr>
          <w:p>
            <w:r>
              <w:rPr>
                <w:color w:val="2C2C2A"/>
                <w:sz w:val="20"/>
                <w:szCs w:val="20"/>
              </w:rPr>
              <w:t xml:space="preserve">MiniCPM-V 2.6</w:t>
            </w:r>
          </w:p>
        </w:tc>
        <w:tc>
          <w:tcPr>
            <w:tcW w:type="dxa" w:w="1800"/>
            <w:shd w:fill="FFFFFF" w:val="clear"/>
            <w:tcMar>
              <w:top w:type="dxa" w:w="60"/>
              <w:left w:type="dxa" w:w="120"/>
              <w:bottom w:type="dxa" w:w="60"/>
              <w:right w:type="dxa" w:w="120"/>
            </w:tcMar>
          </w:tcPr>
          <w:p>
            <w:r>
              <w:rPr>
                <w:color w:val="2C2C2A"/>
                <w:sz w:val="20"/>
                <w:szCs w:val="20"/>
              </w:rPr>
              <w:t xml:space="preserve">~8B (not 1.3B)</w:t>
            </w:r>
          </w:p>
        </w:tc>
        <w:tc>
          <w:tcPr>
            <w:tcW w:type="dxa" w:w="1400"/>
            <w:shd w:fill="FFFFFF" w:val="clear"/>
            <w:tcMar>
              <w:top w:type="dxa" w:w="60"/>
              <w:left w:type="dxa" w:w="120"/>
              <w:bottom w:type="dxa" w:w="60"/>
              <w:right w:type="dxa" w:w="120"/>
            </w:tcMar>
          </w:tcPr>
          <w:p>
            <w:r>
              <w:rPr>
                <w:color w:val="2C2C2A"/>
                <w:sz w:val="20"/>
                <w:szCs w:val="20"/>
              </w:rPr>
              <w:t xml:space="preserve">Apache-2.0</w:t>
            </w:r>
          </w:p>
        </w:tc>
        <w:tc>
          <w:tcPr>
            <w:tcW w:type="dxa" w:w="1600"/>
            <w:shd w:fill="FFFFFF" w:val="clear"/>
            <w:tcMar>
              <w:top w:type="dxa" w:w="60"/>
              <w:left w:type="dxa" w:w="120"/>
              <w:bottom w:type="dxa" w:w="60"/>
              <w:right w:type="dxa" w:w="120"/>
            </w:tcMar>
          </w:tcPr>
          <w:p>
            <w:r>
              <w:rPr>
                <w:color w:val="2C2C2A"/>
                <w:sz w:val="20"/>
                <w:szCs w:val="20"/>
              </w:rPr>
              <w:t xml:space="preserve">⚠ Limited</w:t>
            </w:r>
          </w:p>
        </w:tc>
        <w:tc>
          <w:tcPr>
            <w:tcW w:type="dxa" w:w="1200"/>
            <w:shd w:fill="FFFFFF" w:val="clear"/>
            <w:tcMar>
              <w:top w:type="dxa" w:w="60"/>
              <w:left w:type="dxa" w:w="120"/>
              <w:bottom w:type="dxa" w:w="60"/>
              <w:right w:type="dxa" w:w="120"/>
            </w:tcMar>
          </w:tcPr>
          <w:p>
            <w:r>
              <w:rPr>
                <w:color w:val="2C2C2A"/>
                <w:sz w:val="20"/>
                <w:szCs w:val="20"/>
              </w:rPr>
              <w:t xml:space="preserve">GPU required</w:t>
            </w:r>
          </w:p>
        </w:tc>
        <w:tc>
          <w:tcPr>
            <w:tcW w:type="dxa" w:w="1360"/>
            <w:shd w:fill="FFFFFF" w:val="clear"/>
            <w:tcMar>
              <w:top w:type="dxa" w:w="60"/>
              <w:left w:type="dxa" w:w="120"/>
              <w:bottom w:type="dxa" w:w="60"/>
              <w:right w:type="dxa" w:w="120"/>
            </w:tcMar>
          </w:tcPr>
          <w:p>
            <w:r>
              <w:rPr>
                <w:color w:val="2C2C2A"/>
                <w:sz w:val="20"/>
                <w:szCs w:val="20"/>
              </w:rPr>
              <w:t xml:space="preserve">LOW — too heavy for v1</w:t>
            </w:r>
          </w:p>
        </w:tc>
      </w:tr>
      <w:tr>
        <w:tc>
          <w:tcPr>
            <w:tcW w:type="dxa" w:w="2000"/>
            <w:shd w:fill="F4F2EB" w:val="clear"/>
            <w:tcMar>
              <w:top w:type="dxa" w:w="60"/>
              <w:left w:type="dxa" w:w="120"/>
              <w:bottom w:type="dxa" w:w="60"/>
              <w:right w:type="dxa" w:w="120"/>
            </w:tcMar>
          </w:tcPr>
          <w:p>
            <w:r>
              <w:rPr>
                <w:color w:val="2C2C2A"/>
                <w:sz w:val="20"/>
                <w:szCs w:val="20"/>
              </w:rPr>
              <w:t xml:space="preserve">Qwen2.5-VL 7B</w:t>
            </w:r>
          </w:p>
        </w:tc>
        <w:tc>
          <w:tcPr>
            <w:tcW w:type="dxa" w:w="1800"/>
            <w:shd w:fill="F4F2EB" w:val="clear"/>
            <w:tcMar>
              <w:top w:type="dxa" w:w="60"/>
              <w:left w:type="dxa" w:w="120"/>
              <w:bottom w:type="dxa" w:w="60"/>
              <w:right w:type="dxa" w:w="120"/>
            </w:tcMar>
          </w:tcPr>
          <w:p>
            <w:r>
              <w:rPr>
                <w:color w:val="2C2C2A"/>
                <w:sz w:val="20"/>
                <w:szCs w:val="20"/>
              </w:rPr>
              <w:t xml:space="preserve">7B (open-source)</w:t>
            </w:r>
          </w:p>
        </w:tc>
        <w:tc>
          <w:tcPr>
            <w:tcW w:type="dxa" w:w="1400"/>
            <w:shd w:fill="F4F2EB" w:val="clear"/>
            <w:tcMar>
              <w:top w:type="dxa" w:w="60"/>
              <w:left w:type="dxa" w:w="120"/>
              <w:bottom w:type="dxa" w:w="60"/>
              <w:right w:type="dxa" w:w="120"/>
            </w:tcMar>
          </w:tcPr>
          <w:p>
            <w:r>
              <w:rPr>
                <w:color w:val="2C2C2A"/>
                <w:sz w:val="20"/>
                <w:szCs w:val="20"/>
              </w:rPr>
              <w:t xml:space="preserve">Apache-2.0</w:t>
            </w:r>
          </w:p>
        </w:tc>
        <w:tc>
          <w:tcPr>
            <w:tcW w:type="dxa" w:w="1600"/>
            <w:shd w:fill="F4F2EB" w:val="clear"/>
            <w:tcMar>
              <w:top w:type="dxa" w:w="60"/>
              <w:left w:type="dxa" w:w="120"/>
              <w:bottom w:type="dxa" w:w="60"/>
              <w:right w:type="dxa" w:w="120"/>
            </w:tcMar>
          </w:tcPr>
          <w:p>
            <w:r>
              <w:rPr>
                <w:color w:val="2C2C2A"/>
                <w:sz w:val="20"/>
                <w:szCs w:val="20"/>
              </w:rPr>
              <w:t xml:space="preserve">⚠ Limited Indic</w:t>
            </w:r>
          </w:p>
        </w:tc>
        <w:tc>
          <w:tcPr>
            <w:tcW w:type="dxa" w:w="1200"/>
            <w:shd w:fill="F4F2EB" w:val="clear"/>
            <w:tcMar>
              <w:top w:type="dxa" w:w="60"/>
              <w:left w:type="dxa" w:w="120"/>
              <w:bottom w:type="dxa" w:w="60"/>
              <w:right w:type="dxa" w:w="120"/>
            </w:tcMar>
          </w:tcPr>
          <w:p>
            <w:r>
              <w:rPr>
                <w:color w:val="2C2C2A"/>
                <w:sz w:val="20"/>
                <w:szCs w:val="20"/>
              </w:rPr>
              <w:t xml:space="preserve">GPU required</w:t>
            </w:r>
          </w:p>
        </w:tc>
        <w:tc>
          <w:tcPr>
            <w:tcW w:type="dxa" w:w="1360"/>
            <w:shd w:fill="F4F2EB" w:val="clear"/>
            <w:tcMar>
              <w:top w:type="dxa" w:w="60"/>
              <w:left w:type="dxa" w:w="120"/>
              <w:bottom w:type="dxa" w:w="60"/>
              <w:right w:type="dxa" w:w="120"/>
            </w:tcMar>
          </w:tcPr>
          <w:p>
            <w:r>
              <w:rPr>
                <w:color w:val="2C2C2A"/>
                <w:sz w:val="20"/>
                <w:szCs w:val="20"/>
              </w:rPr>
              <w:t xml:space="preserve">MEDIUM — future consideration</w:t>
            </w:r>
          </w:p>
        </w:tc>
      </w:tr>
      <w:tr>
        <w:tc>
          <w:tcPr>
            <w:tcW w:type="dxa" w:w="2000"/>
            <w:shd w:fill="FFFFFF" w:val="clear"/>
            <w:tcMar>
              <w:top w:type="dxa" w:w="60"/>
              <w:left w:type="dxa" w:w="120"/>
              <w:bottom w:type="dxa" w:w="60"/>
              <w:right w:type="dxa" w:w="120"/>
            </w:tcMar>
          </w:tcPr>
          <w:p>
            <w:r>
              <w:rPr>
                <w:color w:val="2C2C2A"/>
                <w:sz w:val="20"/>
                <w:szCs w:val="20"/>
              </w:rPr>
              <w:t xml:space="preserve">Gemini 1.5 Pro</w:t>
            </w:r>
          </w:p>
        </w:tc>
        <w:tc>
          <w:tcPr>
            <w:tcW w:type="dxa" w:w="1800"/>
            <w:shd w:fill="FFFFFF" w:val="clear"/>
            <w:tcMar>
              <w:top w:type="dxa" w:w="60"/>
              <w:left w:type="dxa" w:w="120"/>
              <w:bottom w:type="dxa" w:w="60"/>
              <w:right w:type="dxa" w:w="120"/>
            </w:tcMar>
          </w:tcPr>
          <w:p>
            <w:r>
              <w:rPr>
                <w:color w:val="2C2C2A"/>
                <w:sz w:val="20"/>
                <w:szCs w:val="20"/>
              </w:rPr>
              <w:t xml:space="preserve">Undisclosed (cloud)</w:t>
            </w:r>
          </w:p>
        </w:tc>
        <w:tc>
          <w:tcPr>
            <w:tcW w:type="dxa" w:w="1400"/>
            <w:shd w:fill="FFFFFF" w:val="clear"/>
            <w:tcMar>
              <w:top w:type="dxa" w:w="60"/>
              <w:left w:type="dxa" w:w="120"/>
              <w:bottom w:type="dxa" w:w="60"/>
              <w:right w:type="dxa" w:w="120"/>
            </w:tcMar>
          </w:tcPr>
          <w:p>
            <w:r>
              <w:rPr>
                <w:color w:val="2C2C2A"/>
                <w:sz w:val="20"/>
                <w:szCs w:val="20"/>
              </w:rPr>
              <w:t xml:space="preserve">Commercial</w:t>
            </w:r>
          </w:p>
        </w:tc>
        <w:tc>
          <w:tcPr>
            <w:tcW w:type="dxa" w:w="1600"/>
            <w:shd w:fill="FFFFFF" w:val="clear"/>
            <w:tcMar>
              <w:top w:type="dxa" w:w="60"/>
              <w:left w:type="dxa" w:w="120"/>
              <w:bottom w:type="dxa" w:w="60"/>
              <w:right w:type="dxa" w:w="120"/>
            </w:tcMar>
          </w:tcPr>
          <w:p>
            <w:r>
              <w:rPr>
                <w:color w:val="2C2C2A"/>
                <w:sz w:val="20"/>
                <w:szCs w:val="20"/>
              </w:rPr>
              <w:t xml:space="preserve">✓ Yes</w:t>
            </w:r>
          </w:p>
        </w:tc>
        <w:tc>
          <w:tcPr>
            <w:tcW w:type="dxa" w:w="1200"/>
            <w:shd w:fill="FFFFFF" w:val="clear"/>
            <w:tcMar>
              <w:top w:type="dxa" w:w="60"/>
              <w:left w:type="dxa" w:w="120"/>
              <w:bottom w:type="dxa" w:w="60"/>
              <w:right w:type="dxa" w:w="120"/>
            </w:tcMar>
          </w:tcPr>
          <w:p>
            <w:r>
              <w:rPr>
                <w:color w:val="2C2C2A"/>
                <w:sz w:val="20"/>
                <w:szCs w:val="20"/>
              </w:rPr>
              <w:t xml:space="preserve">✗ Cloud only</w:t>
            </w:r>
          </w:p>
        </w:tc>
        <w:tc>
          <w:tcPr>
            <w:tcW w:type="dxa" w:w="1360"/>
            <w:shd w:fill="FFFFFF" w:val="clear"/>
            <w:tcMar>
              <w:top w:type="dxa" w:w="60"/>
              <w:left w:type="dxa" w:w="120"/>
              <w:bottom w:type="dxa" w:w="60"/>
              <w:right w:type="dxa" w:w="120"/>
            </w:tcMar>
          </w:tcPr>
          <w:p>
            <w:r>
              <w:rPr>
                <w:color w:val="2C2C2A"/>
                <w:sz w:val="20"/>
                <w:szCs w:val="20"/>
              </w:rPr>
              <w:t xml:space="preserve">HIGH — already in pipeline</w:t>
            </w:r>
          </w:p>
        </w:tc>
      </w:tr>
    </w:tbl>
    <w:p>
      <w:pPr>
        <w:spacing w:before="160"/>
      </w:pPr>
    </w:p>
    <w:p>
      <w:pPr>
        <w:pStyle w:val="Heading3"/>
        <w:spacing w:after="60" w:before="200"/>
      </w:pPr>
      <w:r>
        <w:t xml:space="preserve">Datasets — Corrected Reference</w:t>
      </w:r>
    </w:p>
    <w:tbl>
      <w:tblPr>
        <w:tblW w:type="dxa" w:w="9360"/>
        <w:tblBorders>
          <w:top w:val="single" w:color="D3D1C7" w:sz="4"/>
          <w:left w:val="single" w:color="D3D1C7" w:sz="4"/>
          <w:bottom w:val="single" w:color="D3D1C7" w:sz="4"/>
          <w:right w:val="single" w:color="D3D1C7" w:sz="4"/>
          <w:insideH w:val="single" w:color="auto" w:sz="4"/>
          <w:insideV w:val="single" w:color="auto" w:sz="4"/>
        </w:tblBorders>
      </w:tblPr>
      <w:tblGrid>
        <w:gridCol w:w="2000"/>
        <w:gridCol w:w="2600"/>
        <w:gridCol w:w="2200"/>
        <w:gridCol w:w="2560"/>
      </w:tblGrid>
      <w:tr>
        <w:trPr>
          <w:tblHeader/>
        </w:trPr>
        <w:tc>
          <w:tcPr>
            <w:tcW w:type="dxa" w:w="2000"/>
            <w:shd w:fill="1D9E75" w:val="clear"/>
            <w:tcMar>
              <w:top w:type="dxa" w:w="80"/>
              <w:left w:type="dxa" w:w="120"/>
              <w:bottom w:type="dxa" w:w="80"/>
              <w:right w:type="dxa" w:w="120"/>
            </w:tcMar>
          </w:tcPr>
          <w:p>
            <w:r>
              <w:rPr>
                <w:b/>
                <w:bCs/>
                <w:color w:val="FFFFFF"/>
                <w:sz w:val="20"/>
                <w:szCs w:val="20"/>
              </w:rPr>
              <w:t xml:space="preserve">Dataset</w:t>
            </w:r>
          </w:p>
        </w:tc>
        <w:tc>
          <w:tcPr>
            <w:tcW w:type="dxa" w:w="2600"/>
            <w:shd w:fill="1D9E75" w:val="clear"/>
            <w:tcMar>
              <w:top w:type="dxa" w:w="80"/>
              <w:left w:type="dxa" w:w="120"/>
              <w:bottom w:type="dxa" w:w="80"/>
              <w:right w:type="dxa" w:w="120"/>
            </w:tcMar>
          </w:tcPr>
          <w:p>
            <w:r>
              <w:rPr>
                <w:b/>
                <w:bCs/>
                <w:color w:val="FFFFFF"/>
                <w:sz w:val="20"/>
                <w:szCs w:val="20"/>
              </w:rPr>
              <w:t xml:space="preserve">What It Actually Is</w:t>
            </w:r>
          </w:p>
        </w:tc>
        <w:tc>
          <w:tcPr>
            <w:tcW w:type="dxa" w:w="2200"/>
            <w:shd w:fill="1D9E75" w:val="clear"/>
            <w:tcMar>
              <w:top w:type="dxa" w:w="80"/>
              <w:left w:type="dxa" w:w="120"/>
              <w:bottom w:type="dxa" w:w="80"/>
              <w:right w:type="dxa" w:w="120"/>
            </w:tcMar>
          </w:tcPr>
          <w:p>
            <w:r>
              <w:rPr>
                <w:b/>
                <w:bCs/>
                <w:color w:val="FFFFFF"/>
                <w:sz w:val="20"/>
                <w:szCs w:val="20"/>
              </w:rPr>
              <w:t xml:space="preserve">GramIQ Use</w:t>
            </w:r>
          </w:p>
        </w:tc>
        <w:tc>
          <w:tcPr>
            <w:tcW w:type="dxa" w:w="2560"/>
            <w:shd w:fill="1D9E75" w:val="clear"/>
            <w:tcMar>
              <w:top w:type="dxa" w:w="80"/>
              <w:left w:type="dxa" w:w="120"/>
              <w:bottom w:type="dxa" w:w="80"/>
              <w:right w:type="dxa" w:w="120"/>
            </w:tcMar>
          </w:tcPr>
          <w:p>
            <w:r>
              <w:rPr>
                <w:b/>
                <w:bCs/>
                <w:color w:val="FFFFFF"/>
                <w:sz w:val="20"/>
                <w:szCs w:val="20"/>
              </w:rPr>
              <w:t xml:space="preserve">Link</w:t>
            </w:r>
          </w:p>
        </w:tc>
      </w:tr>
      <w:tr>
        <w:tc>
          <w:tcPr>
            <w:tcW w:type="dxa" w:w="2000"/>
            <w:shd w:fill="FFFFFF" w:val="clear"/>
            <w:tcMar>
              <w:top w:type="dxa" w:w="60"/>
              <w:left w:type="dxa" w:w="120"/>
              <w:bottom w:type="dxa" w:w="60"/>
              <w:right w:type="dxa" w:w="120"/>
            </w:tcMar>
          </w:tcPr>
          <w:p>
            <w:r>
              <w:rPr>
                <w:color w:val="2C2C2A"/>
                <w:sz w:val="20"/>
                <w:szCs w:val="20"/>
              </w:rPr>
              <w:t xml:space="preserve">IAM Handwriting</w:t>
            </w:r>
          </w:p>
        </w:tc>
        <w:tc>
          <w:tcPr>
            <w:tcW w:type="dxa" w:w="2600"/>
            <w:shd w:fill="FFFFFF" w:val="clear"/>
            <w:tcMar>
              <w:top w:type="dxa" w:w="60"/>
              <w:left w:type="dxa" w:w="120"/>
              <w:bottom w:type="dxa" w:w="60"/>
              <w:right w:type="dxa" w:w="120"/>
            </w:tcMar>
          </w:tcPr>
          <w:p>
            <w:r>
              <w:rPr>
                <w:color w:val="2C2C2A"/>
                <w:sz w:val="20"/>
                <w:szCs w:val="20"/>
              </w:rPr>
              <w:t xml:space="preserve">1,539 pages, English only</w:t>
            </w:r>
          </w:p>
        </w:tc>
        <w:tc>
          <w:tcPr>
            <w:tcW w:type="dxa" w:w="2200"/>
            <w:shd w:fill="FFFFFF" w:val="clear"/>
            <w:tcMar>
              <w:top w:type="dxa" w:w="60"/>
              <w:left w:type="dxa" w:w="120"/>
              <w:bottom w:type="dxa" w:w="60"/>
              <w:right w:type="dxa" w:w="120"/>
            </w:tcMar>
          </w:tcPr>
          <w:p>
            <w:r>
              <w:rPr>
                <w:color w:val="2C2C2A"/>
                <w:sz w:val="20"/>
                <w:szCs w:val="20"/>
              </w:rPr>
              <w:t xml:space="preserve">Train base HTR — English sections only</w:t>
            </w:r>
          </w:p>
        </w:tc>
        <w:tc>
          <w:tcPr>
            <w:tcW w:type="dxa" w:w="2560"/>
            <w:shd w:fill="FFFFFF" w:val="clear"/>
            <w:tcMar>
              <w:top w:type="dxa" w:w="60"/>
              <w:left w:type="dxa" w:w="120"/>
              <w:bottom w:type="dxa" w:w="60"/>
              <w:right w:type="dxa" w:w="120"/>
            </w:tcMar>
          </w:tcPr>
          <w:p>
            <w:r>
              <w:rPr>
                <w:color w:val="2C2C2A"/>
                <w:sz w:val="20"/>
                <w:szCs w:val="20"/>
              </w:rPr>
              <w:t xml:space="preserve">fki.inf.unibe.ch/databases/iam-handwriting-database</w:t>
            </w:r>
          </w:p>
        </w:tc>
      </w:tr>
      <w:tr>
        <w:tc>
          <w:tcPr>
            <w:tcW w:type="dxa" w:w="2000"/>
            <w:shd w:fill="F4F2EB" w:val="clear"/>
            <w:tcMar>
              <w:top w:type="dxa" w:w="60"/>
              <w:left w:type="dxa" w:w="120"/>
              <w:bottom w:type="dxa" w:w="60"/>
              <w:right w:type="dxa" w:w="120"/>
            </w:tcMar>
          </w:tcPr>
          <w:p>
            <w:r>
              <w:rPr>
                <w:color w:val="2C2C2A"/>
                <w:sz w:val="20"/>
                <w:szCs w:val="20"/>
              </w:rPr>
              <w:t xml:space="preserve">IIIT-HW-Dev</w:t>
            </w:r>
          </w:p>
        </w:tc>
        <w:tc>
          <w:tcPr>
            <w:tcW w:type="dxa" w:w="2600"/>
            <w:shd w:fill="F4F2EB" w:val="clear"/>
            <w:tcMar>
              <w:top w:type="dxa" w:w="60"/>
              <w:left w:type="dxa" w:w="120"/>
              <w:bottom w:type="dxa" w:w="60"/>
              <w:right w:type="dxa" w:w="120"/>
            </w:tcMar>
          </w:tcPr>
          <w:p>
            <w:r>
              <w:rPr>
                <w:color w:val="2C2C2A"/>
                <w:sz w:val="20"/>
                <w:szCs w:val="20"/>
              </w:rPr>
              <w:t xml:space="preserve">~5,000 Devanagari word images</w:t>
            </w:r>
          </w:p>
        </w:tc>
        <w:tc>
          <w:tcPr>
            <w:tcW w:type="dxa" w:w="2200"/>
            <w:shd w:fill="F4F2EB" w:val="clear"/>
            <w:tcMar>
              <w:top w:type="dxa" w:w="60"/>
              <w:left w:type="dxa" w:w="120"/>
              <w:bottom w:type="dxa" w:w="60"/>
              <w:right w:type="dxa" w:w="120"/>
            </w:tcMar>
          </w:tcPr>
          <w:p>
            <w:r>
              <w:rPr>
                <w:color w:val="2C2C2A"/>
                <w:sz w:val="20"/>
                <w:szCs w:val="20"/>
              </w:rPr>
              <w:t xml:space="preserve">Fine-tune Devanagari OCR</w:t>
            </w:r>
          </w:p>
        </w:tc>
        <w:tc>
          <w:tcPr>
            <w:tcW w:type="dxa" w:w="2560"/>
            <w:shd w:fill="F4F2EB" w:val="clear"/>
            <w:tcMar>
              <w:top w:type="dxa" w:w="60"/>
              <w:left w:type="dxa" w:w="120"/>
              <w:bottom w:type="dxa" w:w="60"/>
              <w:right w:type="dxa" w:w="120"/>
            </w:tcMar>
          </w:tcPr>
          <w:p>
            <w:r>
              <w:rPr>
                <w:color w:val="2C2C2A"/>
                <w:sz w:val="20"/>
                <w:szCs w:val="20"/>
              </w:rPr>
              <w:t xml:space="preserve">cvit.iiit.ac.in</w:t>
            </w:r>
          </w:p>
        </w:tc>
      </w:tr>
      <w:tr>
        <w:tc>
          <w:tcPr>
            <w:tcW w:type="dxa" w:w="2000"/>
            <w:shd w:fill="FFFFFF" w:val="clear"/>
            <w:tcMar>
              <w:top w:type="dxa" w:w="60"/>
              <w:left w:type="dxa" w:w="120"/>
              <w:bottom w:type="dxa" w:w="60"/>
              <w:right w:type="dxa" w:w="120"/>
            </w:tcMar>
          </w:tcPr>
          <w:p>
            <w:r>
              <w:rPr>
                <w:color w:val="2C2C2A"/>
                <w:sz w:val="20"/>
                <w:szCs w:val="20"/>
              </w:rPr>
              <w:t xml:space="preserve">FUNSD</w:t>
            </w:r>
          </w:p>
        </w:tc>
        <w:tc>
          <w:tcPr>
            <w:tcW w:type="dxa" w:w="2600"/>
            <w:shd w:fill="FFFFFF" w:val="clear"/>
            <w:tcMar>
              <w:top w:type="dxa" w:w="60"/>
              <w:left w:type="dxa" w:w="120"/>
              <w:bottom w:type="dxa" w:w="60"/>
              <w:right w:type="dxa" w:w="120"/>
            </w:tcMar>
          </w:tcPr>
          <w:p>
            <w:r>
              <w:rPr>
                <w:color w:val="2C2C2A"/>
                <w:sz w:val="20"/>
                <w:szCs w:val="20"/>
              </w:rPr>
              <w:t xml:space="preserve">199 English forms, CC BY-NC-SA</w:t>
            </w:r>
          </w:p>
        </w:tc>
        <w:tc>
          <w:tcPr>
            <w:tcW w:type="dxa" w:w="2200"/>
            <w:shd w:fill="FFFFFF" w:val="clear"/>
            <w:tcMar>
              <w:top w:type="dxa" w:w="60"/>
              <w:left w:type="dxa" w:w="120"/>
              <w:bottom w:type="dxa" w:w="60"/>
              <w:right w:type="dxa" w:w="120"/>
            </w:tcMar>
          </w:tcPr>
          <w:p>
            <w:r>
              <w:rPr>
                <w:color w:val="2C2C2A"/>
                <w:sz w:val="20"/>
                <w:szCs w:val="20"/>
              </w:rPr>
              <w:t xml:space="preserve">Layout model baseline — English</w:t>
            </w:r>
          </w:p>
        </w:tc>
        <w:tc>
          <w:tcPr>
            <w:tcW w:type="dxa" w:w="2560"/>
            <w:shd w:fill="FFFFFF" w:val="clear"/>
            <w:tcMar>
              <w:top w:type="dxa" w:w="60"/>
              <w:left w:type="dxa" w:w="120"/>
              <w:bottom w:type="dxa" w:w="60"/>
              <w:right w:type="dxa" w:w="120"/>
            </w:tcMar>
          </w:tcPr>
          <w:p>
            <w:r>
              <w:rPr>
                <w:color w:val="2C2C2A"/>
                <w:sz w:val="20"/>
                <w:szCs w:val="20"/>
              </w:rPr>
              <w:t xml:space="preserve">guillaumejaume.github.io/FUNSD/</w:t>
            </w:r>
          </w:p>
        </w:tc>
      </w:tr>
      <w:tr>
        <w:tc>
          <w:tcPr>
            <w:tcW w:type="dxa" w:w="2000"/>
            <w:shd w:fill="F4F2EB" w:val="clear"/>
            <w:tcMar>
              <w:top w:type="dxa" w:w="60"/>
              <w:left w:type="dxa" w:w="120"/>
              <w:bottom w:type="dxa" w:w="60"/>
              <w:right w:type="dxa" w:w="120"/>
            </w:tcMar>
          </w:tcPr>
          <w:p>
            <w:r>
              <w:rPr>
                <w:color w:val="2C2C2A"/>
                <w:sz w:val="20"/>
                <w:szCs w:val="20"/>
              </w:rPr>
              <w:t xml:space="preserve">CORD</w:t>
            </w:r>
          </w:p>
        </w:tc>
        <w:tc>
          <w:tcPr>
            <w:tcW w:type="dxa" w:w="2600"/>
            <w:shd w:fill="F4F2EB" w:val="clear"/>
            <w:tcMar>
              <w:top w:type="dxa" w:w="60"/>
              <w:left w:type="dxa" w:w="120"/>
              <w:bottom w:type="dxa" w:w="60"/>
              <w:right w:type="dxa" w:w="120"/>
            </w:tcMar>
          </w:tcPr>
          <w:p>
            <w:r>
              <w:rPr>
                <w:color w:val="2C2C2A"/>
                <w:sz w:val="20"/>
                <w:szCs w:val="20"/>
              </w:rPr>
              <w:t xml:space="preserve">~800 receipt images, MIT</w:t>
            </w:r>
          </w:p>
        </w:tc>
        <w:tc>
          <w:tcPr>
            <w:tcW w:type="dxa" w:w="2200"/>
            <w:shd w:fill="F4F2EB" w:val="clear"/>
            <w:tcMar>
              <w:top w:type="dxa" w:w="60"/>
              <w:left w:type="dxa" w:w="120"/>
              <w:bottom w:type="dxa" w:w="60"/>
              <w:right w:type="dxa" w:w="120"/>
            </w:tcMar>
          </w:tcPr>
          <w:p>
            <w:r>
              <w:rPr>
                <w:color w:val="2C2C2A"/>
                <w:sz w:val="20"/>
                <w:szCs w:val="20"/>
              </w:rPr>
              <w:t xml:space="preserve">Receipt field extraction baseline</w:t>
            </w:r>
          </w:p>
        </w:tc>
        <w:tc>
          <w:tcPr>
            <w:tcW w:type="dxa" w:w="2560"/>
            <w:shd w:fill="F4F2EB" w:val="clear"/>
            <w:tcMar>
              <w:top w:type="dxa" w:w="60"/>
              <w:left w:type="dxa" w:w="120"/>
              <w:bottom w:type="dxa" w:w="60"/>
              <w:right w:type="dxa" w:w="120"/>
            </w:tcMar>
          </w:tcPr>
          <w:p>
            <w:r>
              <w:rPr>
                <w:color w:val="2C2C2A"/>
                <w:sz w:val="20"/>
                <w:szCs w:val="20"/>
              </w:rPr>
              <w:t xml:space="preserve">github.com/clovaai/cord</w:t>
            </w:r>
          </w:p>
        </w:tc>
      </w:tr>
      <w:tr>
        <w:tc>
          <w:tcPr>
            <w:tcW w:type="dxa" w:w="2000"/>
            <w:shd w:fill="FFFFFF" w:val="clear"/>
            <w:tcMar>
              <w:top w:type="dxa" w:w="60"/>
              <w:left w:type="dxa" w:w="120"/>
              <w:bottom w:type="dxa" w:w="60"/>
              <w:right w:type="dxa" w:w="120"/>
            </w:tcMar>
          </w:tcPr>
          <w:p>
            <w:r>
              <w:rPr>
                <w:color w:val="2C2C2A"/>
                <w:sz w:val="20"/>
                <w:szCs w:val="20"/>
              </w:rPr>
              <w:t xml:space="preserve">Farm Ledger Corpus</w:t>
            </w:r>
          </w:p>
        </w:tc>
        <w:tc>
          <w:tcPr>
            <w:tcW w:type="dxa" w:w="2600"/>
            <w:shd w:fill="FFFFFF" w:val="clear"/>
            <w:tcMar>
              <w:top w:type="dxa" w:w="60"/>
              <w:left w:type="dxa" w:w="120"/>
              <w:bottom w:type="dxa" w:w="60"/>
              <w:right w:type="dxa" w:w="120"/>
            </w:tcMar>
          </w:tcPr>
          <w:p>
            <w:r>
              <w:rPr>
                <w:color w:val="2C2C2A"/>
                <w:sz w:val="20"/>
                <w:szCs w:val="20"/>
              </w:rPr>
              <w:t xml:space="preserve">DOES NOT EXIST — must be created</w:t>
            </w:r>
          </w:p>
        </w:tc>
        <w:tc>
          <w:tcPr>
            <w:tcW w:type="dxa" w:w="2200"/>
            <w:shd w:fill="FFFFFF" w:val="clear"/>
            <w:tcMar>
              <w:top w:type="dxa" w:w="60"/>
              <w:left w:type="dxa" w:w="120"/>
              <w:bottom w:type="dxa" w:w="60"/>
              <w:right w:type="dxa" w:w="120"/>
            </w:tcMar>
          </w:tcPr>
          <w:p>
            <w:r>
              <w:rPr>
                <w:color w:val="2C2C2A"/>
                <w:sz w:val="20"/>
                <w:szCs w:val="20"/>
              </w:rPr>
              <w:t xml:space="preserve">CREATE THIS — 500+ labelled pages</w:t>
            </w:r>
          </w:p>
        </w:tc>
        <w:tc>
          <w:tcPr>
            <w:tcW w:type="dxa" w:w="2560"/>
            <w:shd w:fill="FFFFFF" w:val="clear"/>
            <w:tcMar>
              <w:top w:type="dxa" w:w="60"/>
              <w:left w:type="dxa" w:w="120"/>
              <w:bottom w:type="dxa" w:w="60"/>
              <w:right w:type="dxa" w:w="120"/>
            </w:tcMar>
          </w:tcPr>
          <w:p>
            <w:r>
              <w:rPr>
                <w:color w:val="2C2C2A"/>
                <w:sz w:val="20"/>
                <w:szCs w:val="20"/>
              </w:rPr>
              <w:t xml:space="preserve">GramIQ internal project</w:t>
            </w:r>
          </w:p>
        </w:tc>
      </w:tr>
    </w:tbl>
    <w:p>
      <w:pPr>
        <w:spacing w:before="160"/>
      </w:pPr>
    </w:p>
    <w:p>
      <w:pPr>
        <w:pStyle w:val="Heading2"/>
        <w:spacing w:after="80" w:before="280"/>
      </w:pPr>
      <w:r>
        <w:t xml:space="preserve">3.3 Build vs. Buy Decision for GramIQ</w:t>
      </w:r>
    </w:p>
    <w:tbl>
      <w:tblPr>
        <w:tblW w:type="dxa" w:w="9360"/>
        <w:tblBorders>
          <w:top w:val="none"/>
          <w:left w:val="thick" w:color="1D9E75" w:sz="16"/>
          <w:bottom w:val="none"/>
          <w:right w:val="none"/>
          <w:insideH w:val="single" w:color="auto" w:sz="4"/>
          <w:insideV w:val="single" w:color="auto" w:sz="4"/>
        </w:tblBorders>
      </w:tblPr>
      <w:tblGrid>
        <w:gridCol w:w="9360"/>
      </w:tblGrid>
      <w:tr>
        <w:tc>
          <w:tcPr>
            <w:shd w:fill="E1F5EE" w:val="clear"/>
            <w:tcMar>
              <w:top w:type="dxa" w:w="80"/>
              <w:left w:type="dxa" w:w="200"/>
              <w:bottom w:type="dxa" w:w="80"/>
              <w:right w:type="dxa" w:w="160"/>
            </w:tcMar>
          </w:tcPr>
          <w:p>
            <w:r>
              <w:rPr>
                <w:i/>
                <w:iCs/>
                <w:color w:val="085041"/>
                <w:sz w:val="21"/>
                <w:szCs w:val="21"/>
              </w:rPr>
              <w:t xml:space="preserve">GramIQ's current two-stage pipeline (Google Cloud Vision OCR → Gemini structuring) is already the right architecture. The OCR research report's complex multi-model pipeline would cost 3–5× more in engineering time and infrastructure without measurable accuracy gains at v1 scale.</w:t>
            </w:r>
          </w:p>
        </w:tc>
      </w:tr>
    </w:tbl>
    <w:p>
      <w:pPr>
        <w:spacing w:before="80"/>
      </w:pPr>
    </w:p>
    <w:tbl>
      <w:tblPr>
        <w:tblW w:type="dxa" w:w="9360"/>
        <w:tblBorders>
          <w:top w:val="single" w:color="D3D1C7" w:sz="4"/>
          <w:left w:val="single" w:color="D3D1C7" w:sz="4"/>
          <w:bottom w:val="single" w:color="D3D1C7" w:sz="4"/>
          <w:right w:val="single" w:color="D3D1C7" w:sz="4"/>
          <w:insideH w:val="single" w:color="auto" w:sz="4"/>
          <w:insideV w:val="single" w:color="auto" w:sz="4"/>
        </w:tblBorders>
      </w:tblPr>
      <w:tblGrid>
        <w:gridCol w:w="2800"/>
        <w:gridCol w:w="1600"/>
        <w:gridCol w:w="1800"/>
        <w:gridCol w:w="1600"/>
        <w:gridCol w:w="1560"/>
      </w:tblGrid>
      <w:tr>
        <w:trPr>
          <w:tblHeader/>
        </w:trPr>
        <w:tc>
          <w:tcPr>
            <w:tcW w:type="dxa" w:w="2800"/>
            <w:shd w:fill="1D9E75" w:val="clear"/>
            <w:tcMar>
              <w:top w:type="dxa" w:w="80"/>
              <w:left w:type="dxa" w:w="120"/>
              <w:bottom w:type="dxa" w:w="80"/>
              <w:right w:type="dxa" w:w="120"/>
            </w:tcMar>
          </w:tcPr>
          <w:p>
            <w:r>
              <w:rPr>
                <w:b/>
                <w:bCs/>
                <w:color w:val="FFFFFF"/>
                <w:sz w:val="20"/>
                <w:szCs w:val="20"/>
              </w:rPr>
              <w:t xml:space="preserve">Approach</w:t>
            </w:r>
          </w:p>
        </w:tc>
        <w:tc>
          <w:tcPr>
            <w:tcW w:type="dxa" w:w="1600"/>
            <w:shd w:fill="1D9E75" w:val="clear"/>
            <w:tcMar>
              <w:top w:type="dxa" w:w="80"/>
              <w:left w:type="dxa" w:w="120"/>
              <w:bottom w:type="dxa" w:w="80"/>
              <w:right w:type="dxa" w:w="120"/>
            </w:tcMar>
          </w:tcPr>
          <w:p>
            <w:r>
              <w:rPr>
                <w:b/>
                <w:bCs/>
                <w:color w:val="FFFFFF"/>
                <w:sz w:val="20"/>
                <w:szCs w:val="20"/>
              </w:rPr>
              <w:t xml:space="preserve">Engineering Cost</w:t>
            </w:r>
          </w:p>
        </w:tc>
        <w:tc>
          <w:tcPr>
            <w:tcW w:type="dxa" w:w="1800"/>
            <w:shd w:fill="1D9E75" w:val="clear"/>
            <w:tcMar>
              <w:top w:type="dxa" w:w="80"/>
              <w:left w:type="dxa" w:w="120"/>
              <w:bottom w:type="dxa" w:w="80"/>
              <w:right w:type="dxa" w:w="120"/>
            </w:tcMar>
          </w:tcPr>
          <w:p>
            <w:r>
              <w:rPr>
                <w:b/>
                <w:bCs/>
                <w:color w:val="FFFFFF"/>
                <w:sz w:val="20"/>
                <w:szCs w:val="20"/>
              </w:rPr>
              <w:t xml:space="preserve">Accuracy</w:t>
            </w:r>
          </w:p>
        </w:tc>
        <w:tc>
          <w:tcPr>
            <w:tcW w:type="dxa" w:w="1600"/>
            <w:shd w:fill="1D9E75" w:val="clear"/>
            <w:tcMar>
              <w:top w:type="dxa" w:w="80"/>
              <w:left w:type="dxa" w:w="120"/>
              <w:bottom w:type="dxa" w:w="80"/>
              <w:right w:type="dxa" w:w="120"/>
            </w:tcMar>
          </w:tcPr>
          <w:p>
            <w:r>
              <w:rPr>
                <w:b/>
                <w:bCs/>
                <w:color w:val="FFFFFF"/>
                <w:sz w:val="20"/>
                <w:szCs w:val="20"/>
              </w:rPr>
              <w:t xml:space="preserve">Infra Cost/mo</w:t>
            </w:r>
          </w:p>
        </w:tc>
        <w:tc>
          <w:tcPr>
            <w:tcW w:type="dxa" w:w="1560"/>
            <w:shd w:fill="1D9E75" w:val="clear"/>
            <w:tcMar>
              <w:top w:type="dxa" w:w="80"/>
              <w:left w:type="dxa" w:w="120"/>
              <w:bottom w:type="dxa" w:w="80"/>
              <w:right w:type="dxa" w:w="120"/>
            </w:tcMar>
          </w:tcPr>
          <w:p>
            <w:r>
              <w:rPr>
                <w:b/>
                <w:bCs/>
                <w:color w:val="FFFFFF"/>
                <w:sz w:val="20"/>
                <w:szCs w:val="20"/>
              </w:rPr>
              <w:t xml:space="preserve">Verdict</w:t>
            </w:r>
          </w:p>
        </w:tc>
      </w:tr>
      <w:tr>
        <w:tc>
          <w:tcPr>
            <w:tcW w:type="dxa" w:w="2800"/>
            <w:shd w:fill="FFFFFF" w:val="clear"/>
            <w:tcMar>
              <w:top w:type="dxa" w:w="60"/>
              <w:left w:type="dxa" w:w="120"/>
              <w:bottom w:type="dxa" w:w="60"/>
              <w:right w:type="dxa" w:w="120"/>
            </w:tcMar>
          </w:tcPr>
          <w:p>
            <w:r>
              <w:rPr>
                <w:color w:val="2C2C2A"/>
                <w:sz w:val="20"/>
                <w:szCs w:val="20"/>
              </w:rPr>
              <w:t xml:space="preserve">Current: Cloud Vision + Gemini</w:t>
            </w:r>
          </w:p>
        </w:tc>
        <w:tc>
          <w:tcPr>
            <w:tcW w:type="dxa" w:w="1600"/>
            <w:shd w:fill="FFFFFF" w:val="clear"/>
            <w:tcMar>
              <w:top w:type="dxa" w:w="60"/>
              <w:left w:type="dxa" w:w="120"/>
              <w:bottom w:type="dxa" w:w="60"/>
              <w:right w:type="dxa" w:w="120"/>
            </w:tcMar>
          </w:tcPr>
          <w:p>
            <w:r>
              <w:rPr>
                <w:color w:val="2C2C2A"/>
                <w:sz w:val="20"/>
                <w:szCs w:val="20"/>
              </w:rPr>
              <w:t xml:space="preserve">✓ Already built</w:t>
            </w:r>
          </w:p>
        </w:tc>
        <w:tc>
          <w:tcPr>
            <w:tcW w:type="dxa" w:w="1800"/>
            <w:shd w:fill="FFFFFF" w:val="clear"/>
            <w:tcMar>
              <w:top w:type="dxa" w:w="60"/>
              <w:left w:type="dxa" w:w="120"/>
              <w:bottom w:type="dxa" w:w="60"/>
              <w:right w:type="dxa" w:w="120"/>
            </w:tcMar>
          </w:tcPr>
          <w:p>
            <w:r>
              <w:rPr>
                <w:color w:val="2C2C2A"/>
                <w:sz w:val="20"/>
                <w:szCs w:val="20"/>
              </w:rPr>
              <w:t xml:space="preserve">~85–90% clean HW</w:t>
            </w:r>
          </w:p>
        </w:tc>
        <w:tc>
          <w:tcPr>
            <w:tcW w:type="dxa" w:w="1600"/>
            <w:shd w:fill="FFFFFF" w:val="clear"/>
            <w:tcMar>
              <w:top w:type="dxa" w:w="60"/>
              <w:left w:type="dxa" w:w="120"/>
              <w:bottom w:type="dxa" w:w="60"/>
              <w:right w:type="dxa" w:w="120"/>
            </w:tcMar>
          </w:tcPr>
          <w:p>
            <w:r>
              <w:rPr>
                <w:color w:val="2C2C2A"/>
                <w:sz w:val="20"/>
                <w:szCs w:val="20"/>
              </w:rPr>
              <w:t xml:space="preserve">~$50–150</w:t>
            </w:r>
          </w:p>
        </w:tc>
        <w:tc>
          <w:tcPr>
            <w:tcW w:type="dxa" w:w="1560"/>
            <w:shd w:fill="FFFFFF" w:val="clear"/>
            <w:tcMar>
              <w:top w:type="dxa" w:w="60"/>
              <w:left w:type="dxa" w:w="120"/>
              <w:bottom w:type="dxa" w:w="60"/>
              <w:right w:type="dxa" w:w="120"/>
            </w:tcMar>
          </w:tcPr>
          <w:p>
            <w:r>
              <w:rPr>
                <w:color w:val="2C2C2A"/>
                <w:sz w:val="20"/>
                <w:szCs w:val="20"/>
              </w:rPr>
              <w:t xml:space="preserve">✓ PROCEED</w:t>
            </w:r>
          </w:p>
        </w:tc>
      </w:tr>
      <w:tr>
        <w:tc>
          <w:tcPr>
            <w:tcW w:type="dxa" w:w="2800"/>
            <w:shd w:fill="F4F2EB" w:val="clear"/>
            <w:tcMar>
              <w:top w:type="dxa" w:w="60"/>
              <w:left w:type="dxa" w:w="120"/>
              <w:bottom w:type="dxa" w:w="60"/>
              <w:right w:type="dxa" w:w="120"/>
            </w:tcMar>
          </w:tcPr>
          <w:p>
            <w:r>
              <w:rPr>
                <w:color w:val="2C2C2A"/>
                <w:sz w:val="20"/>
                <w:szCs w:val="20"/>
              </w:rPr>
              <w:t xml:space="preserve">Report B: PaddleOCR + Donut + LayoutLM</w:t>
            </w:r>
          </w:p>
        </w:tc>
        <w:tc>
          <w:tcPr>
            <w:tcW w:type="dxa" w:w="1600"/>
            <w:shd w:fill="F4F2EB" w:val="clear"/>
            <w:tcMar>
              <w:top w:type="dxa" w:w="60"/>
              <w:left w:type="dxa" w:w="120"/>
              <w:bottom w:type="dxa" w:w="60"/>
              <w:right w:type="dxa" w:w="120"/>
            </w:tcMar>
          </w:tcPr>
          <w:p>
            <w:r>
              <w:rPr>
                <w:color w:val="2C2C2A"/>
                <w:sz w:val="20"/>
                <w:szCs w:val="20"/>
              </w:rPr>
              <w:t xml:space="preserve">High (3–4 sprints)</w:t>
            </w:r>
          </w:p>
        </w:tc>
        <w:tc>
          <w:tcPr>
            <w:tcW w:type="dxa" w:w="1800"/>
            <w:shd w:fill="F4F2EB" w:val="clear"/>
            <w:tcMar>
              <w:top w:type="dxa" w:w="60"/>
              <w:left w:type="dxa" w:w="120"/>
              <w:bottom w:type="dxa" w:w="60"/>
              <w:right w:type="dxa" w:w="120"/>
            </w:tcMar>
          </w:tcPr>
          <w:p>
            <w:r>
              <w:rPr>
                <w:color w:val="2C2C2A"/>
                <w:sz w:val="20"/>
                <w:szCs w:val="20"/>
              </w:rPr>
              <w:t xml:space="preserve">Marginal improvement</w:t>
            </w:r>
          </w:p>
        </w:tc>
        <w:tc>
          <w:tcPr>
            <w:tcW w:type="dxa" w:w="1600"/>
            <w:shd w:fill="F4F2EB" w:val="clear"/>
            <w:tcMar>
              <w:top w:type="dxa" w:w="60"/>
              <w:left w:type="dxa" w:w="120"/>
              <w:bottom w:type="dxa" w:w="60"/>
              <w:right w:type="dxa" w:w="120"/>
            </w:tcMar>
          </w:tcPr>
          <w:p>
            <w:r>
              <w:rPr>
                <w:color w:val="2C2C2A"/>
                <w:sz w:val="20"/>
                <w:szCs w:val="20"/>
              </w:rPr>
              <w:t xml:space="preserve">~$300–600 GPU</w:t>
            </w:r>
          </w:p>
        </w:tc>
        <w:tc>
          <w:tcPr>
            <w:tcW w:type="dxa" w:w="1560"/>
            <w:shd w:fill="F4F2EB" w:val="clear"/>
            <w:tcMar>
              <w:top w:type="dxa" w:w="60"/>
              <w:left w:type="dxa" w:w="120"/>
              <w:bottom w:type="dxa" w:w="60"/>
              <w:right w:type="dxa" w:w="120"/>
            </w:tcMar>
          </w:tcPr>
          <w:p>
            <w:r>
              <w:rPr>
                <w:color w:val="2C2C2A"/>
                <w:sz w:val="20"/>
                <w:szCs w:val="20"/>
              </w:rPr>
              <w:t xml:space="preserve">✗ SKIP v1</w:t>
            </w:r>
          </w:p>
        </w:tc>
      </w:tr>
      <w:tr>
        <w:tc>
          <w:tcPr>
            <w:tcW w:type="dxa" w:w="2800"/>
            <w:shd w:fill="FFFFFF" w:val="clear"/>
            <w:tcMar>
              <w:top w:type="dxa" w:w="60"/>
              <w:left w:type="dxa" w:w="120"/>
              <w:bottom w:type="dxa" w:w="60"/>
              <w:right w:type="dxa" w:w="120"/>
            </w:tcMar>
          </w:tcPr>
          <w:p>
            <w:r>
              <w:rPr>
                <w:color w:val="2C2C2A"/>
                <w:sz w:val="20"/>
                <w:szCs w:val="20"/>
              </w:rPr>
              <w:t xml:space="preserve">Report B: Full VLM pipeline (Qwen/InternVL)</w:t>
            </w:r>
          </w:p>
        </w:tc>
        <w:tc>
          <w:tcPr>
            <w:tcW w:type="dxa" w:w="1600"/>
            <w:shd w:fill="FFFFFF" w:val="clear"/>
            <w:tcMar>
              <w:top w:type="dxa" w:w="60"/>
              <w:left w:type="dxa" w:w="120"/>
              <w:bottom w:type="dxa" w:w="60"/>
              <w:right w:type="dxa" w:w="120"/>
            </w:tcMar>
          </w:tcPr>
          <w:p>
            <w:r>
              <w:rPr>
                <w:color w:val="2C2C2A"/>
                <w:sz w:val="20"/>
                <w:szCs w:val="20"/>
              </w:rPr>
              <w:t xml:space="preserve">Very high</w:t>
            </w:r>
          </w:p>
        </w:tc>
        <w:tc>
          <w:tcPr>
            <w:tcW w:type="dxa" w:w="1800"/>
            <w:shd w:fill="FFFFFF" w:val="clear"/>
            <w:tcMar>
              <w:top w:type="dxa" w:w="60"/>
              <w:left w:type="dxa" w:w="120"/>
              <w:bottom w:type="dxa" w:w="60"/>
              <w:right w:type="dxa" w:w="120"/>
            </w:tcMar>
          </w:tcPr>
          <w:p>
            <w:r>
              <w:rPr>
                <w:color w:val="2C2C2A"/>
                <w:sz w:val="20"/>
                <w:szCs w:val="20"/>
              </w:rPr>
              <w:t xml:space="preserve">Potentially best</w:t>
            </w:r>
          </w:p>
        </w:tc>
        <w:tc>
          <w:tcPr>
            <w:tcW w:type="dxa" w:w="1600"/>
            <w:shd w:fill="FFFFFF" w:val="clear"/>
            <w:tcMar>
              <w:top w:type="dxa" w:w="60"/>
              <w:left w:type="dxa" w:w="120"/>
              <w:bottom w:type="dxa" w:w="60"/>
              <w:right w:type="dxa" w:w="120"/>
            </w:tcMar>
          </w:tcPr>
          <w:p>
            <w:r>
              <w:rPr>
                <w:color w:val="2C2C2A"/>
                <w:sz w:val="20"/>
                <w:szCs w:val="20"/>
              </w:rPr>
              <w:t xml:space="preserve">$800–2000 GPU</w:t>
            </w:r>
          </w:p>
        </w:tc>
        <w:tc>
          <w:tcPr>
            <w:tcW w:type="dxa" w:w="1560"/>
            <w:shd w:fill="FFFFFF" w:val="clear"/>
            <w:tcMar>
              <w:top w:type="dxa" w:w="60"/>
              <w:left w:type="dxa" w:w="120"/>
              <w:bottom w:type="dxa" w:w="60"/>
              <w:right w:type="dxa" w:w="120"/>
            </w:tcMar>
          </w:tcPr>
          <w:p>
            <w:r>
              <w:rPr>
                <w:color w:val="2C2C2A"/>
                <w:sz w:val="20"/>
                <w:szCs w:val="20"/>
              </w:rPr>
              <w:t xml:space="preserve">✗ Future only</w:t>
            </w:r>
          </w:p>
        </w:tc>
      </w:tr>
      <w:tr>
        <w:tc>
          <w:tcPr>
            <w:tcW w:type="dxa" w:w="2800"/>
            <w:shd w:fill="F4F2EB" w:val="clear"/>
            <w:tcMar>
              <w:top w:type="dxa" w:w="60"/>
              <w:left w:type="dxa" w:w="120"/>
              <w:bottom w:type="dxa" w:w="60"/>
              <w:right w:type="dxa" w:w="120"/>
            </w:tcMar>
          </w:tcPr>
          <w:p>
            <w:r>
              <w:rPr>
                <w:color w:val="2C2C2A"/>
                <w:sz w:val="20"/>
                <w:szCs w:val="20"/>
              </w:rPr>
              <w:t xml:space="preserve">Open-Meteo weather integration</w:t>
            </w:r>
          </w:p>
        </w:tc>
        <w:tc>
          <w:tcPr>
            <w:tcW w:type="dxa" w:w="1600"/>
            <w:shd w:fill="F4F2EB" w:val="clear"/>
            <w:tcMar>
              <w:top w:type="dxa" w:w="60"/>
              <w:left w:type="dxa" w:w="120"/>
              <w:bottom w:type="dxa" w:w="60"/>
              <w:right w:type="dxa" w:w="120"/>
            </w:tcMar>
          </w:tcPr>
          <w:p>
            <w:r>
              <w:rPr>
                <w:color w:val="2C2C2A"/>
                <w:sz w:val="20"/>
                <w:szCs w:val="20"/>
              </w:rPr>
              <w:t xml:space="preserve">✓ Low (1 sprint)</w:t>
            </w:r>
          </w:p>
        </w:tc>
        <w:tc>
          <w:tcPr>
            <w:tcW w:type="dxa" w:w="1800"/>
            <w:shd w:fill="F4F2EB" w:val="clear"/>
            <w:tcMar>
              <w:top w:type="dxa" w:w="60"/>
              <w:left w:type="dxa" w:w="120"/>
              <w:bottom w:type="dxa" w:w="60"/>
              <w:right w:type="dxa" w:w="120"/>
            </w:tcMar>
          </w:tcPr>
          <w:p>
            <w:r>
              <w:rPr>
                <w:color w:val="2C2C2A"/>
                <w:sz w:val="20"/>
                <w:szCs w:val="20"/>
              </w:rPr>
              <w:t xml:space="preserve">Adequate for v1</w:t>
            </w:r>
          </w:p>
        </w:tc>
        <w:tc>
          <w:tcPr>
            <w:tcW w:type="dxa" w:w="1600"/>
            <w:shd w:fill="F4F2EB" w:val="clear"/>
            <w:tcMar>
              <w:top w:type="dxa" w:w="60"/>
              <w:left w:type="dxa" w:w="120"/>
              <w:bottom w:type="dxa" w:w="60"/>
              <w:right w:type="dxa" w:w="120"/>
            </w:tcMar>
          </w:tcPr>
          <w:p>
            <w:r>
              <w:rPr>
                <w:color w:val="2C2C2A"/>
                <w:sz w:val="20"/>
                <w:szCs w:val="20"/>
              </w:rPr>
              <w:t xml:space="preserve">Free tier</w:t>
            </w:r>
          </w:p>
        </w:tc>
        <w:tc>
          <w:tcPr>
            <w:tcW w:type="dxa" w:w="1560"/>
            <w:shd w:fill="F4F2EB" w:val="clear"/>
            <w:tcMar>
              <w:top w:type="dxa" w:w="60"/>
              <w:left w:type="dxa" w:w="120"/>
              <w:bottom w:type="dxa" w:w="60"/>
              <w:right w:type="dxa" w:w="120"/>
            </w:tcMar>
          </w:tcPr>
          <w:p>
            <w:r>
              <w:rPr>
                <w:color w:val="2C2C2A"/>
                <w:sz w:val="20"/>
                <w:szCs w:val="20"/>
              </w:rPr>
              <w:t xml:space="preserve">✓ PROCEED</w:t>
            </w:r>
          </w:p>
        </w:tc>
      </w:tr>
      <w:tr>
        <w:tc>
          <w:tcPr>
            <w:tcW w:type="dxa" w:w="2800"/>
            <w:shd w:fill="FFFFFF" w:val="clear"/>
            <w:tcMar>
              <w:top w:type="dxa" w:w="60"/>
              <w:left w:type="dxa" w:w="120"/>
              <w:bottom w:type="dxa" w:w="60"/>
              <w:right w:type="dxa" w:w="120"/>
            </w:tcMar>
          </w:tcPr>
          <w:p>
            <w:r>
              <w:rPr>
                <w:color w:val="2C2C2A"/>
                <w:sz w:val="20"/>
                <w:szCs w:val="20"/>
              </w:rPr>
              <w:t xml:space="preserve">IMD ensemble for v2</w:t>
            </w:r>
          </w:p>
        </w:tc>
        <w:tc>
          <w:tcPr>
            <w:tcW w:type="dxa" w:w="1600"/>
            <w:shd w:fill="FFFFFF" w:val="clear"/>
            <w:tcMar>
              <w:top w:type="dxa" w:w="60"/>
              <w:left w:type="dxa" w:w="120"/>
              <w:bottom w:type="dxa" w:w="60"/>
              <w:right w:type="dxa" w:w="120"/>
            </w:tcMar>
          </w:tcPr>
          <w:p>
            <w:r>
              <w:rPr>
                <w:color w:val="2C2C2A"/>
                <w:sz w:val="20"/>
                <w:szCs w:val="20"/>
              </w:rPr>
              <w:t xml:space="preserve">Medium (2 sprints)</w:t>
            </w:r>
          </w:p>
        </w:tc>
        <w:tc>
          <w:tcPr>
            <w:tcW w:type="dxa" w:w="1800"/>
            <w:shd w:fill="FFFFFF" w:val="clear"/>
            <w:tcMar>
              <w:top w:type="dxa" w:w="60"/>
              <w:left w:type="dxa" w:w="120"/>
              <w:bottom w:type="dxa" w:w="60"/>
              <w:right w:type="dxa" w:w="120"/>
            </w:tcMar>
          </w:tcPr>
          <w:p>
            <w:r>
              <w:rPr>
                <w:color w:val="2C2C2A"/>
                <w:sz w:val="20"/>
                <w:szCs w:val="20"/>
              </w:rPr>
              <w:t xml:space="preserve">Better India accuracy</w:t>
            </w:r>
          </w:p>
        </w:tc>
        <w:tc>
          <w:tcPr>
            <w:tcW w:type="dxa" w:w="1600"/>
            <w:shd w:fill="FFFFFF" w:val="clear"/>
            <w:tcMar>
              <w:top w:type="dxa" w:w="60"/>
              <w:left w:type="dxa" w:w="120"/>
              <w:bottom w:type="dxa" w:w="60"/>
              <w:right w:type="dxa" w:w="120"/>
            </w:tcMar>
          </w:tcPr>
          <w:p>
            <w:r>
              <w:rPr>
                <w:color w:val="2C2C2A"/>
                <w:sz w:val="20"/>
                <w:szCs w:val="20"/>
              </w:rPr>
              <w:t xml:space="preserve">Minimal</w:t>
            </w:r>
          </w:p>
        </w:tc>
        <w:tc>
          <w:tcPr>
            <w:tcW w:type="dxa" w:w="1560"/>
            <w:shd w:fill="FFFFFF" w:val="clear"/>
            <w:tcMar>
              <w:top w:type="dxa" w:w="60"/>
              <w:left w:type="dxa" w:w="120"/>
              <w:bottom w:type="dxa" w:w="60"/>
              <w:right w:type="dxa" w:w="120"/>
            </w:tcMar>
          </w:tcPr>
          <w:p>
            <w:r>
              <w:rPr>
                <w:color w:val="2C2C2A"/>
                <w:sz w:val="20"/>
                <w:szCs w:val="20"/>
              </w:rPr>
              <w:t xml:space="preserve">✓ PLAN for v2</w:t>
            </w:r>
          </w:p>
        </w:tc>
      </w:tr>
    </w:tbl>
    <w:p>
      <w:r>
        <w:br w:type="page"/>
      </w:r>
    </w:p>
    <w:p>
      <w:pPr>
        <w:pStyle w:val="Heading1"/>
        <w:pBdr>
          <w:bottom w:val="single" w:color="1D9E75" w:sz="6" w:space="4"/>
        </w:pBdr>
        <w:spacing w:after="120" w:before="360"/>
      </w:pPr>
      <w:r>
        <w:t xml:space="preserve">Part 4 — Audit Scorecard</w:t>
      </w:r>
    </w:p>
    <w:p>
      <w:pPr>
        <w:spacing w:before="40"/>
      </w:pPr>
    </w:p>
    <w:tbl>
      <w:tblPr>
        <w:tblW w:type="dxa" w:w="9360"/>
        <w:tblBorders>
          <w:top w:val="single" w:color="D3D1C7" w:sz="4"/>
          <w:left w:val="single" w:color="D3D1C7" w:sz="4"/>
          <w:bottom w:val="single" w:color="D3D1C7" w:sz="4"/>
          <w:right w:val="single" w:color="D3D1C7" w:sz="4"/>
          <w:insideH w:val="single" w:color="auto" w:sz="4"/>
          <w:insideV w:val="single" w:color="auto" w:sz="4"/>
        </w:tblBorders>
      </w:tblPr>
      <w:tblGrid>
        <w:gridCol w:w="4000"/>
        <w:gridCol w:w="2680"/>
        <w:gridCol w:w="2680"/>
      </w:tblGrid>
      <w:tr>
        <w:trPr>
          <w:tblHeader/>
        </w:trPr>
        <w:tc>
          <w:tcPr>
            <w:tcW w:type="dxa" w:w="4000"/>
            <w:shd w:fill="1D9E75" w:val="clear"/>
            <w:tcMar>
              <w:top w:type="dxa" w:w="80"/>
              <w:left w:type="dxa" w:w="120"/>
              <w:bottom w:type="dxa" w:w="80"/>
              <w:right w:type="dxa" w:w="120"/>
            </w:tcMar>
          </w:tcPr>
          <w:p>
            <w:r>
              <w:rPr>
                <w:b/>
                <w:bCs/>
                <w:color w:val="FFFFFF"/>
                <w:sz w:val="20"/>
                <w:szCs w:val="20"/>
              </w:rPr>
              <w:t xml:space="preserve">Criterion</w:t>
            </w:r>
          </w:p>
        </w:tc>
        <w:tc>
          <w:tcPr>
            <w:tcW w:type="dxa" w:w="2680"/>
            <w:shd w:fill="1D9E75" w:val="clear"/>
            <w:tcMar>
              <w:top w:type="dxa" w:w="80"/>
              <w:left w:type="dxa" w:w="120"/>
              <w:bottom w:type="dxa" w:w="80"/>
              <w:right w:type="dxa" w:w="120"/>
            </w:tcMar>
          </w:tcPr>
          <w:p>
            <w:r>
              <w:rPr>
                <w:b/>
                <w:bCs/>
                <w:color w:val="FFFFFF"/>
                <w:sz w:val="20"/>
                <w:szCs w:val="20"/>
              </w:rPr>
              <w:t xml:space="preserve">Report A (Weather/Gemini)</w:t>
            </w:r>
          </w:p>
        </w:tc>
        <w:tc>
          <w:tcPr>
            <w:tcW w:type="dxa" w:w="2680"/>
            <w:shd w:fill="1D9E75" w:val="clear"/>
            <w:tcMar>
              <w:top w:type="dxa" w:w="80"/>
              <w:left w:type="dxa" w:w="120"/>
              <w:bottom w:type="dxa" w:w="80"/>
              <w:right w:type="dxa" w:w="120"/>
            </w:tcMar>
          </w:tcPr>
          <w:p>
            <w:r>
              <w:rPr>
                <w:b/>
                <w:bCs/>
                <w:color w:val="FFFFFF"/>
                <w:sz w:val="20"/>
                <w:szCs w:val="20"/>
              </w:rPr>
              <w:t xml:space="preserve">Report B (OCR/ChatGPT)</w:t>
            </w:r>
          </w:p>
        </w:tc>
      </w:tr>
      <w:tr>
        <w:tc>
          <w:tcPr>
            <w:tcW w:type="dxa" w:w="4000"/>
            <w:shd w:fill="FFFFFF" w:val="clear"/>
            <w:tcMar>
              <w:top w:type="dxa" w:w="60"/>
              <w:left w:type="dxa" w:w="120"/>
              <w:bottom w:type="dxa" w:w="60"/>
              <w:right w:type="dxa" w:w="120"/>
            </w:tcMar>
          </w:tcPr>
          <w:p>
            <w:r>
              <w:rPr>
                <w:color w:val="2C2C2A"/>
                <w:sz w:val="20"/>
                <w:szCs w:val="20"/>
              </w:rPr>
              <w:t xml:space="preserve">Factual accuracy of core claims</w:t>
            </w:r>
          </w:p>
        </w:tc>
        <w:tc>
          <w:tcPr>
            <w:tcW w:type="dxa" w:w="2680"/>
            <w:shd w:fill="FFFFFF" w:val="clear"/>
            <w:tcMar>
              <w:top w:type="dxa" w:w="60"/>
              <w:left w:type="dxa" w:w="120"/>
              <w:bottom w:type="dxa" w:w="60"/>
              <w:right w:type="dxa" w:w="120"/>
            </w:tcMar>
          </w:tcPr>
          <w:p>
            <w:r>
              <w:rPr>
                <w:color w:val="2C2C2A"/>
                <w:sz w:val="20"/>
                <w:szCs w:val="20"/>
              </w:rPr>
              <w:t xml:space="preserve">8 / 10</w:t>
            </w:r>
          </w:p>
        </w:tc>
        <w:tc>
          <w:tcPr>
            <w:tcW w:type="dxa" w:w="2680"/>
            <w:shd w:fill="FFFFFF" w:val="clear"/>
            <w:tcMar>
              <w:top w:type="dxa" w:w="60"/>
              <w:left w:type="dxa" w:w="120"/>
              <w:bottom w:type="dxa" w:w="60"/>
              <w:right w:type="dxa" w:w="120"/>
            </w:tcMar>
          </w:tcPr>
          <w:p>
            <w:r>
              <w:rPr>
                <w:color w:val="2C2C2A"/>
                <w:sz w:val="20"/>
                <w:szCs w:val="20"/>
              </w:rPr>
              <w:t xml:space="preserve">5 / 10</w:t>
            </w:r>
          </w:p>
        </w:tc>
      </w:tr>
      <w:tr>
        <w:tc>
          <w:tcPr>
            <w:tcW w:type="dxa" w:w="4000"/>
            <w:shd w:fill="F4F2EB" w:val="clear"/>
            <w:tcMar>
              <w:top w:type="dxa" w:w="60"/>
              <w:left w:type="dxa" w:w="120"/>
              <w:bottom w:type="dxa" w:w="60"/>
              <w:right w:type="dxa" w:w="120"/>
            </w:tcMar>
          </w:tcPr>
          <w:p>
            <w:r>
              <w:rPr>
                <w:color w:val="2C2C2A"/>
                <w:sz w:val="20"/>
                <w:szCs w:val="20"/>
              </w:rPr>
              <w:t xml:space="preserve">Citation quality (primary vs. marketing)</w:t>
            </w:r>
          </w:p>
        </w:tc>
        <w:tc>
          <w:tcPr>
            <w:tcW w:type="dxa" w:w="2680"/>
            <w:shd w:fill="F4F2EB" w:val="clear"/>
            <w:tcMar>
              <w:top w:type="dxa" w:w="60"/>
              <w:left w:type="dxa" w:w="120"/>
              <w:bottom w:type="dxa" w:w="60"/>
              <w:right w:type="dxa" w:w="120"/>
            </w:tcMar>
          </w:tcPr>
          <w:p>
            <w:r>
              <w:rPr>
                <w:color w:val="2C2C2A"/>
                <w:sz w:val="20"/>
                <w:szCs w:val="20"/>
              </w:rPr>
              <w:t xml:space="preserve">4 / 10</w:t>
            </w:r>
          </w:p>
        </w:tc>
        <w:tc>
          <w:tcPr>
            <w:tcW w:type="dxa" w:w="2680"/>
            <w:shd w:fill="F4F2EB" w:val="clear"/>
            <w:tcMar>
              <w:top w:type="dxa" w:w="60"/>
              <w:left w:type="dxa" w:w="120"/>
              <w:bottom w:type="dxa" w:w="60"/>
              <w:right w:type="dxa" w:w="120"/>
            </w:tcMar>
          </w:tcPr>
          <w:p>
            <w:r>
              <w:rPr>
                <w:color w:val="2C2C2A"/>
                <w:sz w:val="20"/>
                <w:szCs w:val="20"/>
              </w:rPr>
              <w:t xml:space="preserve">3 / 10</w:t>
            </w:r>
          </w:p>
        </w:tc>
      </w:tr>
      <w:tr>
        <w:tc>
          <w:tcPr>
            <w:tcW w:type="dxa" w:w="4000"/>
            <w:shd w:fill="FFFFFF" w:val="clear"/>
            <w:tcMar>
              <w:top w:type="dxa" w:w="60"/>
              <w:left w:type="dxa" w:w="120"/>
              <w:bottom w:type="dxa" w:w="60"/>
              <w:right w:type="dxa" w:w="120"/>
            </w:tcMar>
          </w:tcPr>
          <w:p>
            <w:r>
              <w:rPr>
                <w:color w:val="2C2C2A"/>
                <w:sz w:val="20"/>
                <w:szCs w:val="20"/>
              </w:rPr>
              <w:t xml:space="preserve">Technical depth</w:t>
            </w:r>
          </w:p>
        </w:tc>
        <w:tc>
          <w:tcPr>
            <w:tcW w:type="dxa" w:w="2680"/>
            <w:shd w:fill="FFFFFF" w:val="clear"/>
            <w:tcMar>
              <w:top w:type="dxa" w:w="60"/>
              <w:left w:type="dxa" w:w="120"/>
              <w:bottom w:type="dxa" w:w="60"/>
              <w:right w:type="dxa" w:w="120"/>
            </w:tcMar>
          </w:tcPr>
          <w:p>
            <w:r>
              <w:rPr>
                <w:color w:val="2C2C2A"/>
                <w:sz w:val="20"/>
                <w:szCs w:val="20"/>
              </w:rPr>
              <w:t xml:space="preserve">8 / 10</w:t>
            </w:r>
          </w:p>
        </w:tc>
        <w:tc>
          <w:tcPr>
            <w:tcW w:type="dxa" w:w="2680"/>
            <w:shd w:fill="FFFFFF" w:val="clear"/>
            <w:tcMar>
              <w:top w:type="dxa" w:w="60"/>
              <w:left w:type="dxa" w:w="120"/>
              <w:bottom w:type="dxa" w:w="60"/>
              <w:right w:type="dxa" w:w="120"/>
            </w:tcMar>
          </w:tcPr>
          <w:p>
            <w:r>
              <w:rPr>
                <w:color w:val="2C2C2A"/>
                <w:sz w:val="20"/>
                <w:szCs w:val="20"/>
              </w:rPr>
              <w:t xml:space="preserve">6 / 10</w:t>
            </w:r>
          </w:p>
        </w:tc>
      </w:tr>
      <w:tr>
        <w:tc>
          <w:tcPr>
            <w:tcW w:type="dxa" w:w="4000"/>
            <w:shd w:fill="F4F2EB" w:val="clear"/>
            <w:tcMar>
              <w:top w:type="dxa" w:w="60"/>
              <w:left w:type="dxa" w:w="120"/>
              <w:bottom w:type="dxa" w:w="60"/>
              <w:right w:type="dxa" w:w="120"/>
            </w:tcMar>
          </w:tcPr>
          <w:p>
            <w:r>
              <w:rPr>
                <w:color w:val="2C2C2A"/>
                <w:sz w:val="20"/>
                <w:szCs w:val="20"/>
              </w:rPr>
              <w:t xml:space="preserve">No hallucinated references</w:t>
            </w:r>
          </w:p>
        </w:tc>
        <w:tc>
          <w:tcPr>
            <w:tcW w:type="dxa" w:w="2680"/>
            <w:shd w:fill="F4F2EB" w:val="clear"/>
            <w:tcMar>
              <w:top w:type="dxa" w:w="60"/>
              <w:left w:type="dxa" w:w="120"/>
              <w:bottom w:type="dxa" w:w="60"/>
              <w:right w:type="dxa" w:w="120"/>
            </w:tcMar>
          </w:tcPr>
          <w:p>
            <w:r>
              <w:rPr>
                <w:color w:val="2C2C2A"/>
                <w:sz w:val="20"/>
                <w:szCs w:val="20"/>
              </w:rPr>
              <w:t xml:space="preserve">9 / 10</w:t>
            </w:r>
          </w:p>
        </w:tc>
        <w:tc>
          <w:tcPr>
            <w:tcW w:type="dxa" w:w="2680"/>
            <w:shd w:fill="F4F2EB" w:val="clear"/>
            <w:tcMar>
              <w:top w:type="dxa" w:w="60"/>
              <w:left w:type="dxa" w:w="120"/>
              <w:bottom w:type="dxa" w:w="60"/>
              <w:right w:type="dxa" w:w="120"/>
            </w:tcMar>
          </w:tcPr>
          <w:p>
            <w:r>
              <w:rPr>
                <w:color w:val="2C2C2A"/>
                <w:sz w:val="20"/>
                <w:szCs w:val="20"/>
              </w:rPr>
              <w:t xml:space="preserve">4 / 10</w:t>
            </w:r>
          </w:p>
        </w:tc>
      </w:tr>
      <w:tr>
        <w:tc>
          <w:tcPr>
            <w:tcW w:type="dxa" w:w="4000"/>
            <w:shd w:fill="FFFFFF" w:val="clear"/>
            <w:tcMar>
              <w:top w:type="dxa" w:w="60"/>
              <w:left w:type="dxa" w:w="120"/>
              <w:bottom w:type="dxa" w:w="60"/>
              <w:right w:type="dxa" w:w="120"/>
            </w:tcMar>
          </w:tcPr>
          <w:p>
            <w:r>
              <w:rPr>
                <w:color w:val="2C2C2A"/>
                <w:sz w:val="20"/>
                <w:szCs w:val="20"/>
              </w:rPr>
              <w:t xml:space="preserve">India/GramIQ specificity</w:t>
            </w:r>
          </w:p>
        </w:tc>
        <w:tc>
          <w:tcPr>
            <w:tcW w:type="dxa" w:w="2680"/>
            <w:shd w:fill="FFFFFF" w:val="clear"/>
            <w:tcMar>
              <w:top w:type="dxa" w:w="60"/>
              <w:left w:type="dxa" w:w="120"/>
              <w:bottom w:type="dxa" w:w="60"/>
              <w:right w:type="dxa" w:w="120"/>
            </w:tcMar>
          </w:tcPr>
          <w:p>
            <w:r>
              <w:rPr>
                <w:color w:val="2C2C2A"/>
                <w:sz w:val="20"/>
                <w:szCs w:val="20"/>
              </w:rPr>
              <w:t xml:space="preserve">7 / 10</w:t>
            </w:r>
          </w:p>
        </w:tc>
        <w:tc>
          <w:tcPr>
            <w:tcW w:type="dxa" w:w="2680"/>
            <w:shd w:fill="FFFFFF" w:val="clear"/>
            <w:tcMar>
              <w:top w:type="dxa" w:w="60"/>
              <w:left w:type="dxa" w:w="120"/>
              <w:bottom w:type="dxa" w:w="60"/>
              <w:right w:type="dxa" w:w="120"/>
            </w:tcMar>
          </w:tcPr>
          <w:p>
            <w:r>
              <w:rPr>
                <w:color w:val="2C2C2A"/>
                <w:sz w:val="20"/>
                <w:szCs w:val="20"/>
              </w:rPr>
              <w:t xml:space="preserve">5 / 10</w:t>
            </w:r>
          </w:p>
        </w:tc>
      </w:tr>
      <w:tr>
        <w:tc>
          <w:tcPr>
            <w:tcW w:type="dxa" w:w="4000"/>
            <w:shd w:fill="F4F2EB" w:val="clear"/>
            <w:tcMar>
              <w:top w:type="dxa" w:w="60"/>
              <w:left w:type="dxa" w:w="120"/>
              <w:bottom w:type="dxa" w:w="60"/>
              <w:right w:type="dxa" w:w="120"/>
            </w:tcMar>
          </w:tcPr>
          <w:p>
            <w:r>
              <w:rPr>
                <w:color w:val="2C2C2A"/>
                <w:sz w:val="20"/>
                <w:szCs w:val="20"/>
              </w:rPr>
              <w:t xml:space="preserve">Writing professionalism</w:t>
            </w:r>
          </w:p>
        </w:tc>
        <w:tc>
          <w:tcPr>
            <w:tcW w:type="dxa" w:w="2680"/>
            <w:shd w:fill="F4F2EB" w:val="clear"/>
            <w:tcMar>
              <w:top w:type="dxa" w:w="60"/>
              <w:left w:type="dxa" w:w="120"/>
              <w:bottom w:type="dxa" w:w="60"/>
              <w:right w:type="dxa" w:w="120"/>
            </w:tcMar>
          </w:tcPr>
          <w:p>
            <w:r>
              <w:rPr>
                <w:color w:val="2C2C2A"/>
                <w:sz w:val="20"/>
                <w:szCs w:val="20"/>
              </w:rPr>
              <w:t xml:space="preserve">9 / 10</w:t>
            </w:r>
          </w:p>
        </w:tc>
        <w:tc>
          <w:tcPr>
            <w:tcW w:type="dxa" w:w="2680"/>
            <w:shd w:fill="F4F2EB" w:val="clear"/>
            <w:tcMar>
              <w:top w:type="dxa" w:w="60"/>
              <w:left w:type="dxa" w:w="120"/>
              <w:bottom w:type="dxa" w:w="60"/>
              <w:right w:type="dxa" w:w="120"/>
            </w:tcMar>
          </w:tcPr>
          <w:p>
            <w:r>
              <w:rPr>
                <w:color w:val="2C2C2A"/>
                <w:sz w:val="20"/>
                <w:szCs w:val="20"/>
              </w:rPr>
              <w:t xml:space="preserve">4 / 10</w:t>
            </w:r>
          </w:p>
        </w:tc>
      </w:tr>
      <w:tr>
        <w:tc>
          <w:tcPr>
            <w:tcW w:type="dxa" w:w="4000"/>
            <w:shd w:fill="FFFFFF" w:val="clear"/>
            <w:tcMar>
              <w:top w:type="dxa" w:w="60"/>
              <w:left w:type="dxa" w:w="120"/>
              <w:bottom w:type="dxa" w:w="60"/>
              <w:right w:type="dxa" w:w="120"/>
            </w:tcMar>
          </w:tcPr>
          <w:p>
            <w:r>
              <w:rPr>
                <w:color w:val="2C2C2A"/>
                <w:sz w:val="20"/>
                <w:szCs w:val="20"/>
              </w:rPr>
              <w:t xml:space="preserve">Actionability for engineering team</w:t>
            </w:r>
          </w:p>
        </w:tc>
        <w:tc>
          <w:tcPr>
            <w:tcW w:type="dxa" w:w="2680"/>
            <w:shd w:fill="FFFFFF" w:val="clear"/>
            <w:tcMar>
              <w:top w:type="dxa" w:w="60"/>
              <w:left w:type="dxa" w:w="120"/>
              <w:bottom w:type="dxa" w:w="60"/>
              <w:right w:type="dxa" w:w="120"/>
            </w:tcMar>
          </w:tcPr>
          <w:p>
            <w:r>
              <w:rPr>
                <w:color w:val="2C2C2A"/>
                <w:sz w:val="20"/>
                <w:szCs w:val="20"/>
              </w:rPr>
              <w:t xml:space="preserve">8 / 10</w:t>
            </w:r>
          </w:p>
        </w:tc>
        <w:tc>
          <w:tcPr>
            <w:tcW w:type="dxa" w:w="2680"/>
            <w:shd w:fill="FFFFFF" w:val="clear"/>
            <w:tcMar>
              <w:top w:type="dxa" w:w="60"/>
              <w:left w:type="dxa" w:w="120"/>
              <w:bottom w:type="dxa" w:w="60"/>
              <w:right w:type="dxa" w:w="120"/>
            </w:tcMar>
          </w:tcPr>
          <w:p>
            <w:r>
              <w:rPr>
                <w:color w:val="2C2C2A"/>
                <w:sz w:val="20"/>
                <w:szCs w:val="20"/>
              </w:rPr>
              <w:t xml:space="preserve">5 / 10</w:t>
            </w:r>
          </w:p>
        </w:tc>
      </w:tr>
      <w:tr>
        <w:tc>
          <w:tcPr>
            <w:tcW w:type="dxa" w:w="4000"/>
            <w:shd w:fill="F4F2EB" w:val="clear"/>
            <w:tcMar>
              <w:top w:type="dxa" w:w="60"/>
              <w:left w:type="dxa" w:w="120"/>
              <w:bottom w:type="dxa" w:w="60"/>
              <w:right w:type="dxa" w:w="120"/>
            </w:tcMar>
          </w:tcPr>
          <w:p>
            <w:r>
              <w:rPr>
                <w:color w:val="2C2C2A"/>
                <w:sz w:val="20"/>
                <w:szCs w:val="20"/>
              </w:rPr>
              <w:t xml:space="preserve">TOTAL</w:t>
            </w:r>
          </w:p>
        </w:tc>
        <w:tc>
          <w:tcPr>
            <w:tcW w:type="dxa" w:w="2680"/>
            <w:shd w:fill="F4F2EB" w:val="clear"/>
            <w:tcMar>
              <w:top w:type="dxa" w:w="60"/>
              <w:left w:type="dxa" w:w="120"/>
              <w:bottom w:type="dxa" w:w="60"/>
              <w:right w:type="dxa" w:w="120"/>
            </w:tcMar>
          </w:tcPr>
          <w:p>
            <w:r>
              <w:rPr>
                <w:color w:val="2C2C2A"/>
                <w:sz w:val="20"/>
                <w:szCs w:val="20"/>
              </w:rPr>
              <w:t xml:space="preserve">53 / 70</w:t>
            </w:r>
          </w:p>
        </w:tc>
        <w:tc>
          <w:tcPr>
            <w:tcW w:type="dxa" w:w="2680"/>
            <w:shd w:fill="F4F2EB" w:val="clear"/>
            <w:tcMar>
              <w:top w:type="dxa" w:w="60"/>
              <w:left w:type="dxa" w:w="120"/>
              <w:bottom w:type="dxa" w:w="60"/>
              <w:right w:type="dxa" w:w="120"/>
            </w:tcMar>
          </w:tcPr>
          <w:p>
            <w:r>
              <w:rPr>
                <w:color w:val="2C2C2A"/>
                <w:sz w:val="20"/>
                <w:szCs w:val="20"/>
              </w:rPr>
              <w:t xml:space="preserve">32 / 70</w:t>
            </w:r>
          </w:p>
        </w:tc>
      </w:tr>
      <w:tr>
        <w:tc>
          <w:tcPr>
            <w:tcW w:type="dxa" w:w="4000"/>
            <w:shd w:fill="FFFFFF" w:val="clear"/>
            <w:tcMar>
              <w:top w:type="dxa" w:w="60"/>
              <w:left w:type="dxa" w:w="120"/>
              <w:bottom w:type="dxa" w:w="60"/>
              <w:right w:type="dxa" w:w="120"/>
            </w:tcMar>
          </w:tcPr>
          <w:p>
            <w:r>
              <w:rPr>
                <w:color w:val="2C2C2A"/>
                <w:sz w:val="20"/>
                <w:szCs w:val="20"/>
              </w:rPr>
              <w:t xml:space="preserve">Recommended action</w:t>
            </w:r>
          </w:p>
        </w:tc>
        <w:tc>
          <w:tcPr>
            <w:tcW w:type="dxa" w:w="2680"/>
            <w:shd w:fill="FFFFFF" w:val="clear"/>
            <w:tcMar>
              <w:top w:type="dxa" w:w="60"/>
              <w:left w:type="dxa" w:w="120"/>
              <w:bottom w:type="dxa" w:w="60"/>
              <w:right w:type="dxa" w:w="120"/>
            </w:tcMar>
          </w:tcPr>
          <w:p>
            <w:r>
              <w:rPr>
                <w:color w:val="2C2C2A"/>
                <w:sz w:val="20"/>
                <w:szCs w:val="20"/>
              </w:rPr>
              <w:t xml:space="preserve">Use with corrections noted</w:t>
            </w:r>
          </w:p>
        </w:tc>
        <w:tc>
          <w:tcPr>
            <w:tcW w:type="dxa" w:w="2680"/>
            <w:shd w:fill="FFFFFF" w:val="clear"/>
            <w:tcMar>
              <w:top w:type="dxa" w:w="60"/>
              <w:left w:type="dxa" w:w="120"/>
              <w:bottom w:type="dxa" w:w="60"/>
              <w:right w:type="dxa" w:w="120"/>
            </w:tcMar>
          </w:tcPr>
          <w:p>
            <w:r>
              <w:rPr>
                <w:color w:val="2C2C2A"/>
                <w:sz w:val="20"/>
                <w:szCs w:val="20"/>
              </w:rPr>
              <w:t xml:space="preserve">DO NOT USE — requires full rewrite</w:t>
            </w:r>
          </w:p>
        </w:tc>
      </w:tr>
    </w:tbl>
    <w:p>
      <w:pPr>
        <w:spacing w:before="160"/>
      </w:pPr>
    </w:p>
    <w:p>
      <w:pPr>
        <w:pStyle w:val="Heading1"/>
        <w:pBdr>
          <w:bottom w:val="single" w:color="1D9E75" w:sz="6" w:space="4"/>
        </w:pBdr>
        <w:spacing w:after="120" w:before="360"/>
      </w:pPr>
      <w:r>
        <w:t xml:space="preserve">Part 5 — Recommendations for Future AI-Generated Research</w:t>
      </w:r>
    </w:p>
    <w:p>
      <w:pPr>
        <w:spacing w:before="40"/>
      </w:pPr>
    </w:p>
    <w:p>
      <w:pPr>
        <w:pStyle w:val="ListParagraph"/>
        <w:numPr>
          <w:ilvl w:val="0"/>
          <w:numId w:val="3"/>
        </w:numPr>
        <w:spacing w:after="80"/>
      </w:pPr>
      <w:r>
        <w:rPr>
          <w:b/>
          <w:bCs/>
          <w:color w:val="2C2C2A"/>
          <w:sz w:val="22"/>
          <w:szCs w:val="22"/>
        </w:rPr>
        <w:t xml:space="preserve">Always verify model version numbers independently. </w:t>
      </w:r>
      <w:r>
        <w:rPr>
          <w:color w:val="2C2C2A"/>
          <w:sz w:val="22"/>
          <w:szCs w:val="22"/>
        </w:rPr>
        <w:t xml:space="preserve">LLMs frequently confuse version numbers (MiniCPM-V 4.6 vs 2.6), parameter counts, and licence terms. Cross-check every model claim against its Hugging Face page or official GitHub repo before use.</w:t>
      </w:r>
    </w:p>
    <w:p>
      <w:pPr>
        <w:pStyle w:val="ListParagraph"/>
        <w:numPr>
          <w:ilvl w:val="0"/>
          <w:numId w:val="3"/>
        </w:numPr>
        <w:spacing w:after="80"/>
      </w:pPr>
      <w:r>
        <w:rPr>
          <w:b/>
          <w:bCs/>
          <w:color w:val="2C2C2A"/>
          <w:sz w:val="22"/>
          <w:szCs w:val="22"/>
        </w:rPr>
        <w:t xml:space="preserve">Never cite a vendor's own website as technical evidence. </w:t>
      </w:r>
      <w:r>
        <w:rPr>
          <w:color w:val="2C2C2A"/>
          <w:sz w:val="22"/>
          <w:szCs w:val="22"/>
        </w:rPr>
        <w:t xml:space="preserve">Meteoblue's accuracy claims, Ambee's ClimaChain, Tomorrow.io's satellite constellation — all require independent validation. Use academic papers or independent benchmarks (e.g., WeatherBench2 for NWP accuracy).</w:t>
      </w:r>
    </w:p>
    <w:p>
      <w:pPr>
        <w:pStyle w:val="ListParagraph"/>
        <w:numPr>
          <w:ilvl w:val="0"/>
          <w:numId w:val="3"/>
        </w:numPr>
        <w:spacing w:after="80"/>
      </w:pPr>
      <w:r>
        <w:rPr>
          <w:b/>
          <w:bCs/>
          <w:color w:val="2C2C2A"/>
          <w:sz w:val="22"/>
          <w:szCs w:val="22"/>
        </w:rPr>
        <w:t xml:space="preserve">Search for papers before trusting citations. </w:t>
      </w:r>
      <w:r>
        <w:rPr>
          <w:color w:val="2C2C2A"/>
          <w:sz w:val="22"/>
          <w:szCs w:val="22"/>
        </w:rPr>
        <w:t xml:space="preserve">Before including any paper citation in a report used for engineering or investor decisions, verify it exists on Google Scholar, arXiv, or ACL Anthology. The AgroExpense-OCR (2026) hallucination is a serious example of why this matters.</w:t>
      </w:r>
    </w:p>
    <w:p>
      <w:pPr>
        <w:pStyle w:val="ListParagraph"/>
        <w:numPr>
          <w:ilvl w:val="0"/>
          <w:numId w:val="3"/>
        </w:numPr>
        <w:spacing w:after="80"/>
      </w:pPr>
      <w:r>
        <w:rPr>
          <w:b/>
          <w:bCs/>
          <w:color w:val="2C2C2A"/>
          <w:sz w:val="22"/>
          <w:szCs w:val="22"/>
        </w:rPr>
        <w:t xml:space="preserve">Prompt AI research assistants to separate verified from uncertain claims. </w:t>
      </w:r>
      <w:r>
        <w:rPr>
          <w:color w:val="2C2C2A"/>
          <w:sz w:val="22"/>
          <w:szCs w:val="22"/>
        </w:rPr>
        <w:t xml:space="preserve">Add to every research prompt: "Clearly mark any claim you cannot verify with [UNVERIFIED]. Do not include citations unless you are certain they exist."</w:t>
      </w:r>
    </w:p>
    <w:p>
      <w:pPr>
        <w:pStyle w:val="ListParagraph"/>
        <w:numPr>
          <w:ilvl w:val="0"/>
          <w:numId w:val="3"/>
        </w:numPr>
        <w:spacing w:after="80"/>
      </w:pPr>
      <w:r>
        <w:rPr>
          <w:b/>
          <w:bCs/>
          <w:color w:val="2C2C2A"/>
          <w:sz w:val="22"/>
          <w:szCs w:val="22"/>
        </w:rPr>
        <w:t xml:space="preserve">Specify the audience and professional register in every prompt. </w:t>
      </w:r>
      <w:r>
        <w:rPr>
          <w:color w:val="2C2C2A"/>
          <w:sz w:val="22"/>
          <w:szCs w:val="22"/>
        </w:rPr>
        <w:t xml:space="preserve">The casual tone in Report B ("No cap, farm OCR is hard") results from the prompt not specifying a professional technical audience. Always include: "Write for a senior engineering audience. Use formal technical language throughout."</w:t>
      </w:r>
    </w:p>
    <w:p>
      <w:pPr>
        <w:pStyle w:val="ListParagraph"/>
        <w:numPr>
          <w:ilvl w:val="0"/>
          <w:numId w:val="3"/>
        </w:numPr>
        <w:spacing w:after="80"/>
      </w:pPr>
      <w:r>
        <w:rPr>
          <w:b/>
          <w:bCs/>
          <w:color w:val="2C2C2A"/>
          <w:sz w:val="22"/>
          <w:szCs w:val="22"/>
        </w:rPr>
        <w:t xml:space="preserve">Commission research in narrow, specific slices. </w:t>
      </w:r>
      <w:r>
        <w:rPr>
          <w:color w:val="2C2C2A"/>
          <w:sz w:val="22"/>
          <w:szCs w:val="22"/>
        </w:rPr>
        <w:t xml:space="preserve">A prompt asking for "comprehensive analysis of all OCR technologies" produces shallow coverage. A prompt asking "compare PaddleOCR v4 and EasyOCR specifically for offline Devanagari handwriting on low-end Android devices" produces actionable depth.</w:t>
      </w:r>
    </w:p>
    <w:p>
      <w:pPr>
        <w:spacing w:before="160"/>
      </w:pPr>
    </w:p>
    <w:p>
      <w:pPr>
        <w:pBdr>
          <w:top w:val="single" w:color="D3D1C7" w:sz="4" w:space="8"/>
        </w:pBdr>
        <w:spacing w:before="200"/>
        <w:jc w:val="center"/>
      </w:pPr>
      <w:r>
        <w:rPr>
          <w:i/>
          <w:iCs/>
          <w:color w:val="6B6B68"/>
          <w:sz w:val="20"/>
          <w:szCs w:val="20"/>
        </w:rPr>
        <w:t xml:space="preserve">End of Audit Report</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pPr>
    <w:r>
      <w:rPr>
        <w:color w:val="6B6B68"/>
        <w:sz w:val="18"/>
        <w:szCs w:val="18"/>
      </w:rPr>
      <w:t xml:space="preserve">GramIQ Research Audit Report  v1.0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tabs>
        <w:tab w:val="right" w:pos="9360"/>
      </w:tabs>
    </w:pPr>
    <w:r>
      <w:rPr>
        <w:color w:val="6B6B68"/>
        <w:sz w:val="18"/>
        <w:szCs w:val="18"/>
      </w:rPr>
      <w:t xml:space="preserve">GramIQ Research Audit — Confidential</w:t>
    </w:r>
    <w:r>
      <w:rPr>
        <w:sz w:val="18"/>
        <w:szCs w:val="18"/>
      </w:rPr>
      <w:t xml:space="preserve">	</w:t>
    </w:r>
    <w:r>
      <w:rPr>
        <w:b/>
        <w:bCs/>
        <w:color w:val="A32D2D"/>
        <w:sz w:val="18"/>
        <w:szCs w:val="18"/>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20" w:before="360"/>
    </w:pPr>
    <w:rPr>
      <w:rFonts w:ascii="Calibri" w:cs="Calibri" w:eastAsia="Calibri" w:hAnsi="Calibri"/>
      <w:b/>
      <w:bCs/>
      <w:color w:val="1D9E75"/>
      <w:sz w:val="32"/>
      <w:szCs w:val="32"/>
    </w:rPr>
  </w:style>
  <w:style w:type="paragraph" w:styleId="Heading2">
    <w:name w:val="Heading 2"/>
    <w:basedOn w:val="Normal"/>
    <w:pPr>
      <w:spacing w:after="80" w:before="280"/>
    </w:pPr>
    <w:rPr>
      <w:rFonts w:ascii="Calibri" w:cs="Calibri" w:eastAsia="Calibri" w:hAnsi="Calibri"/>
      <w:b/>
      <w:bCs/>
      <w:color w:val="2C2C2A"/>
      <w:sz w:val="26"/>
      <w:szCs w:val="26"/>
    </w:rPr>
  </w:style>
  <w:style w:type="paragraph" w:styleId="Heading3">
    <w:name w:val="Heading 3"/>
    <w:basedOn w:val="Normal"/>
    <w:pPr>
      <w:spacing w:after="60" w:before="200"/>
    </w:pPr>
    <w:rPr>
      <w:rFonts w:ascii="Calibri" w:cs="Calibri" w:eastAsia="Calibri" w:hAnsi="Calibri"/>
      <w:b/>
      <w:bCs/>
      <w:color w:val="1D9E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xssmnynkavx2lnedgmmm" Type="http://schemas.openxmlformats.org/officeDocument/2006/relationships/hyperlink" Target="https://frogcast.com/agriculture/" TargetMode="External"/><Relationship Id="rIdcfrpg74spnwxsx6b6531x" Type="http://schemas.openxmlformats.org/officeDocument/2006/relationships/hyperlink" Target="https://deepmind.google/discover/blog/graphcast-ai-model-for-faster-and-more-accurate-global-weather-forecasting/" TargetMode="External"/><Relationship Id="rIdtfus3fwpbwhorhd9f52ir" Type="http://schemas.openxmlformats.org/officeDocument/2006/relationships/hyperlink" Target="https://www.getambee.com/api/agri-weather" TargetMode="External"/><Relationship Id="rIdkhveocd1tyuev-j68e_da" Type="http://schemas.openxmlformats.org/officeDocument/2006/relationships/hyperlink" Target="https://mausam.imd.gov.in/" TargetMode="External"/><Relationship Id="rIdnhjgt--cj7lyrvfkh_cgm" Type="http://schemas.openxmlformats.org/officeDocument/2006/relationships/hyperlink" Target="https://data.gov.in/" TargetMode="External"/><Relationship Id="rIdgdcoosscbmelecfpykoj5" Type="http://schemas.openxmlformats.org/officeDocument/2006/relationships/hyperlink" Target="https://www.jait.us/" TargetMode="External"/><Relationship Id="rIdj7ux4rtp-btscnil2kx8g" Type="http://schemas.openxmlformats.org/officeDocument/2006/relationships/hyperlink" Target="https://github.com/Ucas-HaoranWei/GOT-OCR2.0" TargetMode="External"/><Relationship Id="rIdcfvel5pxpeqhupm3yq8qy" Type="http://schemas.openxmlformats.org/officeDocument/2006/relationships/hyperlink" Target="https://github.com/PaddlePaddle/FLORENCE_OCR" TargetMode="External"/><Relationship Id="rIdyabmcxsvuk1mzjvfyr-xq" Type="http://schemas.openxmlformats.org/officeDocument/2006/relationships/hyperlink" Target="https://github.com/PaddlePaddle/PaddleOCR" TargetMode="External"/><Relationship Id="rIdtfkzhqrdjggyivaonzmvn" Type="http://schemas.openxmlformats.org/officeDocument/2006/relationships/hyperlink" Target="https://huggingface.co/collections/OpenGVLab/internvl25-673e1019b66e2ab8c6ed0be7" TargetMode="External"/><Relationship Id="rIdryc63qsc2_ioohkqikklb" Type="http://schemas.openxmlformats.org/officeDocument/2006/relationships/hyperlink" Target="https://rossum.ai/" TargetMode="External"/><Relationship Id="rIduqipglmjlov-g_xd0nhcq" Type="http://schemas.openxmlformats.org/officeDocument/2006/relationships/hyperlink" Target="https://github.com/OpenBMB/MiniCPM-V" TargetMode="External"/><Relationship Id="rIdzm6-tnnfswhpj7ehz5tlp" Type="http://schemas.openxmlformats.org/officeDocument/2006/relationships/hyperlink" Target="https://huggingface.co/Qwen/Qwen2.5-VL-72B-Instruct" TargetMode="External"/><Relationship Id="rIdeaztjwqtqpts51barmeag" Type="http://schemas.openxmlformats.org/officeDocument/2006/relationships/hyperlink" Target="https://open-meteo.com" TargetMode="External"/><Relationship Id="rIdwntvztligcoxmt5tekyea" Type="http://schemas.openxmlformats.org/officeDocument/2006/relationships/hyperlink" Target="https://data.gov.in" TargetMode="External"/><Relationship Id="rIdt40hqgz17zjldtnqpkl4a" Type="http://schemas.openxmlformats.org/officeDocument/2006/relationships/hyperlink" Target="https://github.com/PaddlePaddle/PaddleOCR"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2026-07-27T11:56:38.077Z</dcterms:created>
  <dcterms:modified xsi:type="dcterms:W3CDTF">2026-07-27T11:56:38.097Z</dcterms:modified>
</cp:coreProperties>
</file>

<file path=docProps/custom.xml><?xml version="1.0" encoding="utf-8"?>
<Properties xmlns="http://schemas.openxmlformats.org/officeDocument/2006/custom-properties" xmlns:vt="http://schemas.openxmlformats.org/officeDocument/2006/docPropsVTypes"/>
</file>