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0B2545"/>
          <w:sz w:val="76"/>
          <w:szCs w:val="76"/>
        </w:rPr>
        <w:t xml:space="preserve">SKILLUP</w:t>
      </w:r>
    </w:p>
    <w:p>
      <w:pPr>
        <w:spacing w:after="200"/>
      </w:pPr>
      <w:r>
        <w:rPr>
          <w:b/>
          <w:bCs/>
          <w:color w:val="13A89E"/>
          <w:spacing w:val="60"/>
          <w:sz w:val="40"/>
          <w:szCs w:val="40"/>
        </w:rPr>
        <w:t xml:space="preserve">TECH ACADEMY</w:t>
      </w:r>
    </w:p>
    <w:p>
      <w:pPr>
        <w:spacing w:after="60"/>
      </w:pPr>
      <w:r>
        <w:rPr>
          <w:b/>
          <w:bCs/>
          <w:color w:val="1B5299"/>
          <w:sz w:val="40"/>
          <w:szCs w:val="40"/>
        </w:rPr>
        <w:t xml:space="preserve">Product Document</w:t>
      </w:r>
    </w:p>
    <w:p>
      <w:pPr>
        <w:spacing w:after="360"/>
      </w:pPr>
      <w:r>
        <w:rPr>
          <w:i/>
          <w:iCs/>
          <w:color w:val="5A6675"/>
          <w:sz w:val="24"/>
          <w:szCs w:val="24"/>
        </w:rPr>
        <w:t xml:space="preserve">Structured Tech Career Training for Nigeria &amp; West Africa</w:t>
      </w:r>
    </w:p>
    <w:p>
      <w:pPr>
        <w:pBdr>
          <w:top w:val="single" w:color="13A89E" w:sz="12" w:space="6"/>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6E3" w:sz="4"/>
              <w:left w:val="single" w:color="C9D6E3" w:sz="4"/>
              <w:bottom w:val="single" w:color="C9D6E3" w:sz="4"/>
              <w:right w:val="single" w:color="C9D6E3" w:sz="4"/>
            </w:tcBorders>
            <w:shd w:fill="0B2545" w:val="clear"/>
            <w:tcMar>
              <w:top w:type="dxa" w:w="70"/>
              <w:left w:type="dxa" w:w="110"/>
              <w:bottom w:type="dxa" w:w="70"/>
              <w:right w:type="dxa" w:w="110"/>
            </w:tcMar>
            <w:vAlign w:val="center"/>
          </w:tcPr>
          <w:p>
            <w:pPr>
              <w:spacing w:after="0" w:line="252"/>
            </w:pPr>
            <w:r>
              <w:rPr>
                <w:b/>
                <w:bCs/>
                <w:color w:val="FFFFFF"/>
                <w:sz w:val="19"/>
                <w:szCs w:val="19"/>
              </w:rPr>
              <w:t xml:space="preserve">Version</w:t>
            </w:r>
          </w:p>
        </w:tc>
        <w:tc>
          <w:tcPr>
            <w:tcW w:type="dxa" w:w="6760"/>
            <w:tcBorders>
              <w:top w:val="single" w:color="C9D6E3" w:sz="4"/>
              <w:left w:val="single" w:color="C9D6E3" w:sz="4"/>
              <w:bottom w:val="single" w:color="C9D6E3" w:sz="4"/>
              <w:right w:val="single" w:color="C9D6E3" w:sz="4"/>
            </w:tcBorders>
            <w:shd w:fill="EAF1F8" w:val="clear"/>
            <w:tcMar>
              <w:top w:type="dxa" w:w="70"/>
              <w:left w:type="dxa" w:w="110"/>
              <w:bottom w:type="dxa" w:w="70"/>
              <w:right w:type="dxa" w:w="110"/>
            </w:tcMar>
            <w:vAlign w:val="center"/>
          </w:tcPr>
          <w:p>
            <w:pPr>
              <w:spacing w:after="0" w:line="252"/>
            </w:pPr>
            <w:r>
              <w:rPr>
                <w:b w:val="false"/>
                <w:bCs w:val="false"/>
                <w:sz w:val="19"/>
                <w:szCs w:val="19"/>
              </w:rPr>
              <w:t xml:space="preserve">5.0 — Revised Product Document (aligned to PRD v4.0)</w:t>
            </w:r>
          </w:p>
        </w:tc>
      </w:tr>
      <w:tr>
        <w:tc>
          <w:tcPr>
            <w:tcW w:type="dxa" w:w="2600"/>
            <w:tcBorders>
              <w:top w:val="single" w:color="C9D6E3" w:sz="4"/>
              <w:left w:val="single" w:color="C9D6E3" w:sz="4"/>
              <w:bottom w:val="single" w:color="C9D6E3" w:sz="4"/>
              <w:right w:val="single" w:color="C9D6E3" w:sz="4"/>
            </w:tcBorders>
            <w:shd w:fill="0B2545" w:val="clear"/>
            <w:tcMar>
              <w:top w:type="dxa" w:w="70"/>
              <w:left w:type="dxa" w:w="110"/>
              <w:bottom w:type="dxa" w:w="70"/>
              <w:right w:type="dxa" w:w="110"/>
            </w:tcMar>
            <w:vAlign w:val="center"/>
          </w:tcPr>
          <w:p>
            <w:pPr>
              <w:spacing w:after="0" w:line="252"/>
            </w:pPr>
            <w:r>
              <w:rPr>
                <w:b/>
                <w:bCs/>
                <w:color w:val="FFFFFF"/>
                <w:sz w:val="19"/>
                <w:szCs w:val="19"/>
              </w:rPr>
              <w:t xml:space="preserve">Date</w:t>
            </w:r>
          </w:p>
        </w:tc>
        <w:tc>
          <w:tcPr>
            <w:tcW w:type="dxa" w:w="6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June 2026</w:t>
            </w:r>
          </w:p>
        </w:tc>
      </w:tr>
      <w:tr>
        <w:tc>
          <w:tcPr>
            <w:tcW w:type="dxa" w:w="2600"/>
            <w:tcBorders>
              <w:top w:val="single" w:color="C9D6E3" w:sz="4"/>
              <w:left w:val="single" w:color="C9D6E3" w:sz="4"/>
              <w:bottom w:val="single" w:color="C9D6E3" w:sz="4"/>
              <w:right w:val="single" w:color="C9D6E3" w:sz="4"/>
            </w:tcBorders>
            <w:shd w:fill="0B2545" w:val="clear"/>
            <w:tcMar>
              <w:top w:type="dxa" w:w="70"/>
              <w:left w:type="dxa" w:w="110"/>
              <w:bottom w:type="dxa" w:w="70"/>
              <w:right w:type="dxa" w:w="110"/>
            </w:tcMar>
            <w:vAlign w:val="center"/>
          </w:tcPr>
          <w:p>
            <w:pPr>
              <w:spacing w:after="0" w:line="252"/>
            </w:pPr>
            <w:r>
              <w:rPr>
                <w:b/>
                <w:bCs/>
                <w:color w:val="FFFFFF"/>
                <w:sz w:val="19"/>
                <w:szCs w:val="19"/>
              </w:rPr>
              <w:t xml:space="preserve">Status</w:t>
            </w:r>
          </w:p>
        </w:tc>
        <w:tc>
          <w:tcPr>
            <w:tcW w:type="dxa" w:w="6760"/>
            <w:tcBorders>
              <w:top w:val="single" w:color="C9D6E3" w:sz="4"/>
              <w:left w:val="single" w:color="C9D6E3" w:sz="4"/>
              <w:bottom w:val="single" w:color="C9D6E3" w:sz="4"/>
              <w:right w:val="single" w:color="C9D6E3" w:sz="4"/>
            </w:tcBorders>
            <w:shd w:fill="EAF1F8" w:val="clear"/>
            <w:tcMar>
              <w:top w:type="dxa" w:w="70"/>
              <w:left w:type="dxa" w:w="110"/>
              <w:bottom w:type="dxa" w:w="70"/>
              <w:right w:type="dxa" w:w="110"/>
            </w:tcMar>
            <w:vAlign w:val="center"/>
          </w:tcPr>
          <w:p>
            <w:pPr>
              <w:spacing w:after="0" w:line="252"/>
            </w:pPr>
            <w:r>
              <w:rPr>
                <w:b w:val="false"/>
                <w:bCs w:val="false"/>
                <w:sz w:val="19"/>
                <w:szCs w:val="19"/>
              </w:rPr>
              <w:t xml:space="preserve">Draft — Stakeholder Review</w:t>
            </w:r>
          </w:p>
        </w:tc>
      </w:tr>
      <w:tr>
        <w:tc>
          <w:tcPr>
            <w:tcW w:type="dxa" w:w="2600"/>
            <w:tcBorders>
              <w:top w:val="single" w:color="C9D6E3" w:sz="4"/>
              <w:left w:val="single" w:color="C9D6E3" w:sz="4"/>
              <w:bottom w:val="single" w:color="C9D6E3" w:sz="4"/>
              <w:right w:val="single" w:color="C9D6E3" w:sz="4"/>
            </w:tcBorders>
            <w:shd w:fill="0B2545" w:val="clear"/>
            <w:tcMar>
              <w:top w:type="dxa" w:w="70"/>
              <w:left w:type="dxa" w:w="110"/>
              <w:bottom w:type="dxa" w:w="70"/>
              <w:right w:type="dxa" w:w="110"/>
            </w:tcMar>
            <w:vAlign w:val="center"/>
          </w:tcPr>
          <w:p>
            <w:pPr>
              <w:spacing w:after="0" w:line="252"/>
            </w:pPr>
            <w:r>
              <w:rPr>
                <w:b/>
                <w:bCs/>
                <w:color w:val="FFFFFF"/>
                <w:sz w:val="19"/>
                <w:szCs w:val="19"/>
              </w:rPr>
              <w:t xml:space="preserve">Prepared by</w:t>
            </w:r>
          </w:p>
        </w:tc>
        <w:tc>
          <w:tcPr>
            <w:tcW w:type="dxa" w:w="6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Product Team — SKILLUP (Zacchaeus James)</w:t>
            </w:r>
          </w:p>
        </w:tc>
      </w:tr>
      <w:tr>
        <w:tc>
          <w:tcPr>
            <w:tcW w:type="dxa" w:w="2600"/>
            <w:tcBorders>
              <w:top w:val="single" w:color="C9D6E3" w:sz="4"/>
              <w:left w:val="single" w:color="C9D6E3" w:sz="4"/>
              <w:bottom w:val="single" w:color="C9D6E3" w:sz="4"/>
              <w:right w:val="single" w:color="C9D6E3" w:sz="4"/>
            </w:tcBorders>
            <w:shd w:fill="0B2545" w:val="clear"/>
            <w:tcMar>
              <w:top w:type="dxa" w:w="70"/>
              <w:left w:type="dxa" w:w="110"/>
              <w:bottom w:type="dxa" w:w="70"/>
              <w:right w:type="dxa" w:w="110"/>
            </w:tcMar>
            <w:vAlign w:val="center"/>
          </w:tcPr>
          <w:p>
            <w:pPr>
              <w:spacing w:after="0" w:line="252"/>
            </w:pPr>
            <w:r>
              <w:rPr>
                <w:b/>
                <w:bCs/>
                <w:color w:val="FFFFFF"/>
                <w:sz w:val="19"/>
                <w:szCs w:val="19"/>
              </w:rPr>
              <w:t xml:space="preserve">Supersedes</w:t>
            </w:r>
          </w:p>
        </w:tc>
        <w:tc>
          <w:tcPr>
            <w:tcW w:type="dxa" w:w="6760"/>
            <w:tcBorders>
              <w:top w:val="single" w:color="C9D6E3" w:sz="4"/>
              <w:left w:val="single" w:color="C9D6E3" w:sz="4"/>
              <w:bottom w:val="single" w:color="C9D6E3" w:sz="4"/>
              <w:right w:val="single" w:color="C9D6E3" w:sz="4"/>
            </w:tcBorders>
            <w:shd w:fill="EAF1F8" w:val="clear"/>
            <w:tcMar>
              <w:top w:type="dxa" w:w="70"/>
              <w:left w:type="dxa" w:w="110"/>
              <w:bottom w:type="dxa" w:w="70"/>
              <w:right w:type="dxa" w:w="110"/>
            </w:tcMar>
            <w:vAlign w:val="center"/>
          </w:tcPr>
          <w:p>
            <w:pPr>
              <w:spacing w:after="0" w:line="252"/>
            </w:pPr>
            <w:r>
              <w:rPr>
                <w:b w:val="false"/>
                <w:bCs w:val="false"/>
                <w:sz w:val="19"/>
                <w:szCs w:val="19"/>
              </w:rPr>
              <w:t xml:space="preserve">SkillUp EdTech — One-Year Four-Pillar Program Plan</w:t>
            </w:r>
          </w:p>
        </w:tc>
      </w:tr>
      <w:tr>
        <w:tc>
          <w:tcPr>
            <w:tcW w:type="dxa" w:w="2600"/>
            <w:tcBorders>
              <w:top w:val="single" w:color="C9D6E3" w:sz="4"/>
              <w:left w:val="single" w:color="C9D6E3" w:sz="4"/>
              <w:bottom w:val="single" w:color="C9D6E3" w:sz="4"/>
              <w:right w:val="single" w:color="C9D6E3" w:sz="4"/>
            </w:tcBorders>
            <w:shd w:fill="0B2545" w:val="clear"/>
            <w:tcMar>
              <w:top w:type="dxa" w:w="70"/>
              <w:left w:type="dxa" w:w="110"/>
              <w:bottom w:type="dxa" w:w="70"/>
              <w:right w:type="dxa" w:w="110"/>
            </w:tcMar>
            <w:vAlign w:val="center"/>
          </w:tcPr>
          <w:p>
            <w:pPr>
              <w:spacing w:after="0" w:line="252"/>
            </w:pPr>
            <w:r>
              <w:rPr>
                <w:b/>
                <w:bCs/>
                <w:color w:val="FFFFFF"/>
                <w:sz w:val="19"/>
                <w:szCs w:val="19"/>
              </w:rPr>
              <w:t xml:space="preserve">Scope</w:t>
            </w:r>
          </w:p>
        </w:tc>
        <w:tc>
          <w:tcPr>
            <w:tcW w:type="dxa" w:w="6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MVP marketing &amp; enrollment website + LMS gateway + community</w:t>
            </w:r>
          </w:p>
        </w:tc>
      </w:tr>
    </w:tbl>
    <w:p>
      <w:pPr>
        <w:spacing w:before="360"/>
      </w:pPr>
      <w:r>
        <w:rPr>
          <w:i/>
          <w:iCs/>
          <w:color w:val="5A6675"/>
          <w:sz w:val="18"/>
          <w:szCs w:val="18"/>
        </w:rPr>
        <w:t xml:space="preserve">Confidential — Internal &amp; Stakeholder Use Only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About This Revision</w:t>
      </w:r>
    </w:p>
    <w:p>
      <w:pPr>
        <w:spacing w:after="120" w:line="276"/>
      </w:pPr>
      <w:r>
        <w:t xml:space="preserve">This document revises and replaces the earlier SkillUp product plan, which framed the business as a one-year, four-pillar program (Free Training, Monthly Webinars, an AI Secondary School program, and an Online Academy) targeting ₦70M in annual revenue against a ₦25,000 commitment fee.</w:t>
      </w:r>
    </w:p>
    <w:p>
      <w:pPr>
        <w:spacing w:after="120" w:line="276"/>
      </w:pPr>
      <w:r>
        <w:t xml:space="preserve">Following deeper market validation and competitive analysis — captured in PRD v4.0 (Final Enhanced Edition) — the product has been sharpened into a single, focused proposition: SKILLUP Tech Academy, a structured, role-specific tech career training platform delivered through a mobile-first website, a connected LMS, and an accountability community. The revision carries forward what was strong in the original plan (the community focus, the Nigerian-market lens, the blended-learning instinct) and discards what diffused it.</w:t>
      </w:r>
    </w:p>
    <w:p>
      <w:pPr>
        <w:pStyle w:val="Heading3"/>
      </w:pPr>
      <w:r>
        <w:t xml:space="preserve">What changed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Dimension</w:t>
            </w:r>
          </w:p>
        </w:tc>
        <w:tc>
          <w:tcPr>
            <w:tcW w:type="dxa" w:w="348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Previous Plan</w:t>
            </w:r>
          </w:p>
        </w:tc>
        <w:tc>
          <w:tcPr>
            <w:tcW w:type="dxa" w:w="348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Revised Direction</w:t>
            </w:r>
          </w:p>
        </w:tc>
      </w:tr>
      <w:tr>
        <w:tc>
          <w:tcPr>
            <w:tcW w:type="dxa" w:w="24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Core product</w:t>
            </w:r>
          </w:p>
        </w:tc>
        <w:tc>
          <w:tcPr>
            <w:tcW w:type="dxa" w:w="348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Four parallel pillars across schools, webinars, and an academy</w:t>
            </w:r>
          </w:p>
        </w:tc>
        <w:tc>
          <w:tcPr>
            <w:tcW w:type="dxa" w:w="348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One platform: website + LMS gateway + community, built around career tracks</w:t>
            </w:r>
          </w:p>
        </w:tc>
      </w:tr>
      <w:tr>
        <w:tc>
          <w:tcPr>
            <w:tcW w:type="dxa" w:w="24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Structure</w:t>
            </w:r>
          </w:p>
        </w:tc>
        <w:tc>
          <w:tcPr>
            <w:tcW w:type="dxa" w:w="348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Crash courses &amp; full courses</w:t>
            </w:r>
          </w:p>
        </w:tc>
        <w:tc>
          <w:tcPr>
            <w:tcW w:type="dxa" w:w="348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5 career tracks × 3 progressive levels (Basic / Intermediate / Advanced)</w:t>
            </w:r>
          </w:p>
        </w:tc>
      </w:tr>
      <w:tr>
        <w:tc>
          <w:tcPr>
            <w:tcW w:type="dxa" w:w="24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Pricing</w:t>
            </w:r>
          </w:p>
        </w:tc>
        <w:tc>
          <w:tcPr>
            <w:tcW w:type="dxa" w:w="348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₦25k commitment fee; ₦2.5k / ₦10k courses</w:t>
            </w:r>
          </w:p>
        </w:tc>
        <w:tc>
          <w:tcPr>
            <w:tcW w:type="dxa" w:w="348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Per-level fees ₦15k–₦100k with Day-1 installments; no commitment fee</w:t>
            </w:r>
          </w:p>
        </w:tc>
      </w:tr>
      <w:tr>
        <w:tc>
          <w:tcPr>
            <w:tcW w:type="dxa" w:w="24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Primary metric</w:t>
            </w:r>
          </w:p>
        </w:tc>
        <w:tc>
          <w:tcPr>
            <w:tcW w:type="dxa" w:w="348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₦70M annual revenue; 10k subscribers</w:t>
            </w:r>
          </w:p>
        </w:tc>
        <w:tc>
          <w:tcPr>
            <w:tcW w:type="dxa" w:w="348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₦5M+ monthly run-rate by Month 6; validated track demand</w:t>
            </w:r>
          </w:p>
        </w:tc>
      </w:tr>
      <w:tr>
        <w:tc>
          <w:tcPr>
            <w:tcW w:type="dxa" w:w="24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Go-to-market</w:t>
            </w:r>
          </w:p>
        </w:tc>
        <w:tc>
          <w:tcPr>
            <w:tcW w:type="dxa" w:w="348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B2B schools + B2C funnel</w:t>
            </w:r>
          </w:p>
        </w:tc>
        <w:tc>
          <w:tcPr>
            <w:tcW w:type="dxa" w:w="348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Mobile-first MVP website; content + community-led acquisition</w:t>
            </w:r>
          </w:p>
        </w:tc>
      </w:tr>
      <w:tr>
        <w:tc>
          <w:tcPr>
            <w:tcW w:type="dxa" w:w="24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B2B schools</w:t>
            </w:r>
          </w:p>
        </w:tc>
        <w:tc>
          <w:tcPr>
            <w:tcW w:type="dxa" w:w="348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AI Secondary School program (core pillar)</w:t>
            </w:r>
          </w:p>
        </w:tc>
        <w:tc>
          <w:tcPr>
            <w:tcW w:type="dxa" w:w="348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Deferred; corporate/team enrollment is the B2B path</w:t>
            </w:r>
          </w:p>
        </w:tc>
      </w:tr>
    </w:tbl>
    <w:p>
      <w:r>
        <w:br w:type="page"/>
      </w:r>
    </w:p>
    <w:p>
      <w:pPr>
        <w:pStyle w:val="Heading1"/>
      </w:pPr>
      <w:r>
        <w:t xml:space="preserve">1. Executive Summary</w:t>
      </w:r>
    </w:p>
    <w:p>
      <w:pPr>
        <w:spacing w:after="120" w:line="276"/>
      </w:pPr>
      <w:r>
        <w:t xml:space="preserve">SKILLUP Tech Academy is a structured, role-specific tech career training platform built for the African learner. It takes individuals from zero to job-ready across the most in-demand roles in Nigeria’s digital economy — Product Management, Software Development, Product Design (UI/UX), Virtual Assistance, and Data Analysis — each delivered across three progressive levels: Basic, Intermediate, and Advanced.</w:t>
      </w:r>
    </w:p>
    <w:p>
      <w:pPr>
        <w:spacing w:after="120" w:line="276"/>
      </w:pPr>
      <w:r>
        <w:t xml:space="preserve">The SKILLUP website is the brand’s primary digital property and the focus of this MVP. It is the marketing platform, enrollment gateway, credibility engine, LMS portal, resource library, and community hub in one unified, mobile-first web presence — purpose-built for Nigerian mobile-data conditions and Naira pricing. The MVP is scoped to build brand trust, drive course enrollment, and validate which tracks have the strongest demand before scaling curriculum investment.</w:t>
      </w:r>
    </w:p>
    <w:p>
      <w:pPr>
        <w:pStyle w:val="Heading3"/>
      </w:pPr>
      <w:r>
        <w:t xml:space="preserve">Highlights</w:t>
      </w:r>
    </w:p>
    <w:p>
      <w:pPr>
        <w:pStyle w:val="ListParagraph"/>
        <w:numPr>
          <w:ilvl w:val="0"/>
          <w:numId w:val="2"/>
        </w:numPr>
        <w:spacing w:after="60" w:line="264"/>
      </w:pPr>
      <w:r>
        <w:t xml:space="preserve">Market: Nigeria edtech is on track for ~$400M in 2025 and commands Africa’s largest single-country share; the broader African e-learning market grows from $3.4B (2024) toward $7.7B (2033).</w:t>
      </w:r>
    </w:p>
    <w:p>
      <w:pPr>
        <w:pStyle w:val="ListParagraph"/>
        <w:numPr>
          <w:ilvl w:val="0"/>
          <w:numId w:val="2"/>
        </w:numPr>
        <w:spacing w:after="60" w:line="264"/>
      </w:pPr>
      <w:r>
        <w:t xml:space="preserve">Demand: 225,000 tech openings projected by end of 2025 with salaries up ~20% YoY, while 8.3% of Nigerian businesses report roles unfilled for lack of qualified candidates.</w:t>
      </w:r>
    </w:p>
    <w:p>
      <w:pPr>
        <w:pStyle w:val="ListParagraph"/>
        <w:numPr>
          <w:ilvl w:val="0"/>
          <w:numId w:val="2"/>
        </w:numPr>
        <w:spacing w:after="60" w:line="264"/>
      </w:pPr>
      <w:r>
        <w:t xml:space="preserve">Wedge: No single Nigerian platform combines multi-track choice (including VA and PM), a true Basic→Advanced progression, Naira installment pricing, and a mobile-first cohort model. SKILLUP closes all four gaps at once.</w:t>
      </w:r>
    </w:p>
    <w:p>
      <w:pPr>
        <w:pStyle w:val="ListParagraph"/>
        <w:numPr>
          <w:ilvl w:val="0"/>
          <w:numId w:val="2"/>
        </w:numPr>
        <w:spacing w:after="60" w:line="264"/>
      </w:pPr>
      <w:r>
        <w:t xml:space="preserve">Model: Revenue from per-level course fees (paid in full or by installment), with corporate/team enrollment as the secondary stream.</w:t>
      </w:r>
    </w:p>
    <w:p>
      <w:pPr>
        <w:pStyle w:val="ListParagraph"/>
        <w:numPr>
          <w:ilvl w:val="0"/>
          <w:numId w:val="2"/>
        </w:numPr>
        <w:spacing w:after="60" w:line="264"/>
      </w:pPr>
      <w:r>
        <w:t xml:space="preserve">Target: ₦5M+ monthly revenue run-rate from course fees by Month 6 of sales; 200 enrolled learners and 300 active community members within the first 60–90 days.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A89E" w:sz="2"/>
              <w:left w:val="single" w:color="13A89E" w:sz="18"/>
              <w:bottom w:val="single" w:color="13A89E" w:sz="2"/>
              <w:right w:val="single" w:color="13A89E" w:sz="2"/>
            </w:tcBorders>
            <w:shd w:fill="F4F8FC" w:val="clear"/>
            <w:tcMar>
              <w:top w:type="dxa" w:w="120"/>
              <w:left w:type="dxa" w:w="180"/>
              <w:bottom w:type="dxa" w:w="120"/>
              <w:right w:type="dxa" w:w="160"/>
            </w:tcMar>
          </w:tcPr>
          <w:p>
            <w:pPr>
              <w:spacing w:after="0" w:line="276"/>
            </w:pPr>
            <w:r>
              <w:rPr>
                <w:b/>
                <w:bCs/>
                <w:color w:val="0B2545"/>
                <w:sz w:val="20"/>
                <w:szCs w:val="20"/>
              </w:rPr>
              <w:t xml:space="preserve">Core thesis.  </w:t>
            </w:r>
            <w:r>
              <w:rPr>
                <w:color w:val="222B36"/>
                <w:sz w:val="20"/>
                <w:szCs w:val="20"/>
              </w:rPr>
              <w:t xml:space="preserve">Build the most accessible, structured, and outcome-focused tech career training platform in Nigeria — where anyone, regardless of background, can find a clear path into a high-paying tech role, at a price point that works in Naira, on a device they already own.</w:t>
            </w:r>
          </w:p>
        </w:tc>
      </w:tr>
    </w:tbl>
    <w:p>
      <w:pPr>
        <w:pStyle w:val="Heading1"/>
      </w:pPr>
      <w:r>
        <w:t xml:space="preserve">2. Mission &amp; Vision</w:t>
      </w:r>
    </w:p>
    <w:p>
      <w:pPr>
        <w:pStyle w:val="Heading3"/>
      </w:pPr>
      <w:r>
        <w:t xml:space="preserve">Mission</w:t>
      </w:r>
    </w:p>
    <w:p>
      <w:pPr>
        <w:spacing w:after="120" w:line="276"/>
      </w:pPr>
      <w:r>
        <w:t xml:space="preserve">Empower African learners — from complete beginners to working professionals — with structured, role-specific, outcome-anchored tech training that fits their schedule, their budget, and the device in their pocket.</w:t>
      </w:r>
    </w:p>
    <w:p>
      <w:pPr>
        <w:pStyle w:val="Heading3"/>
      </w:pPr>
      <w:r>
        <w:t xml:space="preserve">Vision</w:t>
      </w:r>
    </w:p>
    <w:p>
      <w:pPr>
        <w:spacing w:after="120" w:line="276"/>
      </w:pPr>
      <w:r>
        <w:t xml:space="preserve">Become the #1 structured tech career training platform for beginners and mid-level professionals in Nigeria and West Africa — the trusted bridge that converts motivated talent into the job-ready professionals the digital economy is hiring for.</w:t>
      </w:r>
    </w:p>
    <w:p>
      <w:pPr>
        <w:pStyle w:val="Heading1"/>
      </w:pPr>
      <w:r>
        <w:t xml:space="preserve">3. The Problem</w:t>
      </w:r>
    </w:p>
    <w:p>
      <w:pPr>
        <w:spacing w:after="120" w:line="276"/>
      </w:pPr>
      <w:r>
        <w:t xml:space="preserve">SKILLUP sits at the intersection of two compounding, co-dependent crises in Nigeria’s tech ecosystem. It is built to close both at once.</w:t>
      </w:r>
    </w:p>
    <w:p>
      <w:pPr>
        <w:pStyle w:val="Heading2"/>
      </w:pPr>
      <w:r>
        <w:t xml:space="preserve">3.1 Problem A — The loop of unfilled tech roles</w:t>
      </w:r>
    </w:p>
    <w:p>
      <w:pPr>
        <w:spacing w:after="120" w:line="276"/>
      </w:pPr>
      <w:r>
        <w:t xml:space="preserve">Nigeria’s digital economy generates tech jobs faster than it can fill them. Companies post roles, too few qualified candidates apply, roles go unfilled or are filled by underqualified hires, projects stall, confidence in local talent drops, work is offshored or hiring scaled back — so fewer Nigerians gain the experience to qualify, and the same roles are posted again. The root cause is not a shortage of ambition; it is the absence of a reliable, structured, role-specific pipeline that converts motivated individuals into an employer’s minimum viable hire.</w:t>
      </w:r>
    </w:p>
    <w:p>
      <w:pPr>
        <w:pStyle w:val="Heading2"/>
      </w:pPr>
      <w:r>
        <w:t xml:space="preserve">3.2 Problem B — The training access crisis</w:t>
      </w:r>
    </w:p>
    <w:p>
      <w:pPr>
        <w:spacing w:after="120" w:line="276"/>
      </w:pPr>
      <w:r>
        <w:t xml:space="preserve">On the other side of the loop sits a motivated, mobile-connected learner who cannot find training that fits their life, budget, and learning style. Four interconnected barriers price out, lock out, or burn out the majority of aspirants: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60"/>
        <w:gridCol w:w="1200"/>
      </w:tblGrid>
      <w:tr>
        <w:trPr>
          <w:tblHeader/>
        </w:trPr>
        <w:tc>
          <w:tcPr>
            <w:tcW w:type="dxa" w:w="25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Barrier</w:t>
            </w:r>
          </w:p>
        </w:tc>
        <w:tc>
          <w:tcPr>
            <w:tcW w:type="dxa" w:w="56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Description</w:t>
            </w:r>
          </w:p>
        </w:tc>
        <w:tc>
          <w:tcPr>
            <w:tcW w:type="dxa" w:w="12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Severity</w:t>
            </w:r>
          </w:p>
        </w:tc>
      </w:tr>
      <w:tr>
        <w:tc>
          <w:tcPr>
            <w:tcW w:type="dxa" w:w="25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Structural rigidity</w:t>
            </w:r>
          </w:p>
        </w:tc>
        <w:tc>
          <w:tcPr>
            <w:tcW w:type="dxa" w:w="56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Most programmes are fixed-cohort, fixed-schedule, full-time — excluding learners who work, run businesses, or caregive while studying.</w:t>
            </w:r>
          </w:p>
        </w:tc>
        <w:tc>
          <w:tcPr>
            <w:tcW w:type="dxa" w:w="1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Very High</w:t>
            </w:r>
          </w:p>
        </w:tc>
      </w:tr>
      <w:tr>
        <w:tc>
          <w:tcPr>
            <w:tcW w:type="dxa" w:w="25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No flexible mode</w:t>
            </w:r>
          </w:p>
        </w:tc>
        <w:tc>
          <w:tcPr>
            <w:tcW w:type="dxa" w:w="56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Programmes are either fully live or fully self-paced. Almost none offer a structured hybrid of self-paced modules plus accountable one-on-one or small-group instruction.</w:t>
            </w:r>
          </w:p>
        </w:tc>
        <w:tc>
          <w:tcPr>
            <w:tcW w:type="dxa" w:w="12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Very High</w:t>
            </w:r>
          </w:p>
        </w:tc>
      </w:tr>
      <w:tr>
        <w:tc>
          <w:tcPr>
            <w:tcW w:type="dxa" w:w="25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Price &amp; payment friction</w:t>
            </w:r>
          </w:p>
        </w:tc>
        <w:tc>
          <w:tcPr>
            <w:tcW w:type="dxa" w:w="56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Quality training runs ₦80,000–₦500,000+. Without installments or a tiered entry point, most of the market is priced out before starting.</w:t>
            </w:r>
          </w:p>
        </w:tc>
        <w:tc>
          <w:tcPr>
            <w:tcW w:type="dxa" w:w="1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High</w:t>
            </w:r>
          </w:p>
        </w:tc>
      </w:tr>
      <w:tr>
        <w:tc>
          <w:tcPr>
            <w:tcW w:type="dxa" w:w="25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No progressive pathway</w:t>
            </w:r>
          </w:p>
        </w:tc>
        <w:tc>
          <w:tcPr>
            <w:tcW w:type="dxa" w:w="56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Platforms sell single-level courses. There is no clear ‘start here, grow here, lead here’ ladder for beginners and intermediates alike.</w:t>
            </w:r>
          </w:p>
        </w:tc>
        <w:tc>
          <w:tcPr>
            <w:tcW w:type="dxa" w:w="12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High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A89E" w:sz="2"/>
              <w:left w:val="single" w:color="13A89E" w:sz="18"/>
              <w:bottom w:val="single" w:color="13A89E" w:sz="2"/>
              <w:right w:val="single" w:color="13A89E" w:sz="2"/>
            </w:tcBorders>
            <w:shd w:fill="F4F8FC" w:val="clear"/>
            <w:tcMar>
              <w:top w:type="dxa" w:w="120"/>
              <w:left w:type="dxa" w:w="180"/>
              <w:bottom w:type="dxa" w:w="120"/>
              <w:right w:type="dxa" w:w="160"/>
            </w:tcMar>
          </w:tcPr>
          <w:p>
            <w:pPr>
              <w:spacing w:after="0" w:line="276"/>
            </w:pPr>
            <w:r>
              <w:rPr>
                <w:b/>
                <w:bCs/>
                <w:color w:val="0B2545"/>
                <w:sz w:val="20"/>
                <w:szCs w:val="20"/>
              </w:rPr>
              <w:t xml:space="preserve">The core insight.  </w:t>
            </w:r>
            <w:r>
              <w:rPr>
                <w:color w:val="222B36"/>
                <w:sz w:val="20"/>
                <w:szCs w:val="20"/>
              </w:rPr>
              <w:t xml:space="preserve">The learner who drops a free YouTube tutorial is not lazy, and the professional who can’t finish a Udemy course is not undisciplined. They are responding rationally to learning structures that don’t fit their reality. SKILLUP’s job is to build a structure that fits — self-paced when life is busy, one-on-one when the learner needs a human, structured enough to produce outcomes, and priced to be accessible from the ground up.</w:t>
            </w:r>
          </w:p>
        </w:tc>
      </w:tr>
    </w:tbl>
    <w:p>
      <w:pPr>
        <w:pStyle w:val="Heading2"/>
      </w:pPr>
      <w:r>
        <w:t xml:space="preserve">3.3 Why both problems matter together</w:t>
      </w:r>
    </w:p>
    <w:p>
      <w:pPr>
        <w:spacing w:after="120" w:line="276"/>
      </w:pPr>
      <w:r>
        <w:t xml:space="preserve">These problems are co-dependent: employers can’t fill roles because there is no reliable pipeline, and there is no pipeline because existing platforms serve neither schedule flexibility nor the need for personal instruction. Every SKILLUP graduate who enters the workforce reduces the talent gap (supply-side fix) and proves that high-quality training can be delivered at scale in Naira without a full-time commitment (demand-side fix). Research links digital learning to a 218% revenue lift and 50%+ retention gains for organisations — a compounding economic ripple, and direct alignment with Nigeria’s human-capital development gap (44% vs the 55% regional average).</w:t>
      </w:r>
    </w:p>
    <w:p>
      <w:pPr>
        <w:pStyle w:val="Heading1"/>
      </w:pPr>
      <w:r>
        <w:t xml:space="preserve">4. Market Opportunity &amp; Evidence</w:t>
      </w:r>
    </w:p>
    <w:p>
      <w:pPr>
        <w:spacing w:after="120" w:line="276"/>
      </w:pPr>
      <w:r>
        <w:t xml:space="preserve">The product thesis is de-risked by published market research, competitive intelligence, and demand-signal analysis across 2023–2026. The validation status is CONFIRMED at high confidence.</w:t>
      </w:r>
    </w:p>
    <w:p>
      <w:pPr>
        <w:pStyle w:val="Heading2"/>
      </w:pPr>
      <w:r>
        <w:t xml:space="preserve">4.1 Market size &amp;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rPr>
          <w:tblHeader/>
        </w:trPr>
        <w:tc>
          <w:tcPr>
            <w:tcW w:type="dxa" w:w="36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Data point</w:t>
            </w:r>
          </w:p>
        </w:tc>
        <w:tc>
          <w:tcPr>
            <w:tcW w:type="dxa" w:w="37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Finding</w:t>
            </w:r>
          </w:p>
        </w:tc>
        <w:tc>
          <w:tcPr>
            <w:tcW w:type="dxa" w:w="20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Source</w:t>
            </w:r>
          </w:p>
        </w:tc>
      </w:tr>
      <w:tr>
        <w:tc>
          <w:tcPr>
            <w:tcW w:type="dxa" w:w="36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Nigeria edtech market</w:t>
            </w:r>
          </w:p>
        </w:tc>
        <w:tc>
          <w:tcPr>
            <w:tcW w:type="dxa" w:w="3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$107.9M (2024) → $192.4M (2028) at 15.56% CAGR</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Verivafrica / R&amp;M</w:t>
            </w:r>
          </w:p>
        </w:tc>
      </w:tr>
      <w:tr>
        <w:tc>
          <w:tcPr>
            <w:tcW w:type="dxa" w:w="36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Nigeria edtech — near term</w:t>
            </w:r>
          </w:p>
        </w:tc>
        <w:tc>
          <w:tcPr>
            <w:tcW w:type="dxa" w:w="3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On track for ~$400M in 2025; largest single-country share in Africa</w:t>
            </w:r>
          </w:p>
        </w:tc>
        <w:tc>
          <w:tcPr>
            <w:tcW w:type="dxa" w:w="2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Techpoint / EdTechX 2025</w:t>
            </w:r>
          </w:p>
        </w:tc>
      </w:tr>
      <w:tr>
        <w:tc>
          <w:tcPr>
            <w:tcW w:type="dxa" w:w="36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Africa e-learning market</w:t>
            </w:r>
          </w:p>
        </w:tc>
        <w:tc>
          <w:tcPr>
            <w:tcW w:type="dxa" w:w="3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$3.4B (2024) → $7.7B (2033) at 9.12% CAGR; mobile-led</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IMARC Group 2024</w:t>
            </w:r>
          </w:p>
        </w:tc>
      </w:tr>
      <w:tr>
        <w:tc>
          <w:tcPr>
            <w:tcW w:type="dxa" w:w="36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Nigeria corporate training</w:t>
            </w:r>
          </w:p>
        </w:tc>
        <w:tc>
          <w:tcPr>
            <w:tcW w:type="dxa" w:w="3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$325.95M at 7.0% CAGR, driven by tech-skill demand</w:t>
            </w:r>
          </w:p>
        </w:tc>
        <w:tc>
          <w:tcPr>
            <w:tcW w:type="dxa" w:w="2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Edstellar 2024</w:t>
            </w:r>
          </w:p>
        </w:tc>
      </w:tr>
      <w:tr>
        <w:tc>
          <w:tcPr>
            <w:tcW w:type="dxa" w:w="36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Africa edtech leadership</w:t>
            </w:r>
          </w:p>
        </w:tc>
        <w:tc>
          <w:tcPr>
            <w:tcW w:type="dxa" w:w="3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34% of Africa’s top-50 edtech companies are Nigeria-based</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HolonIQ 2024</w:t>
            </w:r>
          </w:p>
        </w:tc>
      </w:tr>
    </w:tbl>
    <w:p>
      <w:pPr>
        <w:pStyle w:val="Heading2"/>
      </w:pPr>
      <w:r>
        <w:t xml:space="preserve">4.2 Tech-career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760"/>
        <w:gridCol w:w="2000"/>
      </w:tblGrid>
      <w:tr>
        <w:trPr>
          <w:tblHeader/>
        </w:trPr>
        <w:tc>
          <w:tcPr>
            <w:tcW w:type="dxa" w:w="36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Data point</w:t>
            </w:r>
          </w:p>
        </w:tc>
        <w:tc>
          <w:tcPr>
            <w:tcW w:type="dxa" w:w="37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Finding</w:t>
            </w:r>
          </w:p>
        </w:tc>
        <w:tc>
          <w:tcPr>
            <w:tcW w:type="dxa" w:w="20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Source</w:t>
            </w:r>
          </w:p>
        </w:tc>
      </w:tr>
      <w:tr>
        <w:tc>
          <w:tcPr>
            <w:tcW w:type="dxa" w:w="36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Tech job openings</w:t>
            </w:r>
          </w:p>
        </w:tc>
        <w:tc>
          <w:tcPr>
            <w:tcW w:type="dxa" w:w="3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225,000 openings projected by end 2025; salaries up ~20% YoY</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Nucamp 2025</w:t>
            </w:r>
          </w:p>
        </w:tc>
      </w:tr>
      <w:tr>
        <w:tc>
          <w:tcPr>
            <w:tcW w:type="dxa" w:w="36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Top in-demand roles</w:t>
            </w:r>
          </w:p>
        </w:tc>
        <w:tc>
          <w:tcPr>
            <w:tcW w:type="dxa" w:w="3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Product Management, Data Analysis, UI/UX Design — top-3 across reports</w:t>
            </w:r>
          </w:p>
        </w:tc>
        <w:tc>
          <w:tcPr>
            <w:tcW w:type="dxa" w:w="2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Silicon Africa / Techpoint</w:t>
            </w:r>
          </w:p>
        </w:tc>
      </w:tr>
      <w:tr>
        <w:tc>
          <w:tcPr>
            <w:tcW w:type="dxa" w:w="36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3MTT programme</w:t>
            </w:r>
          </w:p>
        </w:tc>
        <w:tc>
          <w:tcPr>
            <w:tcW w:type="dxa" w:w="3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300,000 trained, but no structured role-specific career pathway</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WEF / 3MTT 2024</w:t>
            </w:r>
          </w:p>
        </w:tc>
      </w:tr>
      <w:tr>
        <w:tc>
          <w:tcPr>
            <w:tcW w:type="dxa" w:w="36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Global shortage</w:t>
            </w:r>
          </w:p>
        </w:tc>
        <w:tc>
          <w:tcPr>
            <w:tcW w:type="dxa" w:w="3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85M+ skilled tech workers needed globally by 2030</w:t>
            </w:r>
          </w:p>
        </w:tc>
        <w:tc>
          <w:tcPr>
            <w:tcW w:type="dxa" w:w="2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McKinsey 2024</w:t>
            </w:r>
          </w:p>
        </w:tc>
      </w:tr>
      <w:tr>
        <w:tc>
          <w:tcPr>
            <w:tcW w:type="dxa" w:w="36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Unfilled local roles</w:t>
            </w:r>
          </w:p>
        </w:tc>
        <w:tc>
          <w:tcPr>
            <w:tcW w:type="dxa" w:w="3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8.3% of Nigerian businesses cite unfilled roles from talent shortage</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Edstellar 2024</w:t>
            </w:r>
          </w:p>
        </w:tc>
      </w:tr>
    </w:tbl>
    <w:p>
      <w:pPr>
        <w:pStyle w:val="Heading2"/>
      </w:pPr>
      <w:r>
        <w:t xml:space="preserve">4.3 Learner behaviour &amp; adoption</w:t>
      </w:r>
    </w:p>
    <w:p>
      <w:pPr>
        <w:pStyle w:val="ListParagraph"/>
        <w:numPr>
          <w:ilvl w:val="0"/>
          <w:numId w:val="2"/>
        </w:numPr>
        <w:spacing w:after="60" w:line="264"/>
      </w:pPr>
      <w:r>
        <w:t xml:space="preserve">140M Nigerians projected to own smartphones by end 2025; mobile-first is the dominant learning format (mobile e-learning grew ~30% YoY).</w:t>
      </w:r>
    </w:p>
    <w:p>
      <w:pPr>
        <w:pStyle w:val="ListParagraph"/>
        <w:numPr>
          <w:ilvl w:val="0"/>
          <w:numId w:val="2"/>
        </w:numPr>
        <w:spacing w:after="60" w:line="264"/>
      </w:pPr>
      <w:r>
        <w:t xml:space="preserve">58% of learners prefer self-paced online training — but completion depends on structure and accountability.</w:t>
      </w:r>
    </w:p>
    <w:p>
      <w:pPr>
        <w:pStyle w:val="ListParagraph"/>
        <w:numPr>
          <w:ilvl w:val="0"/>
          <w:numId w:val="2"/>
        </w:numPr>
        <w:spacing w:after="60" w:line="264"/>
      </w:pPr>
      <w:r>
        <w:t xml:space="preserve">Installment / pay-as-you-learn is the fastest-adopted pricing format across African edtech; USD pricing creates friction.</w:t>
      </w:r>
    </w:p>
    <w:p>
      <w:pPr>
        <w:pStyle w:val="ListParagraph"/>
        <w:numPr>
          <w:ilvl w:val="0"/>
          <w:numId w:val="2"/>
        </w:numPr>
        <w:spacing w:after="60" w:line="264"/>
      </w:pPr>
      <w:r>
        <w:t xml:space="preserve">WhatsApp and short, mobile-optimised modules are the highest-completion formats for Sub-Saharan learners.</w:t>
      </w:r>
    </w:p>
    <w:p>
      <w:pPr>
        <w:pStyle w:val="Heading1"/>
      </w:pPr>
      <w:r>
        <w:t xml:space="preserve">5. Product Overview</w:t>
      </w:r>
    </w:p>
    <w:p>
      <w:pPr>
        <w:spacing w:after="120" w:line="276"/>
      </w:pPr>
      <w:r>
        <w:t xml:space="preserve">SKILLUP is a multi-track, tiered tech career academy delivered through a digital-first website and a connected LMS. It is not a generic course marketplace — it is an end-to-end career-transformation system that takes a complete beginner in any of five disciplines to advanced, employable competence. The solution rests on four interconnected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Pillar</w:t>
            </w:r>
          </w:p>
        </w:tc>
        <w:tc>
          <w:tcPr>
            <w:tcW w:type="dxa" w:w="66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Description</w:t>
            </w:r>
          </w:p>
        </w:tc>
      </w:tr>
      <w:tr>
        <w:tc>
          <w:tcPr>
            <w:tcW w:type="dxa" w:w="27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1. Structured learning tracks</w:t>
            </w:r>
          </w:p>
        </w:tc>
        <w:tc>
          <w:tcPr>
            <w:tcW w:type="dxa" w:w="66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Five career-specific tracks, each with three progressive levels — purpose-built role journeys with defined entry points, outcomes, and exit credentials, not topic bundles.</w:t>
            </w:r>
          </w:p>
        </w:tc>
      </w:tr>
      <w:tr>
        <w:tc>
          <w:tcPr>
            <w:tcW w:type="dxa" w:w="27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2. Accessible web platform</w:t>
            </w:r>
          </w:p>
        </w:tc>
        <w:tc>
          <w:tcPr>
            <w:tcW w:type="dxa" w:w="66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A high-performance, mobile-first marketing and LMS-gateway site — the learner’s first touchpoint and primary trust signal. Designed for Nigerian mobile data, Naira pricing, and WhatsApp-native support.</w:t>
            </w:r>
          </w:p>
        </w:tc>
      </w:tr>
      <w:tr>
        <w:tc>
          <w:tcPr>
            <w:tcW w:type="dxa" w:w="27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3. Outcome-anchored curriculum</w:t>
            </w:r>
          </w:p>
        </w:tc>
        <w:tc>
          <w:tcPr>
            <w:tcW w:type="dxa" w:w="66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Every syllabus ties directly to what Nigerian and global employers hire for in that role — real tools, portfolio projects, and job-readiness benchmarks.</w:t>
            </w:r>
          </w:p>
        </w:tc>
      </w:tr>
      <w:tr>
        <w:tc>
          <w:tcPr>
            <w:tcW w:type="dxa" w:w="27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4. Community &amp; accountability</w:t>
            </w:r>
          </w:p>
        </w:tc>
        <w:tc>
          <w:tcPr>
            <w:tcW w:type="dxa" w:w="66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Peer groups, weekly AMAs, cohort accountability, and mentor check-ins that cut dropout and drive word-of-mouth — the most powerful growth channel in Nigerian edtech.</w:t>
            </w:r>
          </w:p>
        </w:tc>
      </w:tr>
    </w:tbl>
    <w:p>
      <w:pPr>
        <w:pStyle w:val="Heading2"/>
      </w:pPr>
      <w:r>
        <w:t xml:space="preserve">5.1 The 3-level progression model</w:t>
      </w:r>
    </w:p>
    <w:p>
      <w:pPr>
        <w:spacing w:after="120" w:line="276"/>
      </w:pPr>
      <w:r>
        <w:t xml:space="preserve">A deliberate three-tier architecture serves learners at every stage and grows revenue per learner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900"/>
        <w:gridCol w:w="2260"/>
      </w:tblGrid>
      <w:tr>
        <w:trPr>
          <w:tblHeader/>
        </w:trPr>
        <w:tc>
          <w:tcPr>
            <w:tcW w:type="dxa" w:w="15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Level</w:t>
            </w:r>
          </w:p>
        </w:tc>
        <w:tc>
          <w:tcPr>
            <w:tcW w:type="dxa" w:w="27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Target learner</w:t>
            </w:r>
          </w:p>
        </w:tc>
        <w:tc>
          <w:tcPr>
            <w:tcW w:type="dxa" w:w="29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Focus &amp; outcome</w:t>
            </w:r>
          </w:p>
        </w:tc>
        <w:tc>
          <w:tcPr>
            <w:tcW w:type="dxa" w:w="22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Price range</w:t>
            </w:r>
          </w:p>
        </w:tc>
      </w:tr>
      <w:tr>
        <w:tc>
          <w:tcPr>
            <w:tcW w:type="dxa" w:w="15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Basic (L1)</w:t>
            </w:r>
          </w:p>
        </w:tc>
        <w:tc>
          <w:tcPr>
            <w:tcW w:type="dxa" w:w="27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Complete beginners; zero tech background</w:t>
            </w:r>
          </w:p>
        </w:tc>
        <w:tc>
          <w:tcPr>
            <w:tcW w:type="dxa" w:w="29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Role foundations, tools, first real project (6–8 wks) → entry-level readiness + basic certification</w:t>
            </w:r>
          </w:p>
        </w:tc>
        <w:tc>
          <w:tcPr>
            <w:tcW w:type="dxa" w:w="22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₦15,000–₦25,000</w:t>
            </w:r>
          </w:p>
        </w:tc>
      </w:tr>
      <w:tr>
        <w:tc>
          <w:tcPr>
            <w:tcW w:type="dxa" w:w="15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Intermediate (L2)</w:t>
            </w:r>
          </w:p>
        </w:tc>
        <w:tc>
          <w:tcPr>
            <w:tcW w:type="dxa" w:w="27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Completed Basic or 1–2 yrs experience</w:t>
            </w:r>
          </w:p>
        </w:tc>
        <w:tc>
          <w:tcPr>
            <w:tcW w:type="dxa" w:w="29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Applied skills, stakeholder simulations, case studies (8–12 wks) → mid-level readiness</w:t>
            </w:r>
          </w:p>
        </w:tc>
        <w:tc>
          <w:tcPr>
            <w:tcW w:type="dxa" w:w="22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₦35,000–₦60,000</w:t>
            </w:r>
          </w:p>
        </w:tc>
      </w:tr>
      <w:tr>
        <w:tc>
          <w:tcPr>
            <w:tcW w:type="dxa" w:w="15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Advanced (L3)</w:t>
            </w:r>
          </w:p>
        </w:tc>
        <w:tc>
          <w:tcPr>
            <w:tcW w:type="dxa" w:w="27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Completed Intermediate or 3+ yrs experience</w:t>
            </w:r>
          </w:p>
        </w:tc>
        <w:tc>
          <w:tcPr>
            <w:tcW w:type="dxa" w:w="29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Systems thinking, specialisation, capstone (10–14 wks) → senior/lead readiness + mentorship</w:t>
            </w:r>
          </w:p>
        </w:tc>
        <w:tc>
          <w:tcPr>
            <w:tcW w:type="dxa" w:w="22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₦60,000–₦100,000</w:t>
            </w:r>
          </w:p>
        </w:tc>
      </w:tr>
    </w:tbl>
    <w:p>
      <w:pPr>
        <w:pStyle w:val="Heading2"/>
      </w:pPr>
      <w:r>
        <w:t xml:space="preserve">5.2 Career tracks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60"/>
        <w:gridCol w:w="2700"/>
      </w:tblGrid>
      <w:tr>
        <w:trPr>
          <w:tblHeader/>
        </w:trPr>
        <w:tc>
          <w:tcPr>
            <w:tcW w:type="dxa" w:w="23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Track</w:t>
            </w:r>
          </w:p>
        </w:tc>
        <w:tc>
          <w:tcPr>
            <w:tcW w:type="dxa" w:w="43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Core tools &amp; skills</w:t>
            </w:r>
          </w:p>
        </w:tc>
        <w:tc>
          <w:tcPr>
            <w:tcW w:type="dxa" w:w="27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Career progression</w:t>
            </w:r>
          </w:p>
        </w:tc>
      </w:tr>
      <w:tr>
        <w:tc>
          <w:tcPr>
            <w:tcW w:type="dxa" w:w="23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Product Management</w:t>
            </w:r>
          </w:p>
        </w:tc>
        <w:tc>
          <w:tcPr>
            <w:tcW w:type="dxa" w:w="43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Product thinking, roadmapping, stakeholder mgmt, Agile, Jira, Notion</w:t>
            </w:r>
          </w:p>
        </w:tc>
        <w:tc>
          <w:tcPr>
            <w:tcW w:type="dxa" w:w="27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Junior PM → Senior PM → Head of Product</w:t>
            </w:r>
          </w:p>
        </w:tc>
      </w:tr>
      <w:tr>
        <w:tc>
          <w:tcPr>
            <w:tcW w:type="dxa" w:w="23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Software Development</w:t>
            </w:r>
          </w:p>
        </w:tc>
        <w:tc>
          <w:tcPr>
            <w:tcW w:type="dxa" w:w="43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HTML/CSS/JS → React/Node → system design, APIs, DevOps basics</w:t>
            </w:r>
          </w:p>
        </w:tc>
        <w:tc>
          <w:tcPr>
            <w:tcW w:type="dxa" w:w="27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Junior → Mid → Senior/Lead Dev</w:t>
            </w:r>
          </w:p>
        </w:tc>
      </w:tr>
      <w:tr>
        <w:tc>
          <w:tcPr>
            <w:tcW w:type="dxa" w:w="23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Product Design (UI/UX)</w:t>
            </w:r>
          </w:p>
        </w:tc>
        <w:tc>
          <w:tcPr>
            <w:tcW w:type="dxa" w:w="43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Design principles, Figma, research, prototyping, design systems</w:t>
            </w:r>
          </w:p>
        </w:tc>
        <w:tc>
          <w:tcPr>
            <w:tcW w:type="dxa" w:w="27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Junior → Mid → Lead Designer</w:t>
            </w:r>
          </w:p>
        </w:tc>
      </w:tr>
      <w:tr>
        <w:tc>
          <w:tcPr>
            <w:tcW w:type="dxa" w:w="23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Virtual Assistance</w:t>
            </w:r>
          </w:p>
        </w:tc>
        <w:tc>
          <w:tcPr>
            <w:tcW w:type="dxa" w:w="43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Admin &amp; comms tools, project &amp; client mgmt, remote setup, Notion/Trello</w:t>
            </w:r>
          </w:p>
        </w:tc>
        <w:tc>
          <w:tcPr>
            <w:tcW w:type="dxa" w:w="27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Freelance VA → Specialist VA → VA Business Owner</w:t>
            </w:r>
          </w:p>
        </w:tc>
      </w:tr>
      <w:tr>
        <w:tc>
          <w:tcPr>
            <w:tcW w:type="dxa" w:w="23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Data Analysis</w:t>
            </w:r>
          </w:p>
        </w:tc>
        <w:tc>
          <w:tcPr>
            <w:tcW w:type="dxa" w:w="43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Excel, SQL, Power BI/Tableau, Python basics, data storytelling</w:t>
            </w:r>
          </w:p>
        </w:tc>
        <w:tc>
          <w:tcPr>
            <w:tcW w:type="dxa" w:w="27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Junior → Mid Analyst → Data Lead</w:t>
            </w:r>
          </w:p>
        </w:tc>
      </w:tr>
    </w:tbl>
    <w:p>
      <w:pPr>
        <w:spacing w:after="120" w:line="276"/>
      </w:pPr>
      <w:r>
        <w:rPr>
          <w:b/>
          <w:bCs/>
        </w:rPr>
        <w:t xml:space="preserve">Phase 2 tracks: </w:t>
      </w:r>
      <w:r>
        <w:t xml:space="preserve">Digital Marketing and Cybersecurity — high-demand and high-salary respectively — are slated for build immediately after launch.</w:t>
      </w:r>
    </w:p>
    <w:p>
      <w:pPr>
        <w:pStyle w:val="Heading1"/>
      </w:pPr>
      <w:r>
        <w:t xml:space="preserve">6. User Personas</w:t>
      </w:r>
    </w:p>
    <w:p>
      <w:pPr>
        <w:spacing w:after="120" w:line="276"/>
      </w:pPr>
      <w:r>
        <w:t xml:space="preserve">Three primary personas map to SKILLUP’s three-tier structure and the dominant career tracks.</w:t>
      </w:r>
    </w:p>
    <w:p>
      <w:pPr>
        <w:pStyle w:val="Heading3"/>
      </w:pPr>
      <w:r>
        <w:t xml:space="preserve">Persona 1 — Chidi, the Career Switcher — Basic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Field</w:t>
            </w:r>
          </w:p>
        </w:tc>
        <w:tc>
          <w:tcPr>
            <w:tcW w:type="dxa" w:w="71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Detail</w:t>
            </w:r>
          </w:p>
        </w:tc>
      </w:tr>
      <w:tr>
        <w:tc>
          <w:tcPr>
            <w:tcW w:type="dxa" w:w="2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Profile</w:t>
            </w:r>
          </w:p>
        </w:tc>
        <w:tc>
          <w:tcPr>
            <w:tcW w:type="dxa" w:w="71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Male, 22–28. Unemployed graduate / NYSC leaver / entry-level worker in a non-tech field. Lagos, Abuja, Ibadan, Port Harcourt.</w:t>
            </w:r>
          </w:p>
        </w:tc>
      </w:tr>
      <w:tr>
        <w:tc>
          <w:tcPr>
            <w:tcW w:type="dxa" w:w="22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Behaviour</w:t>
            </w:r>
          </w:p>
        </w:tc>
        <w:tc>
          <w:tcPr>
            <w:tcW w:type="dxa" w:w="71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Heavy mobile user (Instagram, TikTok, WhatsApp, YouTube). Reluctant to pay without proven ROI; prefers installments.</w:t>
            </w:r>
          </w:p>
        </w:tc>
      </w:tr>
      <w:tr>
        <w:tc>
          <w:tcPr>
            <w:tcW w:type="dxa" w:w="2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Frustrations</w:t>
            </w:r>
          </w:p>
        </w:tc>
        <w:tc>
          <w:tcPr>
            <w:tcW w:type="dxa" w:w="71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Doesn’t know which role suits him; fears he needs a CS degree; burned by fake academies; free content lacks structure.</w:t>
            </w:r>
          </w:p>
        </w:tc>
      </w:tr>
      <w:tr>
        <w:tc>
          <w:tcPr>
            <w:tcW w:type="dxa" w:w="22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Needs</w:t>
            </w:r>
          </w:p>
        </w:tc>
        <w:tc>
          <w:tcPr>
            <w:tcW w:type="dxa" w:w="71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Clear track comparison, affordable/installment pricing, real career-switcher testimonials, short mobile modules, a LinkedIn-worthy certificate.</w:t>
            </w:r>
          </w:p>
        </w:tc>
      </w:tr>
      <w:tr>
        <w:tc>
          <w:tcPr>
            <w:tcW w:type="dxa" w:w="2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Goal</w:t>
            </w:r>
          </w:p>
        </w:tc>
        <w:tc>
          <w:tcPr>
            <w:tcW w:type="dxa" w:w="71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Enter a first tech role (e.g., PM or VA) within 6 months of completing Basic.</w:t>
            </w:r>
          </w:p>
        </w:tc>
      </w:tr>
    </w:tbl>
    <w:p>
      <w:pPr>
        <w:spacing w:after="80"/>
      </w:pPr>
      <w:r>
        <w:t xml:space="preserve"/>
      </w:r>
    </w:p>
    <w:p>
      <w:pPr>
        <w:pStyle w:val="Heading3"/>
      </w:pPr>
      <w:r>
        <w:t xml:space="preserve">Persona 2 — Adaeze, the Upskilling Professional — Intermediate /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Field</w:t>
            </w:r>
          </w:p>
        </w:tc>
        <w:tc>
          <w:tcPr>
            <w:tcW w:type="dxa" w:w="71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Detail</w:t>
            </w:r>
          </w:p>
        </w:tc>
      </w:tr>
      <w:tr>
        <w:tc>
          <w:tcPr>
            <w:tcW w:type="dxa" w:w="2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Profile</w:t>
            </w:r>
          </w:p>
        </w:tc>
        <w:tc>
          <w:tcPr>
            <w:tcW w:type="dxa" w:w="71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Female, 26–35. Junior dev, entry-level designer, VA, or junior analyst with 1–3 yrs experience. Lagos or remote.</w:t>
            </w:r>
          </w:p>
        </w:tc>
      </w:tr>
      <w:tr>
        <w:tc>
          <w:tcPr>
            <w:tcW w:type="dxa" w:w="22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Behaviour</w:t>
            </w:r>
          </w:p>
        </w:tc>
        <w:tc>
          <w:tcPr>
            <w:tcW w:type="dxa" w:w="71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Laptop-first; active on LinkedIn, X, GitHub. Used Udemy/Coursera but struggles to finish; values cohort formats.</w:t>
            </w:r>
          </w:p>
        </w:tc>
      </w:tr>
      <w:tr>
        <w:tc>
          <w:tcPr>
            <w:tcW w:type="dxa" w:w="2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Frustrations</w:t>
            </w:r>
          </w:p>
        </w:tc>
        <w:tc>
          <w:tcPr>
            <w:tcW w:type="dxa" w:w="71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Stuck at junior level; learning in isolation; imposter syndrome about charging premium rates.</w:t>
            </w:r>
          </w:p>
        </w:tc>
      </w:tr>
      <w:tr>
        <w:tc>
          <w:tcPr>
            <w:tcW w:type="dxa" w:w="22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Needs</w:t>
            </w:r>
          </w:p>
        </w:tc>
        <w:tc>
          <w:tcPr>
            <w:tcW w:type="dxa" w:w="71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Intermediate/Advanced content, portfolio guidance, mentors, cohort accountability, employer-weighted certificates, peer community.</w:t>
            </w:r>
          </w:p>
        </w:tc>
      </w:tr>
      <w:tr>
        <w:tc>
          <w:tcPr>
            <w:tcW w:type="dxa" w:w="2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Goal</w:t>
            </w:r>
          </w:p>
        </w:tc>
        <w:tc>
          <w:tcPr>
            <w:tcW w:type="dxa" w:w="71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Get promoted, charge premium rates, or land an international remote role within 6–12 months.</w:t>
            </w:r>
          </w:p>
        </w:tc>
      </w:tr>
    </w:tbl>
    <w:p>
      <w:pPr>
        <w:spacing w:after="80"/>
      </w:pPr>
      <w:r>
        <w:t xml:space="preserve"/>
      </w:r>
    </w:p>
    <w:p>
      <w:pPr>
        <w:pStyle w:val="Heading3"/>
      </w:pPr>
      <w:r>
        <w:t xml:space="preserve">Persona 3 — Emeka, the Team Builder / Corporate Sponsor —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Field</w:t>
            </w:r>
          </w:p>
        </w:tc>
        <w:tc>
          <w:tcPr>
            <w:tcW w:type="dxa" w:w="71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Detail</w:t>
            </w:r>
          </w:p>
        </w:tc>
      </w:tr>
      <w:tr>
        <w:tc>
          <w:tcPr>
            <w:tcW w:type="dxa" w:w="2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Profile</w:t>
            </w:r>
          </w:p>
        </w:tc>
        <w:tc>
          <w:tcPr>
            <w:tcW w:type="dxa" w:w="71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Male, 30–45. Engineering Manager, CTO, founder, or L&amp;D director at a Nigerian tech company or SME.</w:t>
            </w:r>
          </w:p>
        </w:tc>
      </w:tr>
      <w:tr>
        <w:tc>
          <w:tcPr>
            <w:tcW w:type="dxa" w:w="22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Behaviour</w:t>
            </w:r>
          </w:p>
        </w:tc>
        <w:tc>
          <w:tcPr>
            <w:tcW w:type="dxa" w:w="71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Multi-device; reads Techpoint/TechCabal; evaluates tools by ROI and learner outcomes.</w:t>
            </w:r>
          </w:p>
        </w:tc>
      </w:tr>
      <w:tr>
        <w:tc>
          <w:tcPr>
            <w:tcW w:type="dxa" w:w="2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Frustrations</w:t>
            </w:r>
          </w:p>
        </w:tc>
        <w:tc>
          <w:tcPr>
            <w:tcW w:type="dxa" w:w="71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New hires lack job-ready skills despite certificates; no trusted local platform for team training; international platforms too costly in Naira.</w:t>
            </w:r>
          </w:p>
        </w:tc>
      </w:tr>
      <w:tr>
        <w:tc>
          <w:tcPr>
            <w:tcW w:type="dxa" w:w="22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Needs</w:t>
            </w:r>
          </w:p>
        </w:tc>
        <w:tc>
          <w:tcPr>
            <w:tcW w:type="dxa" w:w="71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Corporate/team packages, B2B NGN pricing with invoicing, evaluatable outlines, a direct WhatsApp/email channel.</w:t>
            </w:r>
          </w:p>
        </w:tc>
      </w:tr>
      <w:tr>
        <w:tc>
          <w:tcPr>
            <w:tcW w:type="dxa" w:w="2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Goal</w:t>
            </w:r>
          </w:p>
        </w:tc>
        <w:tc>
          <w:tcPr>
            <w:tcW w:type="dxa" w:w="71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Enroll 5–20 team members in a track and cut onboarding time within one quarter.</w:t>
            </w:r>
          </w:p>
        </w:tc>
      </w:tr>
    </w:tbl>
    <w:p>
      <w:pPr>
        <w:spacing w:after="80"/>
      </w:pPr>
      <w:r>
        <w:t xml:space="preserve"/>
      </w:r>
    </w:p>
    <w:p>
      <w:pPr>
        <w:pStyle w:val="Heading1"/>
      </w:pPr>
      <w:r>
        <w:t xml:space="preserve">7. Business Model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Stream</w:t>
            </w:r>
          </w:p>
        </w:tc>
        <w:tc>
          <w:tcPr>
            <w:tcW w:type="dxa" w:w="69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Detail</w:t>
            </w:r>
          </w:p>
        </w:tc>
      </w:tr>
      <w:tr>
        <w:tc>
          <w:tcPr>
            <w:tcW w:type="dxa" w:w="24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Primary revenue</w:t>
            </w:r>
          </w:p>
        </w:tc>
        <w:tc>
          <w:tcPr>
            <w:tcW w:type="dxa" w:w="69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Per-level course fees, paid in full or by installment. Naira pricing across all 5 tracks and 3 levels.</w:t>
            </w:r>
          </w:p>
        </w:tc>
      </w:tr>
      <w:tr>
        <w:tc>
          <w:tcPr>
            <w:tcW w:type="dxa" w:w="24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Secondary revenue</w:t>
            </w:r>
          </w:p>
        </w:tc>
        <w:tc>
          <w:tcPr>
            <w:tcW w:type="dxa" w:w="69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Corporate / team enrollment packages — group rates for 5+ learner cohorts from companies, SMEs, and NGOs.</w:t>
            </w:r>
          </w:p>
        </w:tc>
      </w:tr>
      <w:tr>
        <w:tc>
          <w:tcPr>
            <w:tcW w:type="dxa" w:w="24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Tertiary (Phase 2)</w:t>
            </w:r>
          </w:p>
        </w:tc>
        <w:tc>
          <w:tcPr>
            <w:tcW w:type="dxa" w:w="69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Premium community membership, mentorship packages, advanced certification tracks, and B2B LMS licensing.</w:t>
            </w:r>
          </w:p>
        </w:tc>
      </w:tr>
      <w:tr>
        <w:tc>
          <w:tcPr>
            <w:tcW w:type="dxa" w:w="24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Pricing philosophy</w:t>
            </w:r>
          </w:p>
        </w:tc>
        <w:tc>
          <w:tcPr>
            <w:tcW w:type="dxa" w:w="69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Accessible but not free — premium enough to signal quality and commitment, affordable enough for every income level via tiers and installments.</w:t>
            </w:r>
          </w:p>
        </w:tc>
      </w:tr>
      <w:tr>
        <w:tc>
          <w:tcPr>
            <w:tcW w:type="dxa" w:w="24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Naira strategy</w:t>
            </w:r>
          </w:p>
        </w:tc>
        <w:tc>
          <w:tcPr>
            <w:tcW w:type="dxa" w:w="69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All fees in NGN via Paystack. FX for international learners is handled on the backend, not the learner’s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A89E" w:sz="2"/>
              <w:left w:val="single" w:color="13A89E" w:sz="18"/>
              <w:bottom w:val="single" w:color="13A89E" w:sz="2"/>
              <w:right w:val="single" w:color="13A89E" w:sz="2"/>
            </w:tcBorders>
            <w:shd w:fill="F4F8FC" w:val="clear"/>
            <w:tcMar>
              <w:top w:type="dxa" w:w="120"/>
              <w:left w:type="dxa" w:w="180"/>
              <w:bottom w:type="dxa" w:w="120"/>
              <w:right w:type="dxa" w:w="160"/>
            </w:tcMar>
          </w:tcPr>
          <w:p>
            <w:pPr>
              <w:spacing w:after="0" w:line="276"/>
            </w:pPr>
            <w:r>
              <w:rPr>
                <w:b/>
                <w:bCs/>
                <w:color w:val="0B2545"/>
                <w:sz w:val="20"/>
                <w:szCs w:val="20"/>
              </w:rPr>
              <w:t xml:space="preserve">Installment principle.  </w:t>
            </w:r>
            <w:r>
              <w:rPr>
                <w:color w:val="222B36"/>
                <w:sz w:val="20"/>
                <w:szCs w:val="20"/>
              </w:rPr>
              <w:t xml:space="preserve">Pricing is tiered from ₦15,000 at Basic entry up to ₦100,000 at Advanced, with installment plans offered from Day 1 on any course above ₦30,000. The ₦25,000 up-front commitment fee from the earlier plan is retired — it created friction at exactly the point where the price-sensitive entry learner decides whether to start.</w:t>
            </w:r>
          </w:p>
        </w:tc>
      </w:tr>
    </w:tbl>
    <w:p>
      <w:pPr>
        <w:pStyle w:val="Heading1"/>
      </w:pPr>
      <w:r>
        <w:t xml:space="preserve">8. Competitive Landscape &amp; Differentiation</w:t>
      </w:r>
    </w:p>
    <w:p>
      <w:pPr>
        <w:spacing w:after="120" w:line="276"/>
      </w:pPr>
      <w:r>
        <w:t xml:space="preserve">Competitors fall into direct (Nigerian career-training platforms), indirect (international MOOCs), and partial (overlapping but non-identical) tiers. The recurring gap: each strong competitor wins on one or two dimensions but none covers the full set.</w:t>
      </w:r>
    </w:p>
    <w:p>
      <w:pPr>
        <w:pStyle w:val="Heading2"/>
      </w:pPr>
      <w:r>
        <w:t xml:space="preserve">8.1 Direct competitors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Platform</w:t>
            </w:r>
          </w:p>
        </w:tc>
        <w:tc>
          <w:tcPr>
            <w:tcW w:type="dxa" w:w="373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Position</w:t>
            </w:r>
          </w:p>
        </w:tc>
        <w:tc>
          <w:tcPr>
            <w:tcW w:type="dxa" w:w="373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SKILLUP opportunity</w:t>
            </w:r>
          </w:p>
        </w:tc>
      </w:tr>
      <w:tr>
        <w:tc>
          <w:tcPr>
            <w:tcW w:type="dxa" w:w="19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AltSchool Africa</w:t>
            </w:r>
          </w:p>
        </w:tc>
        <w:tc>
          <w:tcPr>
            <w:tcW w:type="dxa" w:w="373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Strong brand, accreditation, vibrant alumni; USD pricing, removed job-placement promise, no VA/Basic-PM tracks</w:t>
            </w:r>
          </w:p>
        </w:tc>
        <w:tc>
          <w:tcPr>
            <w:tcW w:type="dxa" w:w="373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Price in Naira with installments; add VA + Basic PM; restore transparent outcome credibility</w:t>
            </w:r>
          </w:p>
        </w:tc>
      </w:tr>
      <w:tr>
        <w:tc>
          <w:tcPr>
            <w:tcW w:type="dxa" w:w="19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Decagon</w:t>
            </w:r>
          </w:p>
        </w:tc>
        <w:tc>
          <w:tcPr>
            <w:tcW w:type="dxa" w:w="373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Was Nigeria’s most prestigious SWE bootcamp; pivoted away from entry-level training; SWE only</w:t>
            </w:r>
          </w:p>
        </w:tc>
        <w:tc>
          <w:tcPr>
            <w:tcW w:type="dxa" w:w="373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Capture the rejected/priced-out entry-level SWE market with multi-track breadth</w:t>
            </w:r>
          </w:p>
        </w:tc>
      </w:tr>
      <w:tr>
        <w:tc>
          <w:tcPr>
            <w:tcW w:type="dxa" w:w="19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Semicolon</w:t>
            </w:r>
          </w:p>
        </w:tc>
        <w:tc>
          <w:tcPr>
            <w:tcW w:type="dxa" w:w="373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Strong community &amp; entrepreneurship; 1-year commitment; SWE only; scholarship-dependent</w:t>
            </w:r>
          </w:p>
        </w:tc>
        <w:tc>
          <w:tcPr>
            <w:tcW w:type="dxa" w:w="373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Flexible 6–14-week levels and multi-track choice vs a one-year commitment</w:t>
            </w:r>
          </w:p>
        </w:tc>
      </w:tr>
      <w:tr>
        <w:tc>
          <w:tcPr>
            <w:tcW w:type="dxa" w:w="19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Utiva</w:t>
            </w:r>
          </w:p>
        </w:tc>
        <w:tc>
          <w:tcPr>
            <w:tcW w:type="dxa" w:w="373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Recognised premium PM bootcamp; ₦80k–₦200k+; no Basic entry; no SWE/VA</w:t>
            </w:r>
          </w:p>
        </w:tc>
        <w:tc>
          <w:tcPr>
            <w:tcW w:type="dxa" w:w="373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Undercut at Basic level; offer a clear 3-level ladder plus SWE, VA, Design</w:t>
            </w:r>
          </w:p>
        </w:tc>
      </w:tr>
      <w:tr>
        <w:tc>
          <w:tcPr>
            <w:tcW w:type="dxa" w:w="19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Zuri</w:t>
            </w:r>
          </w:p>
        </w:tc>
        <w:tc>
          <w:tcPr>
            <w:tcW w:type="dxa" w:w="373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Free, grant-funded cohorts; strong Slack community; depth limited by budget</w:t>
            </w:r>
          </w:p>
        </w:tc>
        <w:tc>
          <w:tcPr>
            <w:tcW w:type="dxa" w:w="373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Convert Zuri’s free-Basic ‘graduates’ into SKILLUP Intermediate/Advanced</w:t>
            </w:r>
          </w:p>
        </w:tc>
      </w:tr>
    </w:tbl>
    <w:p>
      <w:pPr>
        <w:pStyle w:val="Heading2"/>
      </w:pPr>
      <w:r>
        <w:t xml:space="preserve">8.2 SKILLUP differentiator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Differentiator</w:t>
            </w:r>
          </w:p>
        </w:tc>
        <w:tc>
          <w:tcPr>
            <w:tcW w:type="dxa" w:w="43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What it means</w:t>
            </w:r>
          </w:p>
        </w:tc>
        <w:tc>
          <w:tcPr>
            <w:tcW w:type="dxa" w:w="20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Edge</w:t>
            </w:r>
          </w:p>
        </w:tc>
      </w:tr>
      <w:tr>
        <w:tc>
          <w:tcPr>
            <w:tcW w:type="dxa" w:w="3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Multi-track, one platform</w:t>
            </w:r>
          </w:p>
        </w:tc>
        <w:tc>
          <w:tcPr>
            <w:tcW w:type="dxa" w:w="43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Compare and choose from 5+ tracks in one place</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High</w:t>
            </w:r>
          </w:p>
        </w:tc>
      </w:tr>
      <w:tr>
        <w:tc>
          <w:tcPr>
            <w:tcW w:type="dxa" w:w="3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3-level structured progression</w:t>
            </w:r>
          </w:p>
        </w:tc>
        <w:tc>
          <w:tcPr>
            <w:tcW w:type="dxa" w:w="43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Clear Basic → Intermediate → Advanced with defined outcomes</w:t>
            </w:r>
          </w:p>
        </w:tc>
        <w:tc>
          <w:tcPr>
            <w:tcW w:type="dxa" w:w="2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High</w:t>
            </w:r>
          </w:p>
        </w:tc>
      </w:tr>
      <w:tr>
        <w:tc>
          <w:tcPr>
            <w:tcW w:type="dxa" w:w="3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Naira-first, installment pricing</w:t>
            </w:r>
          </w:p>
        </w:tc>
        <w:tc>
          <w:tcPr>
            <w:tcW w:type="dxa" w:w="43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All NGN; installments from Day 1; no FX risk</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High</w:t>
            </w:r>
          </w:p>
        </w:tc>
      </w:tr>
      <w:tr>
        <w:tc>
          <w:tcPr>
            <w:tcW w:type="dxa" w:w="3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Outcome-anchored curriculum</w:t>
            </w:r>
          </w:p>
        </w:tc>
        <w:tc>
          <w:tcPr>
            <w:tcW w:type="dxa" w:w="43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Every module ties to what employers hire for</w:t>
            </w:r>
          </w:p>
        </w:tc>
        <w:tc>
          <w:tcPr>
            <w:tcW w:type="dxa" w:w="2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High</w:t>
            </w:r>
          </w:p>
        </w:tc>
      </w:tr>
      <w:tr>
        <w:tc>
          <w:tcPr>
            <w:tcW w:type="dxa" w:w="3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Mobile-first architecture</w:t>
            </w:r>
          </w:p>
        </w:tc>
        <w:tc>
          <w:tcPr>
            <w:tcW w:type="dxa" w:w="43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Optimised for low-bandwidth 3G/4G</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High</w:t>
            </w:r>
          </w:p>
        </w:tc>
      </w:tr>
      <w:tr>
        <w:tc>
          <w:tcPr>
            <w:tcW w:type="dxa" w:w="3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VA + PM as primary tracks</w:t>
            </w:r>
          </w:p>
        </w:tc>
        <w:tc>
          <w:tcPr>
            <w:tcW w:type="dxa" w:w="43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Blue-ocean VA; underserved Basic-level PM</w:t>
            </w:r>
          </w:p>
        </w:tc>
        <w:tc>
          <w:tcPr>
            <w:tcW w:type="dxa" w:w="2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Very High</w:t>
            </w:r>
          </w:p>
        </w:tc>
      </w:tr>
      <w:tr>
        <w:tc>
          <w:tcPr>
            <w:tcW w:type="dxa" w:w="3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Africa career context</w:t>
            </w:r>
          </w:p>
        </w:tc>
        <w:tc>
          <w:tcPr>
            <w:tcW w:type="dxa" w:w="43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Local employer expectations, salary benchmarks, remote realities</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Very High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A89E" w:sz="2"/>
              <w:left w:val="single" w:color="13A89E" w:sz="18"/>
              <w:bottom w:val="single" w:color="13A89E" w:sz="2"/>
              <w:right w:val="single" w:color="13A89E" w:sz="2"/>
            </w:tcBorders>
            <w:shd w:fill="F4F8FC" w:val="clear"/>
            <w:tcMar>
              <w:top w:type="dxa" w:w="120"/>
              <w:left w:type="dxa" w:w="180"/>
              <w:bottom w:type="dxa" w:w="120"/>
              <w:right w:type="dxa" w:w="160"/>
            </w:tcMar>
          </w:tcPr>
          <w:p>
            <w:pPr>
              <w:spacing w:after="0" w:line="276"/>
            </w:pPr>
            <w:r>
              <w:rPr>
                <w:b/>
                <w:bCs/>
                <w:color w:val="0B2545"/>
                <w:sz w:val="20"/>
                <w:szCs w:val="20"/>
              </w:rPr>
              <w:t xml:space="preserve">Market gap confirmed.  </w:t>
            </w:r>
            <w:r>
              <w:rPr>
                <w:color w:val="222B36"/>
                <w:sz w:val="20"/>
                <w:szCs w:val="20"/>
              </w:rPr>
              <w:t xml:space="preserve">No single Nigerian platform simultaneously offers (1) multiple tracks including VA and PM, (2) a structured Basic→Advanced progression, (3) Naira installment pricing accessible to beginners, and (4) a mobile-first cohort model. SKILLUP v1 is positioned to be the first to close all four at once.</w:t>
            </w:r>
          </w:p>
        </w:tc>
      </w:tr>
    </w:tbl>
    <w:p>
      <w:pPr>
        <w:pStyle w:val="Heading1"/>
      </w:pPr>
      <w:r>
        <w:t xml:space="preserve">9. Goals &amp; Success Metrics</w:t>
      </w:r>
    </w:p>
    <w:p>
      <w:pPr>
        <w:pStyle w:val="Heading2"/>
      </w:pPr>
      <w:r>
        <w:t xml:space="preserve">9.1 Product goals</w:t>
      </w:r>
    </w:p>
    <w:p>
      <w:pPr>
        <w:pStyle w:val="ListParagraph"/>
        <w:numPr>
          <w:ilvl w:val="0"/>
          <w:numId w:val="3"/>
        </w:numPr>
        <w:spacing w:after="60" w:line="264"/>
      </w:pPr>
      <w:r>
        <w:t xml:space="preserve">Establish SKILLUP as the #1 structured tech career training platform for beginners and mid-level professionals in Nigeria and West Africa within 18 months.</w:t>
      </w:r>
    </w:p>
    <w:p>
      <w:pPr>
        <w:pStyle w:val="ListParagraph"/>
        <w:numPr>
          <w:ilvl w:val="0"/>
          <w:numId w:val="3"/>
        </w:numPr>
        <w:spacing w:after="60" w:line="264"/>
      </w:pPr>
      <w:r>
        <w:t xml:space="preserve">Drive qualified enrollment across all 5 tracks from the website as the primary conversion funnel.</w:t>
      </w:r>
    </w:p>
    <w:p>
      <w:pPr>
        <w:pStyle w:val="ListParagraph"/>
        <w:numPr>
          <w:ilvl w:val="0"/>
          <w:numId w:val="3"/>
        </w:numPr>
        <w:spacing w:after="60" w:line="264"/>
      </w:pPr>
      <w:r>
        <w:t xml:space="preserve">Build a trusted, content-rich brand that converts first-time visitors into registered learners and advocates.</w:t>
      </w:r>
    </w:p>
    <w:p>
      <w:pPr>
        <w:pStyle w:val="ListParagraph"/>
        <w:numPr>
          <w:ilvl w:val="0"/>
          <w:numId w:val="3"/>
        </w:numPr>
        <w:spacing w:after="60" w:line="264"/>
      </w:pPr>
      <w:r>
        <w:t xml:space="preserve">Validate the highest-demand tracks within 60 days post-launch before scaling curriculum investment.</w:t>
      </w:r>
    </w:p>
    <w:p>
      <w:pPr>
        <w:pStyle w:val="ListParagraph"/>
        <w:numPr>
          <w:ilvl w:val="0"/>
          <w:numId w:val="3"/>
        </w:numPr>
        <w:spacing w:after="60" w:line="264"/>
      </w:pPr>
      <w:r>
        <w:t xml:space="preserve">Create a self-sustaining community that drives organic growth and lowers paid-acquisition cost over time.</w:t>
      </w:r>
    </w:p>
    <w:p>
      <w:pPr>
        <w:pStyle w:val="ListParagraph"/>
        <w:numPr>
          <w:ilvl w:val="0"/>
          <w:numId w:val="3"/>
        </w:numPr>
        <w:spacing w:after="60" w:line="264"/>
      </w:pPr>
      <w:r>
        <w:t xml:space="preserve">Generate a sustainable ₦5M+ monthly revenue run-rate from course fees by Month 6 of sales.</w:t>
      </w:r>
    </w:p>
    <w:p>
      <w:pPr>
        <w:pStyle w:val="Heading2"/>
      </w:pPr>
      <w:r>
        <w:t xml:space="preserve">9.2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060"/>
        <w:gridCol w:w="2000"/>
      </w:tblGrid>
      <w:tr>
        <w:trPr>
          <w:tblHeader/>
        </w:trPr>
        <w:tc>
          <w:tcPr>
            <w:tcW w:type="dxa" w:w="33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KPI</w:t>
            </w:r>
          </w:p>
        </w:tc>
        <w:tc>
          <w:tcPr>
            <w:tcW w:type="dxa" w:w="40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Target</w:t>
            </w:r>
          </w:p>
        </w:tc>
        <w:tc>
          <w:tcPr>
            <w:tcW w:type="dxa" w:w="20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Source</w:t>
            </w:r>
          </w:p>
        </w:tc>
      </w:tr>
      <w:tr>
        <w:tc>
          <w:tcPr>
            <w:tcW w:type="dxa" w:w="33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Monthly website visitors</w:t>
            </w:r>
          </w:p>
        </w:tc>
        <w:tc>
          <w:tcPr>
            <w:tcW w:type="dxa" w:w="40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500 (M1) → 5,000 (M6) → 20,000 (M12)</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GA4</w:t>
            </w:r>
          </w:p>
        </w:tc>
      </w:tr>
      <w:tr>
        <w:tc>
          <w:tcPr>
            <w:tcW w:type="dxa" w:w="33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Email lead-capture rate</w:t>
            </w:r>
          </w:p>
        </w:tc>
        <w:tc>
          <w:tcPr>
            <w:tcW w:type="dxa" w:w="40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&gt;8% of unique visitors become leads</w:t>
            </w:r>
          </w:p>
        </w:tc>
        <w:tc>
          <w:tcPr>
            <w:tcW w:type="dxa" w:w="2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Mailchimp / CRM</w:t>
            </w:r>
          </w:p>
        </w:tc>
      </w:tr>
      <w:tr>
        <w:tc>
          <w:tcPr>
            <w:tcW w:type="dxa" w:w="33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Course enrollment — 90 days</w:t>
            </w:r>
          </w:p>
        </w:tc>
        <w:tc>
          <w:tcPr>
            <w:tcW w:type="dxa" w:w="40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200 enrolled learners across tracks</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LMS dashboard</w:t>
            </w:r>
          </w:p>
        </w:tc>
      </w:tr>
      <w:tr>
        <w:tc>
          <w:tcPr>
            <w:tcW w:type="dxa" w:w="33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LMS CTA click-through</w:t>
            </w:r>
          </w:p>
        </w:tc>
        <w:tc>
          <w:tcPr>
            <w:tcW w:type="dxa" w:w="40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&gt;25% of homepage visitors click Enroll/LMS</w:t>
            </w:r>
          </w:p>
        </w:tc>
        <w:tc>
          <w:tcPr>
            <w:tcW w:type="dxa" w:w="2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GA4 events</w:t>
            </w:r>
          </w:p>
        </w:tc>
      </w:tr>
      <w:tr>
        <w:tc>
          <w:tcPr>
            <w:tcW w:type="dxa" w:w="33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Community sign-ups — 60 days</w:t>
            </w:r>
          </w:p>
        </w:tc>
        <w:tc>
          <w:tcPr>
            <w:tcW w:type="dxa" w:w="40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300 active members</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Community analytics</w:t>
            </w:r>
          </w:p>
        </w:tc>
      </w:tr>
      <w:tr>
        <w:tc>
          <w:tcPr>
            <w:tcW w:type="dxa" w:w="33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Course completion (Basic)</w:t>
            </w:r>
          </w:p>
        </w:tc>
        <w:tc>
          <w:tcPr>
            <w:tcW w:type="dxa" w:w="40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&gt;60% per track</w:t>
            </w:r>
          </w:p>
        </w:tc>
        <w:tc>
          <w:tcPr>
            <w:tcW w:type="dxa" w:w="2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LMS analytics</w:t>
            </w:r>
          </w:p>
        </w:tc>
      </w:tr>
      <w:tr>
        <w:tc>
          <w:tcPr>
            <w:tcW w:type="dxa" w:w="33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Net Promoter Score</w:t>
            </w:r>
          </w:p>
        </w:tc>
        <w:tc>
          <w:tcPr>
            <w:tcW w:type="dxa" w:w="40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NPS &gt; 50 after first cohort</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Post-course survey</w:t>
            </w:r>
          </w:p>
        </w:tc>
      </w:tr>
      <w:tr>
        <w:tc>
          <w:tcPr>
            <w:tcW w:type="dxa" w:w="33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Mobile page-load (LCP)</w:t>
            </w:r>
          </w:p>
        </w:tc>
        <w:tc>
          <w:tcPr>
            <w:tcW w:type="dxa" w:w="40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&lt; 2.5s; PageSpeed mobile ≥ 80</w:t>
            </w:r>
          </w:p>
        </w:tc>
        <w:tc>
          <w:tcPr>
            <w:tcW w:type="dxa" w:w="2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PageSpeed Insights</w:t>
            </w:r>
          </w:p>
        </w:tc>
      </w:tr>
      <w:tr>
        <w:tc>
          <w:tcPr>
            <w:tcW w:type="dxa" w:w="33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Revenue — Month 6</w:t>
            </w:r>
          </w:p>
        </w:tc>
        <w:tc>
          <w:tcPr>
            <w:tcW w:type="dxa" w:w="40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₦5,000,000 in course fees</w:t>
            </w:r>
          </w:p>
        </w:tc>
        <w:tc>
          <w:tcPr>
            <w:tcW w:type="dxa" w:w="2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Paystack dashboard</w:t>
            </w:r>
          </w:p>
        </w:tc>
      </w:tr>
      <w:tr>
        <w:tc>
          <w:tcPr>
            <w:tcW w:type="dxa" w:w="33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Homepage bounce rate</w:t>
            </w:r>
          </w:p>
        </w:tc>
        <w:tc>
          <w:tcPr>
            <w:tcW w:type="dxa" w:w="40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&lt; 50%</w:t>
            </w:r>
          </w:p>
        </w:tc>
        <w:tc>
          <w:tcPr>
            <w:tcW w:type="dxa" w:w="2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GA4</w:t>
            </w:r>
          </w:p>
        </w:tc>
      </w:tr>
    </w:tbl>
    <w:p>
      <w:pPr>
        <w:pStyle w:val="Heading1"/>
      </w:pPr>
      <w:r>
        <w:t xml:space="preserve">10. MVP Scope</w:t>
      </w:r>
    </w:p>
    <w:p>
      <w:pPr>
        <w:pStyle w:val="Heading2"/>
      </w:pPr>
      <w:r>
        <w:t xml:space="preserve">10.1 In scope</w:t>
      </w:r>
    </w:p>
    <w:p>
      <w:pPr>
        <w:pStyle w:val="ListParagraph"/>
        <w:numPr>
          <w:ilvl w:val="0"/>
          <w:numId w:val="2"/>
        </w:numPr>
        <w:spacing w:after="60" w:line="264"/>
      </w:pPr>
      <w:r>
        <w:t xml:space="preserve">Full responsive marketing website — homepage, courses, track detail pages, LMS gateway, resources, community, blog, about, contact, FAQ, legal.</w:t>
      </w:r>
    </w:p>
    <w:p>
      <w:pPr>
        <w:pStyle w:val="ListParagraph"/>
        <w:numPr>
          <w:ilvl w:val="0"/>
          <w:numId w:val="2"/>
        </w:numPr>
        <w:spacing w:after="60" w:line="264"/>
      </w:pPr>
      <w:r>
        <w:t xml:space="preserve">Minimum 5 career-track pages with full 3-level outlines (PM, Software Dev, Product Design, VA, Data Analysis).</w:t>
      </w:r>
    </w:p>
    <w:p>
      <w:pPr>
        <w:pStyle w:val="ListParagraph"/>
        <w:numPr>
          <w:ilvl w:val="0"/>
          <w:numId w:val="2"/>
        </w:numPr>
        <w:spacing w:after="60" w:line="264"/>
      </w:pPr>
      <w:r>
        <w:t xml:space="preserve">LMS portal gateway page with working redirect to a branded third-party LMS.</w:t>
      </w:r>
    </w:p>
    <w:p>
      <w:pPr>
        <w:pStyle w:val="ListParagraph"/>
        <w:numPr>
          <w:ilvl w:val="0"/>
          <w:numId w:val="2"/>
        </w:numPr>
        <w:spacing w:after="60" w:line="264"/>
      </w:pPr>
      <w:r>
        <w:t xml:space="preserve">Resources library with at least 8 email-gated downloads; blog with at least 5 SEO articles.</w:t>
      </w:r>
    </w:p>
    <w:p>
      <w:pPr>
        <w:pStyle w:val="ListParagraph"/>
        <w:numPr>
          <w:ilvl w:val="0"/>
          <w:numId w:val="2"/>
        </w:numPr>
        <w:spacing w:after="60" w:line="264"/>
      </w:pPr>
      <w:r>
        <w:t xml:space="preserve">Community landing page with a functional redirect to the community platform (Slack / Circle / WhatsApp).</w:t>
      </w:r>
    </w:p>
    <w:p>
      <w:pPr>
        <w:pStyle w:val="ListParagraph"/>
        <w:numPr>
          <w:ilvl w:val="0"/>
          <w:numId w:val="2"/>
        </w:numPr>
        <w:spacing w:after="60" w:line="264"/>
      </w:pPr>
      <w:r>
        <w:t xml:space="preserve">Paystack payment integration (NGN, installment option) and Mailchimp/ConvertKit email automation.</w:t>
      </w:r>
    </w:p>
    <w:p>
      <w:pPr>
        <w:pStyle w:val="ListParagraph"/>
        <w:numPr>
          <w:ilvl w:val="0"/>
          <w:numId w:val="2"/>
        </w:numPr>
        <w:spacing w:after="60" w:line="264"/>
      </w:pPr>
      <w:r>
        <w:t xml:space="preserve">Floating WhatsApp button, corporate/team enquiry form, GA4 event tracking, SSL/HTTPS, NDPR cookie consent, basic SEO.</w:t>
      </w:r>
    </w:p>
    <w:p>
      <w:pPr>
        <w:pStyle w:val="Heading2"/>
      </w:pPr>
      <w:r>
        <w:t xml:space="preserve">10.2 Out of scope (MVP)</w:t>
      </w:r>
    </w:p>
    <w:p>
      <w:pPr>
        <w:pStyle w:val="ListParagraph"/>
        <w:numPr>
          <w:ilvl w:val="0"/>
          <w:numId w:val="2"/>
        </w:numPr>
        <w:spacing w:after="60" w:line="264"/>
      </w:pPr>
      <w:r>
        <w:t xml:space="preserve">Custom LMS build; native mobile app; on-site progress dashboard; on-platform video/webinar hosting.</w:t>
      </w:r>
    </w:p>
    <w:p>
      <w:pPr>
        <w:pStyle w:val="ListParagraph"/>
        <w:numPr>
          <w:ilvl w:val="0"/>
          <w:numId w:val="2"/>
        </w:numPr>
        <w:spacing w:after="60" w:line="264"/>
      </w:pPr>
      <w:r>
        <w:t xml:space="preserve">AI track-recommendation engine; job board / placement marketplace; instructor marketplace.</w:t>
      </w:r>
    </w:p>
    <w:p>
      <w:pPr>
        <w:pStyle w:val="ListParagraph"/>
        <w:numPr>
          <w:ilvl w:val="0"/>
          <w:numId w:val="2"/>
        </w:numPr>
        <w:spacing w:after="60" w:line="264"/>
      </w:pPr>
      <w:r>
        <w:t xml:space="preserve">Automated affiliate/referral payouts; multi-language support; on-site forum; recurring SaaS billing; SCORM/corporate-LMS integration; certificate-verification portal.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A89E" w:sz="2"/>
              <w:left w:val="single" w:color="13A89E" w:sz="18"/>
              <w:bottom w:val="single" w:color="13A89E" w:sz="2"/>
              <w:right w:val="single" w:color="13A89E" w:sz="2"/>
            </w:tcBorders>
            <w:shd w:fill="F4F8FC" w:val="clear"/>
            <w:tcMar>
              <w:top w:type="dxa" w:w="120"/>
              <w:left w:type="dxa" w:w="180"/>
              <w:bottom w:type="dxa" w:w="120"/>
              <w:right w:type="dxa" w:w="160"/>
            </w:tcMar>
          </w:tcPr>
          <w:p>
            <w:pPr>
              <w:spacing w:after="0" w:line="276"/>
            </w:pPr>
            <w:r>
              <w:rPr>
                <w:b/>
                <w:bCs/>
                <w:color w:val="0B2545"/>
                <w:sz w:val="20"/>
                <w:szCs w:val="20"/>
              </w:rPr>
              <w:t xml:space="preserve">Scope discipline.  </w:t>
            </w:r>
            <w:r>
              <w:rPr>
                <w:color w:val="222B36"/>
                <w:sz w:val="20"/>
                <w:szCs w:val="20"/>
              </w:rPr>
              <w:t xml:space="preserve">The single biggest delivery risk is scope creep — particularly the temptation to build a custom LMS. The MVP deliberately rents the LMS and ships a focused marketing-and-enrollment front end. All new requests route to the Phase 2 backlog through a formal change process.</w:t>
            </w:r>
          </w:p>
        </w:tc>
      </w:tr>
    </w:tbl>
    <w:p>
      <w:pPr>
        <w:pStyle w:val="Heading1"/>
      </w:pPr>
      <w:r>
        <w:t xml:space="preserve">11. Go-to-Market &amp; Roadmap</w:t>
      </w:r>
    </w:p>
    <w:p>
      <w:pPr>
        <w:spacing w:after="120" w:line="276"/>
      </w:pPr>
      <w:r>
        <w:t xml:space="preserve">Launch is sequenced across three phases, all content- and community-led rather than paid-first.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660"/>
        <w:gridCol w:w="2200"/>
      </w:tblGrid>
      <w:tr>
        <w:trPr>
          <w:tblHeader/>
        </w:trPr>
        <w:tc>
          <w:tcPr>
            <w:tcW w:type="dxa" w:w="25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Phase</w:t>
            </w:r>
          </w:p>
        </w:tc>
        <w:tc>
          <w:tcPr>
            <w:tcW w:type="dxa" w:w="46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Activities</w:t>
            </w:r>
          </w:p>
        </w:tc>
        <w:tc>
          <w:tcPr>
            <w:tcW w:type="dxa" w:w="22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Channels</w:t>
            </w:r>
          </w:p>
        </w:tc>
      </w:tr>
      <w:tr>
        <w:tc>
          <w:tcPr>
            <w:tcW w:type="dxa" w:w="25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Phase 1 — Pre-launch (4 wks before)</w:t>
            </w:r>
          </w:p>
        </w:tc>
        <w:tc>
          <w:tcPr>
            <w:tcW w:type="dxa" w:w="46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Build a 500+ waitlist via social content and WhatsApp broadcasts; seed the community with 50 founding members.</w:t>
            </w:r>
          </w:p>
        </w:tc>
        <w:tc>
          <w:tcPr>
            <w:tcW w:type="dxa" w:w="2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Social, WhatsApp, founder LinkedIn</w:t>
            </w:r>
          </w:p>
        </w:tc>
      </w:tr>
      <w:tr>
        <w:tc>
          <w:tcPr>
            <w:tcW w:type="dxa" w:w="25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Phase 2 — Launch week</w:t>
            </w:r>
          </w:p>
        </w:tc>
        <w:tc>
          <w:tcPr>
            <w:tcW w:type="dxa" w:w="46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Announce with a First-Cohort Bonus; publish 5 blog articles; send the waitlist email; run an Instagram Live Q&amp;A.</w:t>
            </w:r>
          </w:p>
        </w:tc>
        <w:tc>
          <w:tcPr>
            <w:tcW w:type="dxa" w:w="22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Email, social, WhatsApp, LinkedIn</w:t>
            </w:r>
          </w:p>
        </w:tc>
      </w:tr>
      <w:tr>
        <w:tc>
          <w:tcPr>
            <w:tcW w:type="dxa" w:w="25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Phase 3 — Growth (M1–M6)</w:t>
            </w:r>
          </w:p>
        </w:tc>
        <w:tc>
          <w:tcPr>
            <w:tcW w:type="dxa" w:w="46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Weekly content; lead-magnet downloads; visitor retargeting; referral incentives; corporate outreach to Lagos tech firms.</w:t>
            </w:r>
          </w:p>
        </w:tc>
        <w:tc>
          <w:tcPr>
            <w:tcW w:type="dxa" w:w="22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SEO, Instagram, LinkedIn, WhatsApp</w:t>
            </w:r>
          </w:p>
        </w:tc>
      </w:tr>
    </w:tbl>
    <w:p>
      <w:pPr>
        <w:pStyle w:val="Heading2"/>
      </w:pPr>
      <w:r>
        <w:t xml:space="preserve">11.1 Phasing beyond MVP</w:t>
      </w:r>
    </w:p>
    <w:p>
      <w:pPr>
        <w:pStyle w:val="ListParagraph"/>
        <w:numPr>
          <w:ilvl w:val="0"/>
          <w:numId w:val="2"/>
        </w:numPr>
        <w:spacing w:after="60" w:line="264"/>
      </w:pPr>
      <w:r>
        <w:t xml:space="preserve">Phase 1.5 (first 30 days): video testimonials, cohort countdown timers, Digital Marketing &amp; Cybersecurity track pages.</w:t>
      </w:r>
    </w:p>
    <w:p>
      <w:pPr>
        <w:pStyle w:val="ListParagraph"/>
        <w:numPr>
          <w:ilvl w:val="0"/>
          <w:numId w:val="2"/>
        </w:numPr>
        <w:spacing w:after="60" w:line="264"/>
      </w:pPr>
      <w:r>
        <w:t xml:space="preserve">Phase 2: authenticated LMS dashboard widget, ISA/pay-after-job option, on-site community features, A/B testing &amp; CRO, B2B LMS licensing.</w:t>
      </w:r>
    </w:p>
    <w:p>
      <w:pPr>
        <w:pStyle w:val="Heading1"/>
      </w:pPr>
      <w:r>
        <w:t xml:space="preserve">12. Technical Architecture</w:t>
      </w:r>
    </w:p>
    <w:p>
      <w:pPr>
        <w:spacing w:after="120" w:line="276"/>
      </w:pPr>
      <w:r>
        <w:t xml:space="preserve">A two-surface design keeps the MVP lean: a marketing-and-enrollment website that owns acquisition and trust, and a rented LMS that owns delivery. The website never tries to be the 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Surface</w:t>
            </w:r>
          </w:p>
        </w:tc>
        <w:tc>
          <w:tcPr>
            <w:tcW w:type="dxa" w:w="67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Responsibility</w:t>
            </w:r>
          </w:p>
        </w:tc>
      </w:tr>
      <w:tr>
        <w:tc>
          <w:tcPr>
            <w:tcW w:type="dxa" w:w="26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Public website</w:t>
            </w:r>
          </w:p>
        </w:tc>
        <w:tc>
          <w:tcPr>
            <w:tcW w:type="dxa" w:w="6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Marketing, SEO, track catalogue, enrollment checkout, resources, blog, community gateway, lead capture. Mobile-first, WhatsApp-native.</w:t>
            </w:r>
          </w:p>
        </w:tc>
      </w:tr>
      <w:tr>
        <w:tc>
          <w:tcPr>
            <w:tcW w:type="dxa" w:w="26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LMS portal (3rd-party)</w:t>
            </w:r>
          </w:p>
        </w:tc>
        <w:tc>
          <w:tcPr>
            <w:tcW w:type="dxa" w:w="6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Authenticated learning delivery, progress tracking, certificates — co-branded, mobile-responsive, reached via SSO or direct redirect.</w:t>
            </w:r>
          </w:p>
        </w:tc>
      </w:tr>
    </w:tbl>
    <w:p>
      <w:pPr>
        <w:pStyle w:val="Heading3"/>
      </w:pPr>
      <w:r>
        <w:t xml:space="preserve">Key integrations &amp; non-functionals</w:t>
      </w:r>
    </w:p>
    <w:p>
      <w:pPr>
        <w:pStyle w:val="ListParagraph"/>
        <w:numPr>
          <w:ilvl w:val="0"/>
          <w:numId w:val="2"/>
        </w:numPr>
        <w:spacing w:after="60" w:line="264"/>
      </w:pPr>
      <w:r>
        <w:t xml:space="preserve">Payments: Paystack (NGN, installments) with a WhatsApp manual-payment fallback; LMS access granted within 5 minutes of payment.</w:t>
      </w:r>
    </w:p>
    <w:p>
      <w:pPr>
        <w:pStyle w:val="ListParagraph"/>
        <w:numPr>
          <w:ilvl w:val="0"/>
          <w:numId w:val="2"/>
        </w:numPr>
        <w:spacing w:after="60" w:line="264"/>
      </w:pPr>
      <w:r>
        <w:t xml:space="preserve">Email &amp; CRM: Mailchimp/ConvertKit for welcome and nurture sequences; CRM/admin routing for corporate enquiries.</w:t>
      </w:r>
    </w:p>
    <w:p>
      <w:pPr>
        <w:pStyle w:val="ListParagraph"/>
        <w:numPr>
          <w:ilvl w:val="0"/>
          <w:numId w:val="2"/>
        </w:numPr>
        <w:spacing w:after="60" w:line="264"/>
      </w:pPr>
      <w:r>
        <w:t xml:space="preserve">Analytics: GA4 (with GTM) and optional Hotjar/Clarity; event taxonomy defined before development.</w:t>
      </w:r>
    </w:p>
    <w:p>
      <w:pPr>
        <w:pStyle w:val="ListParagraph"/>
        <w:numPr>
          <w:ilvl w:val="0"/>
          <w:numId w:val="2"/>
        </w:numPr>
        <w:spacing w:after="60" w:line="264"/>
      </w:pPr>
      <w:r>
        <w:t xml:space="preserve">Performance: WebP images, lazy loading, Cloudflare CDN; LCP &lt; 2.5s and PageSpeed mobile ≥ 80 on simulated 4G.</w:t>
      </w:r>
    </w:p>
    <w:p>
      <w:pPr>
        <w:pStyle w:val="ListParagraph"/>
        <w:numPr>
          <w:ilvl w:val="0"/>
          <w:numId w:val="2"/>
        </w:numPr>
        <w:spacing w:after="60" w:line="264"/>
      </w:pPr>
      <w:r>
        <w:t xml:space="preserve">Trust &amp; compliance: SSL/HTTPS everywhere, NDPR/GDPR cookie consent, privacy/terms/refund pages.</w:t>
      </w: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5760"/>
      </w:tblGrid>
      <w:tr>
        <w:trPr>
          <w:tblHeader/>
        </w:trPr>
        <w:tc>
          <w:tcPr>
            <w:tcW w:type="dxa" w:w="25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Risk</w:t>
            </w:r>
          </w:p>
        </w:tc>
        <w:tc>
          <w:tcPr>
            <w:tcW w:type="dxa" w:w="11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Level</w:t>
            </w:r>
          </w:p>
        </w:tc>
        <w:tc>
          <w:tcPr>
            <w:tcW w:type="dxa" w:w="57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Mitigation</w:t>
            </w:r>
          </w:p>
        </w:tc>
      </w:tr>
      <w:tr>
        <w:tc>
          <w:tcPr>
            <w:tcW w:type="dxa" w:w="25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Content / curriculum delay</w:t>
            </w:r>
          </w:p>
        </w:tc>
        <w:tc>
          <w:tcPr>
            <w:tcW w:type="dxa" w:w="11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High</w:t>
            </w:r>
          </w:p>
        </w:tc>
        <w:tc>
          <w:tcPr>
            <w:tcW w:type="dxa" w:w="5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Dedicated content lead; hard content freeze 14 days before dev handoff; weekly milestone tracking.</w:t>
            </w:r>
          </w:p>
        </w:tc>
      </w:tr>
      <w:tr>
        <w:tc>
          <w:tcPr>
            <w:tcW w:type="dxa" w:w="25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Low traffic post-launch</w:t>
            </w:r>
          </w:p>
        </w:tc>
        <w:tc>
          <w:tcPr>
            <w:tcW w:type="dxa" w:w="11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High</w:t>
            </w:r>
          </w:p>
        </w:tc>
        <w:tc>
          <w:tcPr>
            <w:tcW w:type="dxa" w:w="5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Coordinated social push, WhatsApp broadcast, and a pre-launch waitlist email blast at go-live.</w:t>
            </w:r>
          </w:p>
        </w:tc>
      </w:tr>
      <w:tr>
        <w:tc>
          <w:tcPr>
            <w:tcW w:type="dxa" w:w="25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Scope creep (custom LMS)</w:t>
            </w:r>
          </w:p>
        </w:tc>
        <w:tc>
          <w:tcPr>
            <w:tcW w:type="dxa" w:w="11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High</w:t>
            </w:r>
          </w:p>
        </w:tc>
        <w:tc>
          <w:tcPr>
            <w:tcW w:type="dxa" w:w="5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Strict PM scope discipline; rent the LMS for MVP; formal change process; all extras to Phase 2.</w:t>
            </w:r>
          </w:p>
        </w:tc>
      </w:tr>
      <w:tr>
        <w:tc>
          <w:tcPr>
            <w:tcW w:type="dxa" w:w="25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Brand credibility gap</w:t>
            </w:r>
          </w:p>
        </w:tc>
        <w:tc>
          <w:tcPr>
            <w:tcW w:type="dxa" w:w="11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High</w:t>
            </w:r>
          </w:p>
        </w:tc>
        <w:tc>
          <w:tcPr>
            <w:tcW w:type="dxa" w:w="5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Real instructor LinkedIn profiles, real testimonials, transparent ‘How We Vet Instructors’ page, refund policy.</w:t>
            </w:r>
          </w:p>
        </w:tc>
      </w:tr>
      <w:tr>
        <w:tc>
          <w:tcPr>
            <w:tcW w:type="dxa" w:w="25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Payment friction / FX</w:t>
            </w:r>
          </w:p>
        </w:tc>
        <w:tc>
          <w:tcPr>
            <w:tcW w:type="dxa" w:w="11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Medium</w:t>
            </w:r>
          </w:p>
        </w:tc>
        <w:tc>
          <w:tcPr>
            <w:tcW w:type="dxa" w:w="5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Price in NGN from Day 1; installments; Paystack trust badge; WhatsApp manual fallback.</w:t>
            </w:r>
          </w:p>
        </w:tc>
      </w:tr>
      <w:tr>
        <w:tc>
          <w:tcPr>
            <w:tcW w:type="dxa" w:w="25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Community inactivity</w:t>
            </w:r>
          </w:p>
        </w:tc>
        <w:tc>
          <w:tcPr>
            <w:tcW w:type="dxa" w:w="11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Medium</w:t>
            </w:r>
          </w:p>
        </w:tc>
        <w:tc>
          <w:tcPr>
            <w:tcW w:type="dxa" w:w="5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Seed 30–50 founding members pre-launch; first AMA within 2 weeks; dedicated community manager.</w:t>
            </w:r>
          </w:p>
        </w:tc>
      </w:tr>
      <w:tr>
        <w:tc>
          <w:tcPr>
            <w:tcW w:type="dxa" w:w="25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Mobile performance on 3G</w:t>
            </w:r>
          </w:p>
        </w:tc>
        <w:tc>
          <w:tcPr>
            <w:tcW w:type="dxa" w:w="11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Medium</w:t>
            </w:r>
          </w:p>
        </w:tc>
        <w:tc>
          <w:tcPr>
            <w:tcW w:type="dxa" w:w="5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WebP, lazy loading, CDN; test on simulated 3G before launch.</w:t>
            </w:r>
          </w:p>
        </w:tc>
      </w:tr>
      <w:tr>
        <w:tc>
          <w:tcPr>
            <w:tcW w:type="dxa" w:w="25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LMS platform mismatch</w:t>
            </w:r>
          </w:p>
        </w:tc>
        <w:tc>
          <w:tcPr>
            <w:tcW w:type="dxa" w:w="11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Medium</w:t>
            </w:r>
          </w:p>
        </w:tc>
        <w:tc>
          <w:tcPr>
            <w:tcW w:type="dxa" w:w="5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Evaluate 3+ LMS options on a scorecard (mobile UX, Naira pricing, white-label, SCORM) before sign-off.</w:t>
            </w:r>
          </w:p>
        </w:tc>
      </w:tr>
      <w:tr>
        <w:tc>
          <w:tcPr>
            <w:tcW w:type="dxa" w:w="25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NDPR non-compliance</w:t>
            </w:r>
          </w:p>
        </w:tc>
        <w:tc>
          <w:tcPr>
            <w:tcW w:type="dxa" w:w="11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Low</w:t>
            </w:r>
          </w:p>
        </w:tc>
        <w:tc>
          <w:tcPr>
            <w:tcW w:type="dxa" w:w="5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Legal review of all data-collection points; privacy/terms approved before go-live; cookie consent.</w:t>
            </w:r>
          </w:p>
        </w:tc>
      </w:tr>
    </w:tbl>
    <w:p>
      <w:pPr>
        <w:pStyle w:val="Heading1"/>
      </w:pPr>
      <w:r>
        <w:t xml:space="preserve">14. Financial Outlook</w:t>
      </w:r>
    </w:p>
    <w:p>
      <w:pPr>
        <w:spacing w:after="120" w:line="276"/>
      </w:pPr>
      <w:r>
        <w:t xml:space="preserve">The model is built bottom-up from per-level course fees rather than a single headline target. The near-term objective is a ₦5M+ monthly run-rate from course fees by Month 6 of sales, reached as enrollment compounds across tracks and levels.</w:t>
      </w:r>
    </w:p>
    <w:p>
      <w:pPr>
        <w:pStyle w:val="Heading3"/>
      </w:pPr>
      <w:r>
        <w:t xml:space="preserve">Illustrative path to the Month-6 run-rate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60"/>
      </w:tblGrid>
      <w:tr>
        <w:trPr>
          <w:tblHeader/>
        </w:trPr>
        <w:tc>
          <w:tcPr>
            <w:tcW w:type="dxa" w:w="24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Lever</w:t>
            </w:r>
          </w:p>
        </w:tc>
        <w:tc>
          <w:tcPr>
            <w:tcW w:type="dxa" w:w="23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Conservative</w:t>
            </w:r>
          </w:p>
        </w:tc>
        <w:tc>
          <w:tcPr>
            <w:tcW w:type="dxa" w:w="23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Base</w:t>
            </w:r>
          </w:p>
        </w:tc>
        <w:tc>
          <w:tcPr>
            <w:tcW w:type="dxa" w:w="23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Note</w:t>
            </w:r>
          </w:p>
        </w:tc>
      </w:tr>
      <w:tr>
        <w:tc>
          <w:tcPr>
            <w:tcW w:type="dxa" w:w="24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Avg. revenue / enrollment</w:t>
            </w:r>
          </w:p>
        </w:tc>
        <w:tc>
          <w:tcPr>
            <w:tcW w:type="dxa" w:w="23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₦25,000</w:t>
            </w:r>
          </w:p>
        </w:tc>
        <w:tc>
          <w:tcPr>
            <w:tcW w:type="dxa" w:w="23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₦35,000</w:t>
            </w:r>
          </w:p>
        </w:tc>
        <w:tc>
          <w:tcPr>
            <w:tcW w:type="dxa" w:w="23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Blended across levels; Basic-weighted early</w:t>
            </w:r>
          </w:p>
        </w:tc>
      </w:tr>
      <w:tr>
        <w:tc>
          <w:tcPr>
            <w:tcW w:type="dxa" w:w="24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Paid enrollments / month (M6)</w:t>
            </w:r>
          </w:p>
        </w:tc>
        <w:tc>
          <w:tcPr>
            <w:tcW w:type="dxa" w:w="23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150</w:t>
            </w:r>
          </w:p>
        </w:tc>
        <w:tc>
          <w:tcPr>
            <w:tcW w:type="dxa" w:w="23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180</w:t>
            </w:r>
          </w:p>
        </w:tc>
        <w:tc>
          <w:tcPr>
            <w:tcW w:type="dxa" w:w="23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From a 5,000-visitor month at modest conversion</w:t>
            </w:r>
          </w:p>
        </w:tc>
      </w:tr>
      <w:tr>
        <w:tc>
          <w:tcPr>
            <w:tcW w:type="dxa" w:w="24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Monthly course-fee revenue (M6)</w:t>
            </w:r>
          </w:p>
        </w:tc>
        <w:tc>
          <w:tcPr>
            <w:tcW w:type="dxa" w:w="23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~₦3.75M</w:t>
            </w:r>
          </w:p>
        </w:tc>
        <w:tc>
          <w:tcPr>
            <w:tcW w:type="dxa" w:w="23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~₦6.3M</w:t>
            </w:r>
          </w:p>
        </w:tc>
        <w:tc>
          <w:tcPr>
            <w:tcW w:type="dxa" w:w="23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Base case clears the ₦5M run-rate target</w:t>
            </w:r>
          </w:p>
        </w:tc>
      </w:tr>
      <w:tr>
        <w:tc>
          <w:tcPr>
            <w:tcW w:type="dxa" w:w="24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Plus corporate/team deals</w:t>
            </w:r>
          </w:p>
        </w:tc>
        <w:tc>
          <w:tcPr>
            <w:tcW w:type="dxa" w:w="23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1–2 / quarter</w:t>
            </w:r>
          </w:p>
        </w:tc>
        <w:tc>
          <w:tcPr>
            <w:tcW w:type="dxa" w:w="23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1–2 / month</w:t>
            </w:r>
          </w:p>
        </w:tc>
        <w:tc>
          <w:tcPr>
            <w:tcW w:type="dxa" w:w="23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5–20 seats each; lifts and smooths revenue</w:t>
            </w:r>
          </w:p>
        </w:tc>
      </w:tr>
    </w:tbl>
    <w:p>
      <w:pPr>
        <w:spacing w:after="120" w:line="276"/>
      </w:pPr>
      <w:r>
        <w:rPr>
          <w:b/>
          <w:bCs/>
        </w:rPr>
        <w:t xml:space="preserve">Note: </w:t>
      </w:r>
      <w:r>
        <w:rPr>
          <w:i/>
          <w:iCs/>
        </w:rPr>
        <w:t xml:space="preserve">Figures are planning illustrations, not commitments. They will be replaced with actuals from the first 60–90 days, when true per-track conversion and price elasticity are known.</w:t>
      </w:r>
    </w:p>
    <w:p>
      <w:pPr>
        <w:pStyle w:val="Heading1"/>
      </w:pPr>
      <w:r>
        <w:t xml:space="preserve">15. Appendix</w:t>
      </w:r>
    </w:p>
    <w:p>
      <w:pPr>
        <w:pStyle w:val="Heading2"/>
      </w:pPr>
      <w:r>
        <w:t xml:space="preserve">A. MVP site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Page</w:t>
            </w:r>
          </w:p>
        </w:tc>
        <w:tc>
          <w:tcPr>
            <w:tcW w:type="dxa" w:w="300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URL</w:t>
            </w:r>
          </w:p>
        </w:tc>
        <w:tc>
          <w:tcPr>
            <w:tcW w:type="dxa" w:w="3760"/>
            <w:tcBorders>
              <w:top w:val="single" w:color="C9D6E3" w:sz="4"/>
              <w:left w:val="single" w:color="C9D6E3" w:sz="4"/>
              <w:bottom w:val="single" w:color="C9D6E3" w:sz="4"/>
              <w:right w:val="single" w:color="C9D6E3" w:sz="4"/>
            </w:tcBorders>
            <w:shd w:fill="1B5299" w:val="clear"/>
            <w:tcMar>
              <w:top w:type="dxa" w:w="70"/>
              <w:left w:type="dxa" w:w="110"/>
              <w:bottom w:type="dxa" w:w="70"/>
              <w:right w:type="dxa" w:w="110"/>
            </w:tcMar>
            <w:vAlign w:val="center"/>
          </w:tcPr>
          <w:p>
            <w:pPr>
              <w:spacing w:after="0" w:line="252"/>
            </w:pPr>
            <w:r>
              <w:rPr>
                <w:b/>
                <w:bCs/>
                <w:color w:val="FFFFFF"/>
                <w:sz w:val="19"/>
                <w:szCs w:val="19"/>
              </w:rPr>
              <w:t xml:space="preserve">Key content</w:t>
            </w:r>
          </w:p>
        </w:tc>
      </w:tr>
      <w:tr>
        <w:tc>
          <w:tcPr>
            <w:tcW w:type="dxa" w:w="26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Homepage</w:t>
            </w:r>
          </w:p>
        </w:tc>
        <w:tc>
          <w:tcPr>
            <w:tcW w:type="dxa" w:w="3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w:t>
            </w:r>
          </w:p>
        </w:tc>
        <w:tc>
          <w:tcPr>
            <w:tcW w:type="dxa" w:w="3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Hero, track grid, social proof, testimonials, community teaser, newsletter, FAQ</w:t>
            </w:r>
          </w:p>
        </w:tc>
      </w:tr>
      <w:tr>
        <w:tc>
          <w:tcPr>
            <w:tcW w:type="dxa" w:w="26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Courses</w:t>
            </w:r>
          </w:p>
        </w:tc>
        <w:tc>
          <w:tcPr>
            <w:tcW w:type="dxa" w:w="3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/courses</w:t>
            </w:r>
          </w:p>
        </w:tc>
        <w:tc>
          <w:tcPr>
            <w:tcW w:type="dxa" w:w="3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Track cards, level filter, comparison table, ‘Which track?’ guide</w:t>
            </w:r>
          </w:p>
        </w:tc>
      </w:tr>
      <w:tr>
        <w:tc>
          <w:tcPr>
            <w:tcW w:type="dxa" w:w="26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Track pages (5)</w:t>
            </w:r>
          </w:p>
        </w:tc>
        <w:tc>
          <w:tcPr>
            <w:tcW w:type="dxa" w:w="3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/courses/…</w:t>
            </w:r>
          </w:p>
        </w:tc>
        <w:tc>
          <w:tcPr>
            <w:tcW w:type="dxa" w:w="3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Full outline, syllabus accordion, outcomes, pricing, cohort schedule, Enroll CTA</w:t>
            </w:r>
          </w:p>
        </w:tc>
      </w:tr>
      <w:tr>
        <w:tc>
          <w:tcPr>
            <w:tcW w:type="dxa" w:w="26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LMS portal</w:t>
            </w:r>
          </w:p>
        </w:tc>
        <w:tc>
          <w:tcPr>
            <w:tcW w:type="dxa" w:w="3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/lms</w:t>
            </w:r>
          </w:p>
        </w:tc>
        <w:tc>
          <w:tcPr>
            <w:tcW w:type="dxa" w:w="3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Gateway page, login/redirect CTA, what-to-expect, access guide</w:t>
            </w:r>
          </w:p>
        </w:tc>
      </w:tr>
      <w:tr>
        <w:tc>
          <w:tcPr>
            <w:tcW w:type="dxa" w:w="26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Resources</w:t>
            </w:r>
          </w:p>
        </w:tc>
        <w:tc>
          <w:tcPr>
            <w:tcW w:type="dxa" w:w="3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/resources</w:t>
            </w:r>
          </w:p>
        </w:tc>
        <w:tc>
          <w:tcPr>
            <w:tcW w:type="dxa" w:w="3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Library, filter by track, email-gated downloads, search</w:t>
            </w:r>
          </w:p>
        </w:tc>
      </w:tr>
      <w:tr>
        <w:tc>
          <w:tcPr>
            <w:tcW w:type="dxa" w:w="26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Community</w:t>
            </w:r>
          </w:p>
        </w:tc>
        <w:tc>
          <w:tcPr>
            <w:tcW w:type="dxa" w:w="3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/community</w:t>
            </w:r>
          </w:p>
        </w:tc>
        <w:tc>
          <w:tcPr>
            <w:tcW w:type="dxa" w:w="3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Description, stats, highlights, event calendar, Join CTA</w:t>
            </w:r>
          </w:p>
        </w:tc>
      </w:tr>
      <w:tr>
        <w:tc>
          <w:tcPr>
            <w:tcW w:type="dxa" w:w="26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Blog</w:t>
            </w:r>
          </w:p>
        </w:tc>
        <w:tc>
          <w:tcPr>
            <w:tcW w:type="dxa" w:w="3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/blog</w:t>
            </w:r>
          </w:p>
        </w:tc>
        <w:tc>
          <w:tcPr>
            <w:tcW w:type="dxa" w:w="3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Article listing, category filter, individual article pages</w:t>
            </w:r>
          </w:p>
        </w:tc>
      </w:tr>
      <w:tr>
        <w:tc>
          <w:tcPr>
            <w:tcW w:type="dxa" w:w="26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About / Contact / FAQ</w:t>
            </w:r>
          </w:p>
        </w:tc>
        <w:tc>
          <w:tcPr>
            <w:tcW w:type="dxa" w:w="300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/about, /contact, /faq</w:t>
            </w:r>
          </w:p>
        </w:tc>
        <w:tc>
          <w:tcPr>
            <w:tcW w:type="dxa" w:w="3760"/>
            <w:tcBorders>
              <w:top w:val="single" w:color="C9D6E3" w:sz="4"/>
              <w:left w:val="single" w:color="C9D6E3" w:sz="4"/>
              <w:bottom w:val="single" w:color="C9D6E3" w:sz="4"/>
              <w:right w:val="single" w:color="C9D6E3" w:sz="4"/>
            </w:tcBorders>
            <w:shd w:fill="F4F8FC" w:val="clear"/>
            <w:tcMar>
              <w:top w:type="dxa" w:w="70"/>
              <w:left w:type="dxa" w:w="110"/>
              <w:bottom w:type="dxa" w:w="70"/>
              <w:right w:type="dxa" w:w="110"/>
            </w:tcMar>
            <w:vAlign w:val="center"/>
          </w:tcPr>
          <w:p>
            <w:pPr>
              <w:spacing w:after="0" w:line="252"/>
            </w:pPr>
            <w:r>
              <w:rPr>
                <w:b w:val="false"/>
                <w:bCs w:val="false"/>
                <w:sz w:val="19"/>
                <w:szCs w:val="19"/>
              </w:rPr>
              <w:t xml:space="preserve">Story &amp; team, general + corporate forms, 15+ Q&amp;As</w:t>
            </w:r>
          </w:p>
        </w:tc>
      </w:tr>
      <w:tr>
        <w:tc>
          <w:tcPr>
            <w:tcW w:type="dxa" w:w="26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Legal</w:t>
            </w:r>
          </w:p>
        </w:tc>
        <w:tc>
          <w:tcPr>
            <w:tcW w:type="dxa" w:w="300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/privacy, /terms, /refund-policy</w:t>
            </w:r>
          </w:p>
        </w:tc>
        <w:tc>
          <w:tcPr>
            <w:tcW w:type="dxa" w:w="3760"/>
            <w:tcBorders>
              <w:top w:val="single" w:color="C9D6E3" w:sz="4"/>
              <w:left w:val="single" w:color="C9D6E3" w:sz="4"/>
              <w:bottom w:val="single" w:color="C9D6E3" w:sz="4"/>
              <w:right w:val="single" w:color="C9D6E3" w:sz="4"/>
            </w:tcBorders>
            <w:shd w:fill="FFFFFF" w:val="clear"/>
            <w:tcMar>
              <w:top w:type="dxa" w:w="70"/>
              <w:left w:type="dxa" w:w="110"/>
              <w:bottom w:type="dxa" w:w="70"/>
              <w:right w:type="dxa" w:w="110"/>
            </w:tcMar>
            <w:vAlign w:val="center"/>
          </w:tcPr>
          <w:p>
            <w:pPr>
              <w:spacing w:after="0" w:line="252"/>
            </w:pPr>
            <w:r>
              <w:rPr>
                <w:b w:val="false"/>
                <w:bCs w:val="false"/>
                <w:sz w:val="19"/>
                <w:szCs w:val="19"/>
              </w:rPr>
              <w:t xml:space="preserve">NDPR-compliant policies; plain-English refund terms</w:t>
            </w:r>
          </w:p>
        </w:tc>
      </w:tr>
    </w:tbl>
    <w:p>
      <w:pPr>
        <w:pStyle w:val="Heading2"/>
      </w:pPr>
      <w:r>
        <w:t xml:space="preserve">B. Evidence sources (selected)</w:t>
      </w:r>
    </w:p>
    <w:p>
      <w:pPr>
        <w:pStyle w:val="ListParagraph"/>
        <w:numPr>
          <w:ilvl w:val="0"/>
          <w:numId w:val="2"/>
        </w:numPr>
        <w:spacing w:after="60" w:line="264"/>
      </w:pPr>
      <w:r>
        <w:t xml:space="preserve">WEF / Nigeria 3MTT (2024); McKinsey Global (2024); Techpoint Africa / EdTechX (2025).</w:t>
      </w:r>
    </w:p>
    <w:p>
      <w:pPr>
        <w:pStyle w:val="ListParagraph"/>
        <w:numPr>
          <w:ilvl w:val="0"/>
          <w:numId w:val="2"/>
        </w:numPr>
        <w:spacing w:after="60" w:line="264"/>
      </w:pPr>
      <w:r>
        <w:t xml:space="preserve">IMARC Group (2024); Edstellar Nigeria Corporate Training (2024); HolonIQ Africa EdTech 50 (2024).</w:t>
      </w:r>
    </w:p>
    <w:p>
      <w:pPr>
        <w:pStyle w:val="ListParagraph"/>
        <w:numPr>
          <w:ilvl w:val="0"/>
          <w:numId w:val="2"/>
        </w:numPr>
        <w:spacing w:after="60" w:line="264"/>
      </w:pPr>
      <w:r>
        <w:t xml:space="preserve">Nucamp / Nexford (2025); Laimoon.com Nigeria (2024); LinkedIn / Verivafrica (2024); IFC / GSMA Africa (2023).</w:t>
      </w:r>
    </w:p>
    <w:p>
      <w:pPr>
        <w:spacing w:after="200"/>
      </w:pPr>
      <w:r>
        <w:t xml:space="preserve"/>
      </w:r>
    </w:p>
    <w:p>
      <w:pPr>
        <w:pBdr>
          <w:top w:val="single" w:color="13A89E" w:sz="8" w:space="8"/>
        </w:pBdr>
        <w:spacing w:before="240"/>
        <w:jc w:val="center"/>
      </w:pPr>
      <w:r>
        <w:rPr>
          <w:i/>
          <w:iCs/>
          <w:color w:val="5A6675"/>
          <w:sz w:val="18"/>
          <w:szCs w:val="18"/>
        </w:rPr>
        <w:t xml:space="preserve">— End of Document —  SKILLUP Tech Academy Product Document  —  Confidential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4" w:space="4"/>
      </w:pBdr>
      <w:jc w:val="center"/>
    </w:pPr>
    <w:r>
      <w:rPr>
        <w:color w:val="5A6675"/>
        <w:sz w:val="16"/>
        <w:szCs w:val="16"/>
      </w:rPr>
      <w:t xml:space="preserve">Confidential · June 2026 · Page </w:t>
    </w:r>
    <w:r>
      <w:rPr>
        <w:color w:val="5A6675"/>
        <w:sz w:val="16"/>
        <w:szCs w:val="16"/>
      </w:rPr>
      <w:fldChar w:fldCharType="begin"/>
      <w:instrText xml:space="preserve">PAGE</w:instrText>
      <w:fldChar w:fldCharType="separate"/>
      <w:fldChar w:fldCharType="end"/>
    </w:r>
    <w:r>
      <w:rPr>
        <w:color w:val="5A6675"/>
        <w:sz w:val="16"/>
        <w:szCs w:val="16"/>
      </w:rPr>
      <w:t xml:space="preserve"> of </w:t>
    </w:r>
    <w:r>
      <w:rPr>
        <w:color w:val="5A667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4" w:space="4"/>
      </w:pBdr>
      <w:jc w:val="right"/>
    </w:pPr>
    <w:r>
      <w:rPr>
        <w:b/>
        <w:bCs/>
        <w:color w:val="0B2545"/>
        <w:sz w:val="16"/>
        <w:szCs w:val="16"/>
      </w:rPr>
      <w:t xml:space="preserve">SKILLUP</w:t>
    </w:r>
    <w:r>
      <w:rPr>
        <w:color w:val="5A6675"/>
        <w:sz w:val="16"/>
        <w:szCs w:val="16"/>
      </w:rPr>
      <w:t xml:space="preserve">  Tech Academy · Product Document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3A89E"/>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0B2545"/>
      <w:sz w:val="52"/>
      <w:szCs w:val="52"/>
    </w:rPr>
  </w:style>
  <w:style w:type="paragraph" w:styleId="Heading1">
    <w:name w:val="Heading 1"/>
    <w:basedOn w:val="Normal"/>
    <w:next w:val="Normal"/>
    <w:qFormat/>
    <w:pPr>
      <w:pBdr>
        <w:bottom w:val="single" w:color="13A89E" w:sz="8" w:space="4"/>
      </w:pBdr>
      <w:spacing w:after="140" w:before="320"/>
      <w:outlineLvl w:val="0"/>
    </w:pPr>
    <w:rPr>
      <w:rFonts w:ascii="Arial" w:cs="Arial" w:eastAsia="Arial" w:hAnsi="Arial"/>
      <w:b/>
      <w:bCs/>
      <w:color w:val="0B2545"/>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B5299"/>
      <w:sz w:val="24"/>
      <w:szCs w:val="24"/>
    </w:rPr>
  </w:style>
  <w:style w:type="paragraph" w:styleId="Heading3">
    <w:name w:val="Heading 3"/>
    <w:basedOn w:val="Normal"/>
    <w:next w:val="Normal"/>
    <w:qFormat/>
    <w:pPr>
      <w:spacing w:after="60" w:before="160"/>
      <w:outlineLvl w:val="2"/>
    </w:pPr>
    <w:rPr>
      <w:rFonts w:ascii="Arial" w:cs="Arial" w:eastAsia="Arial" w:hAnsi="Arial"/>
      <w:b/>
      <w:bCs/>
      <w:color w:val="0B254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2026-06-11T13:45:25.853Z</dcterms:created>
  <dcterms:modified xsi:type="dcterms:W3CDTF">2026-06-11T13:45:25.858Z</dcterms:modified>
</cp:coreProperties>
</file>

<file path=docProps/custom.xml><?xml version="1.0" encoding="utf-8"?>
<Properties xmlns="http://schemas.openxmlformats.org/officeDocument/2006/custom-properties" xmlns:vt="http://schemas.openxmlformats.org/officeDocument/2006/docPropsVTypes"/>
</file>