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p>
      <w:pPr>
        <w:spacing w:after="100" w:before="300"/>
        <w:jc w:val="center"/>
      </w:pPr>
      <w:r>
        <w:rPr>
          <w:rFonts w:ascii="Cambria" w:cs="Cambria" w:eastAsia="Cambria" w:hAnsi="Cambria"/>
          <w:b/>
          <w:bCs/>
          <w:color w:val="1E2761"/>
          <w:sz w:val="56"/>
          <w:szCs w:val="56"/>
        </w:rPr>
        <w:t xml:space="preserve">BOARD CHARTER</w:t>
      </w:r>
    </w:p>
    <w:p>
      <w:pPr>
        <w:spacing w:after="400"/>
        <w:jc w:val="center"/>
      </w:pPr>
      <w:r>
        <w:rPr>
          <w:rFonts w:ascii="Cambria" w:cs="Cambria" w:eastAsia="Cambria" w:hAnsi="Cambria"/>
          <w:color w:val="5A5A5A"/>
          <w:sz w:val="28"/>
          <w:szCs w:val="28"/>
        </w:rPr>
        <w:t xml:space="preserve">OF</w:t>
      </w:r>
    </w:p>
    <w:p>
      <w:pPr>
        <w:spacing w:after="600"/>
        <w:jc w:val="center"/>
      </w:pPr>
      <w:r>
        <w:rPr>
          <w:rFonts w:ascii="Cambria" w:cs="Cambria" w:eastAsia="Cambria" w:hAnsi="Cambria"/>
          <w:b/>
          <w:bCs/>
          <w:color w:val="B8543E"/>
          <w:sz w:val="44"/>
          <w:szCs w:val="44"/>
        </w:rPr>
        <w:t xml:space="preserve">THE JOPETNAH FOUNDATION</w:t>
      </w:r>
    </w:p>
    <w:p>
      <w:pPr>
        <w:spacing w:after="260"/>
        <w:jc w:val="center"/>
      </w:pPr>
      <w:r>
        <w:rPr>
          <w:b/>
          <w:bCs/>
          <w:color w:val="1E2761"/>
          <w:sz w:val="22"/>
          <w:szCs w:val="22"/>
        </w:rPr>
        <w:t xml:space="preserve">( TJF )</w:t>
      </w:r>
    </w:p>
    <w:p>
      <w:pPr>
        <w:spacing w:after="200"/>
        <w:jc w:val="center"/>
      </w:pPr>
      <w:r>
        <w:rPr>
          <w:i/>
          <w:iCs/>
          <w:color w:val="5A5A5A"/>
          <w:sz w:val="22"/>
          <w:szCs w:val="22"/>
        </w:rPr>
        <w:t xml:space="preserve">Governing the operations of the Board of Trustees, adopted pursuant to Article 7 of the Constitution</w:t>
      </w:r>
    </w:p>
    <w:p>
      <w:pPr>
        <w:spacing w:after="100" w:before="800"/>
        <w:jc w:val="center"/>
      </w:pPr>
      <w:r>
        <w:rPr>
          <w:b/>
          <w:bCs/>
          <w:color w:val="222222"/>
          <w:sz w:val="22"/>
          <w:szCs w:val="22"/>
        </w:rPr>
        <w:t xml:space="preserve">FINAL VERSION — APPROVED BY THE BOARD OF TRUSTEES</w:t>
      </w:r>
    </w:p>
    <w:p>
      <w:pPr>
        <w:spacing w:after="800"/>
        <w:jc w:val="center"/>
      </w:pPr>
      <w:r>
        <w:rPr>
          <w:color w:val="5A5A5A"/>
          <w:sz w:val="22"/>
          <w:szCs w:val="22"/>
        </w:rPr>
        <w:t xml:space="preserve">Kampala, Republic of Uganda  ·  2026</w:t>
      </w:r>
    </w:p>
    <w:p>
      <w:pPr>
        <w:pBdr>
          <w:top w:val="single" w:color="B8543E" w:sz="4" w:space="4"/>
          <w:bottom w:val="single" w:color="B8543E" w:sz="4" w:space="4"/>
        </w:pBdr>
        <w:shd w:fill="F1E9DD" w:val="clear"/>
        <w:spacing w:after="200" w:before="100"/>
      </w:pPr>
      <w:r>
        <w:rPr>
          <w:i/>
          <w:iCs/>
          <w:color w:val="5A3A28"/>
        </w:rPr>
        <w:t xml:space="preserve">This Charter operationalizes Articles 6–11 of TJF's Constitution and has been reviewed and approved by the Board. It sits below the Constitution in TJF's governance hierarchy: where the two conflict, the Constitution prevails. It may be amended by simple Board majority as TJF's governance needs evolve, per Article 13.</w:t>
      </w:r>
    </w:p>
    <w:p>
      <w:pPr>
        <w:pStyle w:val="Heading1"/>
        <w:pageBreakBefore/>
      </w:pPr>
      <w:r>
        <w:rPr>
          <w:b/>
          <w:bCs/>
          <w:color w:val="1E2761"/>
        </w:rPr>
        <w:t xml:space="preserve">Table of Contents</w:t>
      </w:r>
    </w:p>
    <w:p>
      <w:pPr>
        <w:spacing w:after="120"/>
      </w:pPr>
      <w:hyperlink w:history="1" w:anchor="1-purpose-and-status-of-this-charter">
        <w:r>
          <w:rPr>
            <w:color w:val="1E2761"/>
            <w:u w:val="single" w:color="1E2761"/>
          </w:rPr>
          <w:t xml:space="preserve">1. Purpose and Status of this Charter</w:t>
        </w:r>
      </w:hyperlink>
    </w:p>
    <w:p>
      <w:pPr>
        <w:spacing w:after="120"/>
      </w:pPr>
      <w:hyperlink w:history="1" w:anchor="2-role-and-fiduciary-duties-of-the-board">
        <w:r>
          <w:rPr>
            <w:color w:val="1E2761"/>
            <w:u w:val="single" w:color="1E2761"/>
          </w:rPr>
          <w:t xml:space="preserve">2. Role and Fiduciary Duties of the Board</w:t>
        </w:r>
      </w:hyperlink>
    </w:p>
    <w:p>
      <w:pPr>
        <w:spacing w:after="120"/>
      </w:pPr>
      <w:hyperlink w:history="1" w:anchor="3-composition-and-skills">
        <w:r>
          <w:rPr>
            <w:color w:val="1E2761"/>
            <w:u w:val="single" w:color="1E2761"/>
          </w:rPr>
          <w:t xml:space="preserve">3. Composition and Skills</w:t>
        </w:r>
      </w:hyperlink>
    </w:p>
    <w:p>
      <w:pPr>
        <w:spacing w:after="120"/>
      </w:pPr>
      <w:hyperlink w:history="1" w:anchor="4-roles-of-board-officers">
        <w:r>
          <w:rPr>
            <w:color w:val="1E2761"/>
            <w:u w:val="single" w:color="1E2761"/>
          </w:rPr>
          <w:t xml:space="preserve">4. Roles of Board Officers</w:t>
        </w:r>
      </w:hyperlink>
    </w:p>
    <w:p>
      <w:pPr>
        <w:spacing w:after="120"/>
      </w:pPr>
      <w:hyperlink w:history="1" w:anchor="5-trustee-onboarding-and-induction">
        <w:r>
          <w:rPr>
            <w:color w:val="1E2761"/>
            <w:u w:val="single" w:color="1E2761"/>
          </w:rPr>
          <w:t xml:space="preserve">5. Trustee Onboarding and Induction</w:t>
        </w:r>
      </w:hyperlink>
    </w:p>
    <w:p>
      <w:pPr>
        <w:spacing w:after="120"/>
      </w:pPr>
      <w:hyperlink w:history="1" w:anchor="6-meetings-operating-detail">
        <w:r>
          <w:rPr>
            <w:color w:val="1E2761"/>
            <w:u w:val="single" w:color="1E2761"/>
          </w:rPr>
          <w:t xml:space="preserve">6. Meetings — Operating Detail</w:t>
        </w:r>
      </w:hyperlink>
    </w:p>
    <w:p>
      <w:pPr>
        <w:spacing w:after="120"/>
      </w:pPr>
      <w:hyperlink w:history="1" w:anchor="7-delegation-of-authority">
        <w:r>
          <w:rPr>
            <w:color w:val="1E2761"/>
            <w:u w:val="single" w:color="1E2761"/>
          </w:rPr>
          <w:t xml:space="preserve">7. Delegation of Authority</w:t>
        </w:r>
      </w:hyperlink>
    </w:p>
    <w:p>
      <w:pPr>
        <w:spacing w:after="120"/>
      </w:pPr>
      <w:hyperlink w:history="1" w:anchor="8-committees">
        <w:r>
          <w:rPr>
            <w:color w:val="1E2761"/>
            <w:u w:val="single" w:color="1E2761"/>
          </w:rPr>
          <w:t xml:space="preserve">8. Committees</w:t>
        </w:r>
      </w:hyperlink>
    </w:p>
    <w:p>
      <w:pPr>
        <w:spacing w:after="120"/>
      </w:pPr>
      <w:hyperlink w:history="1" w:anchor="9-board-performance-and-effectiveness">
        <w:r>
          <w:rPr>
            <w:color w:val="1E2761"/>
            <w:u w:val="single" w:color="1E2761"/>
          </w:rPr>
          <w:t xml:space="preserve">9. Board Performance and Effectiveness</w:t>
        </w:r>
      </w:hyperlink>
    </w:p>
    <w:p>
      <w:pPr>
        <w:spacing w:after="120"/>
      </w:pPr>
      <w:hyperlink w:history="1" w:anchor="10-trustee-remuneration-and-expenses">
        <w:r>
          <w:rPr>
            <w:color w:val="1E2761"/>
            <w:u w:val="single" w:color="1E2761"/>
          </w:rPr>
          <w:t xml:space="preserve">10. Trustee Remuneration and Expenses</w:t>
        </w:r>
      </w:hyperlink>
    </w:p>
    <w:p>
      <w:pPr>
        <w:spacing w:after="120"/>
      </w:pPr>
      <w:hyperlink w:history="1" w:anchor="11-confidentiality">
        <w:r>
          <w:rPr>
            <w:color w:val="1E2761"/>
            <w:u w:val="single" w:color="1E2761"/>
          </w:rPr>
          <w:t xml:space="preserve">11. Confidentiality</w:t>
        </w:r>
      </w:hyperlink>
    </w:p>
    <w:p>
      <w:pPr>
        <w:spacing w:after="120"/>
      </w:pPr>
      <w:hyperlink w:history="1" w:anchor="12-relationship-with-the-executive-director">
        <w:r>
          <w:rPr>
            <w:color w:val="1E2761"/>
            <w:u w:val="single" w:color="1E2761"/>
          </w:rPr>
          <w:t xml:space="preserve">12. Relationship with the Executive Director</w:t>
        </w:r>
      </w:hyperlink>
    </w:p>
    <w:p>
      <w:pPr>
        <w:spacing w:after="120"/>
      </w:pPr>
      <w:hyperlink w:history="1" w:anchor="13-amendment-of-this-charter">
        <w:r>
          <w:rPr>
            <w:color w:val="1E2761"/>
            <w:u w:val="single" w:color="1E2761"/>
          </w:rPr>
          <w:t xml:space="preserve">13. Amendment of this Charter</w:t>
        </w:r>
      </w:hyperlink>
    </w:p>
    <w:p>
      <w:pPr>
        <w:spacing w:after="120"/>
      </w:pPr>
      <w:hyperlink w:history="1" w:anchor="adoption">
        <w:r>
          <w:rPr>
            <w:color w:val="1E2761"/>
            <w:u w:val="single" w:color="1E2761"/>
          </w:rPr>
          <w:t xml:space="preserve">Adoption</w:t>
        </w:r>
      </w:hyperlink>
    </w:p>
    <w:p>
      <w:pPr>
        <w:pStyle w:val="Heading1"/>
        <w:pageBreakBefore/>
        <w:pBdr>
          <w:bottom w:val="single" w:color="B8543E" w:sz="8" w:space="4"/>
        </w:pBdr>
        <w:spacing w:after="200" w:before="240"/>
      </w:pPr>
      <w:bookmarkStart w:name="1-purpose-and-status-of-this-charter" w:id="1000"/>
      <w:r>
        <w:rPr>
          <w:b/>
          <w:bCs/>
          <w:color w:val="1E2761"/>
        </w:rPr>
        <w:t xml:space="preserve">1. Purpose and Status of this Charter</w:t>
      </w:r>
      <w:bookmarkEnd w:id="1000"/>
    </w:p>
    <w:p>
      <w:pPr>
        <w:spacing w:after="140"/>
        <w:ind w:left="72"/>
      </w:pPr>
      <w:r>
        <w:rPr>
          <w:b/>
          <w:bCs/>
          <w:color w:val="222222"/>
        </w:rPr>
        <w:t xml:space="preserve">1.1  </w:t>
      </w:r>
      <w:r>
        <w:rPr>
          <w:color w:val="222222"/>
        </w:rPr>
        <w:t xml:space="preserve">This Charter sets out the operating rules, roles, and expectations of the Board of Trustees of The Jopetnah Foundation ("the Foundation" or "TJF"), supplementing the Constitution with practical governance detail.</w:t>
      </w:r>
    </w:p>
    <w:p>
      <w:pPr>
        <w:spacing w:after="140"/>
        <w:ind w:left="72"/>
      </w:pPr>
      <w:r>
        <w:rPr>
          <w:b/>
          <w:bCs/>
          <w:color w:val="222222"/>
        </w:rPr>
        <w:t xml:space="preserve">1.2  </w:t>
      </w:r>
      <w:r>
        <w:rPr>
          <w:color w:val="222222"/>
        </w:rPr>
        <w:t xml:space="preserve">This Charter may be adopted and amended by a simple majority of the Board, and does not require the special majorities prescribed for amendment of the Constitution itself.</w:t>
      </w:r>
    </w:p>
    <w:p>
      <w:pPr>
        <w:spacing w:after="140"/>
        <w:ind w:left="72"/>
      </w:pPr>
      <w:r>
        <w:rPr>
          <w:b/>
          <w:bCs/>
          <w:color w:val="222222"/>
        </w:rPr>
        <w:t xml:space="preserve">1.3  </w:t>
      </w:r>
      <w:r>
        <w:rPr>
          <w:color w:val="222222"/>
        </w:rPr>
        <w:t xml:space="preserve">In the event of any inconsistency between this Charter and the Constitution, the Constitution shall prevail.</w:t>
      </w:r>
    </w:p>
    <w:p>
      <w:pPr>
        <w:pStyle w:val="Heading1"/>
        <w:pageBreakBefore/>
        <w:pBdr>
          <w:bottom w:val="single" w:color="B8543E" w:sz="8" w:space="4"/>
        </w:pBdr>
        <w:spacing w:after="200" w:before="240"/>
      </w:pPr>
      <w:bookmarkStart w:name="2-role-and-fiduciary-duties-of-the-board" w:id="1001"/>
      <w:r>
        <w:rPr>
          <w:b/>
          <w:bCs/>
          <w:color w:val="1E2761"/>
        </w:rPr>
        <w:t xml:space="preserve">2. Role and Fiduciary Duties of the Board</w:t>
      </w:r>
      <w:bookmarkEnd w:id="1001"/>
    </w:p>
    <w:p>
      <w:pPr>
        <w:spacing w:after="140"/>
      </w:pPr>
      <w:r>
        <w:rPr>
          <w:color w:val="222222"/>
        </w:rPr>
        <w:t xml:space="preserve">Trustees owe the Foundation the following fiduciary duties, which this Charter expects every Trustee to uphold:</w:t>
      </w:r>
    </w:p>
    <w:p>
      <w:pPr>
        <w:spacing w:after="100"/>
        <w:ind w:left="648"/>
      </w:pPr>
      <w:r>
        <w:rPr>
          <w:b/>
          <w:bCs/>
          <w:color w:val="222222"/>
        </w:rPr>
        <w:t xml:space="preserve">(a) </w:t>
      </w:r>
      <w:r>
        <w:rPr>
          <w:color w:val="222222"/>
        </w:rPr>
        <w:t xml:space="preserve">Duty of Care — to act with the care, diligence, and skill that a reasonably prudent person would exercise in comparable circumstances, including preparing for and attending meetings and exercising independent judgment;</w:t>
      </w:r>
    </w:p>
    <w:p>
      <w:pPr>
        <w:spacing w:after="100"/>
        <w:ind w:left="648"/>
      </w:pPr>
      <w:r>
        <w:rPr>
          <w:b/>
          <w:bCs/>
          <w:color w:val="222222"/>
        </w:rPr>
        <w:t xml:space="preserve">(b) </w:t>
      </w:r>
      <w:r>
        <w:rPr>
          <w:color w:val="222222"/>
        </w:rPr>
        <w:t xml:space="preserve">Duty of Loyalty — to act in the best interests of the Foundation and its beneficiaries, ahead of personal or third-party interests, and to disclose conflicts of interest in accordance with the Foundation's Conflict of Interest Policy;</w:t>
      </w:r>
    </w:p>
    <w:p>
      <w:pPr>
        <w:spacing w:after="100"/>
        <w:ind w:left="648"/>
      </w:pPr>
      <w:r>
        <w:rPr>
          <w:b/>
          <w:bCs/>
          <w:color w:val="222222"/>
        </w:rPr>
        <w:t xml:space="preserve">(c) </w:t>
      </w:r>
      <w:r>
        <w:rPr>
          <w:color w:val="222222"/>
        </w:rPr>
        <w:t xml:space="preserve">Duty of Obedience — to ensure the Foundation acts in accordance with its Constitution, this Charter, its Objects, and applicable law.</w:t>
      </w:r>
    </w:p>
    <w:p>
      <w:pPr>
        <w:spacing w:after="140"/>
        <w:ind w:left="72"/>
      </w:pPr>
      <w:r>
        <w:rPr>
          <w:b/>
          <w:bCs/>
          <w:color w:val="222222"/>
        </w:rPr>
        <w:t xml:space="preserve">2.2  </w:t>
      </w:r>
      <w:r>
        <w:rPr>
          <w:color w:val="222222"/>
        </w:rPr>
        <w:t xml:space="preserve">The Board governs; it does not manage. The Board sets strategy, policy, and risk appetite, and holds the Executive Director accountable for management and implementation, in accordance with Article 9 of the Constitution.</w:t>
      </w:r>
    </w:p>
    <w:p>
      <w:pPr>
        <w:pStyle w:val="Heading1"/>
        <w:pageBreakBefore/>
        <w:pBdr>
          <w:bottom w:val="single" w:color="B8543E" w:sz="8" w:space="4"/>
        </w:pBdr>
        <w:spacing w:after="200" w:before="240"/>
      </w:pPr>
      <w:bookmarkStart w:name="3-composition-and-skills" w:id="1002"/>
      <w:r>
        <w:rPr>
          <w:b/>
          <w:bCs/>
          <w:color w:val="1E2761"/>
        </w:rPr>
        <w:t xml:space="preserve">3. Composition and Skills</w:t>
      </w:r>
      <w:bookmarkEnd w:id="1002"/>
    </w:p>
    <w:p>
      <w:pPr>
        <w:spacing w:after="140"/>
        <w:ind w:left="72"/>
      </w:pPr>
      <w:r>
        <w:rPr>
          <w:b/>
          <w:bCs/>
          <w:color w:val="222222"/>
        </w:rPr>
        <w:t xml:space="preserve">3.1  </w:t>
      </w:r>
      <w:r>
        <w:rPr>
          <w:color w:val="222222"/>
        </w:rPr>
        <w:t xml:space="preserve">The Board shall maintain a skills matrix covering, at minimum: governance/legal, financial management, program/sector expertise (education, health, livelihoods, environment), fundraising and donor relations, and risk/audit.</w:t>
      </w:r>
    </w:p>
    <w:p>
      <w:pPr>
        <w:spacing w:after="140"/>
        <w:ind w:left="72"/>
      </w:pPr>
      <w:r>
        <w:rPr>
          <w:b/>
          <w:bCs/>
          <w:color w:val="222222"/>
        </w:rPr>
        <w:t xml:space="preserve">3.2  </w:t>
      </w:r>
      <w:r>
        <w:rPr>
          <w:color w:val="222222"/>
        </w:rPr>
        <w:t xml:space="preserve">The Governance and Nominations Committee (or the Board, where no such committee exists) shall review the skills matrix annually against the Board's actual composition and recommend recruitment priorities for upcoming vacancies.</w:t>
      </w:r>
    </w:p>
    <w:p>
      <w:pPr>
        <w:spacing w:after="140"/>
        <w:ind w:left="72"/>
      </w:pPr>
      <w:r>
        <w:rPr>
          <w:b/>
          <w:bCs/>
          <w:color w:val="222222"/>
        </w:rPr>
        <w:t xml:space="preserve">3.3  </w:t>
      </w:r>
      <w:r>
        <w:rPr>
          <w:color w:val="222222"/>
        </w:rPr>
        <w:t xml:space="preserve">The Board shall have regard to diversity of gender, geography, age, and lived experience of the communities the Foundation serves when recommending new Trustees.</w:t>
      </w:r>
    </w:p>
    <w:p>
      <w:pPr>
        <w:pStyle w:val="Heading1"/>
        <w:pageBreakBefore/>
        <w:pBdr>
          <w:bottom w:val="single" w:color="B8543E" w:sz="8" w:space="4"/>
        </w:pBdr>
        <w:spacing w:after="200" w:before="240"/>
      </w:pPr>
      <w:bookmarkStart w:name="4-roles-of-board-officers" w:id="1003"/>
      <w:r>
        <w:rPr>
          <w:b/>
          <w:bCs/>
          <w:color w:val="1E2761"/>
        </w:rPr>
        <w:t xml:space="preserve">4. Roles of Board Officers</w:t>
      </w:r>
      <w:bookmarkEnd w:id="1003"/>
    </w:p>
    <w:p>
      <w:pPr>
        <w:pStyle w:val="Heading2"/>
        <w:spacing w:after="120" w:before="220"/>
      </w:pPr>
      <w:r>
        <w:rPr>
          <w:b/>
          <w:bCs/>
          <w:color w:val="1E2761"/>
        </w:rPr>
        <w:t xml:space="preserve">4.1 Chairperson</w:t>
      </w:r>
    </w:p>
    <w:p>
      <w:pPr>
        <w:spacing w:after="140"/>
      </w:pPr>
      <w:r>
        <w:rPr>
          <w:color w:val="222222"/>
        </w:rPr>
        <w:t xml:space="preserve">Leads the Board, sets meeting agendas in consultation with the Executive Director, chairs meetings, acts as the principal spokesperson of the Board, and leads the annual performance evaluation of the Executive Director.</w:t>
      </w:r>
    </w:p>
    <w:p>
      <w:pPr>
        <w:pStyle w:val="Heading2"/>
        <w:spacing w:after="120" w:before="220"/>
      </w:pPr>
      <w:r>
        <w:rPr>
          <w:b/>
          <w:bCs/>
          <w:color w:val="1E2761"/>
        </w:rPr>
        <w:t xml:space="preserve">4.2 Vice-Chairperson</w:t>
      </w:r>
    </w:p>
    <w:p>
      <w:pPr>
        <w:spacing w:after="140"/>
      </w:pPr>
      <w:r>
        <w:rPr>
          <w:color w:val="222222"/>
        </w:rPr>
        <w:t xml:space="preserve">Deputizes for the Chairperson when unavailable, and supports the Chairperson in Board leadership duties as agreed between them.</w:t>
      </w:r>
    </w:p>
    <w:p>
      <w:pPr>
        <w:pStyle w:val="Heading2"/>
        <w:spacing w:after="120" w:before="220"/>
      </w:pPr>
      <w:r>
        <w:rPr>
          <w:b/>
          <w:bCs/>
          <w:color w:val="1E2761"/>
        </w:rPr>
        <w:t xml:space="preserve">4.3 Treasurer</w:t>
      </w:r>
    </w:p>
    <w:p>
      <w:pPr>
        <w:spacing w:after="140"/>
      </w:pPr>
      <w:r>
        <w:rPr>
          <w:color w:val="222222"/>
        </w:rPr>
        <w:t xml:space="preserve">Oversees the Foundation's financial management on behalf of the Board, chairs or liaises closely with the Finance and Audit Committee, reviews management accounts before circulation to the Board, and leads Board scrutiny of the annual budget and audited financial statements.</w:t>
      </w:r>
    </w:p>
    <w:p>
      <w:pPr>
        <w:pStyle w:val="Heading2"/>
        <w:spacing w:after="120" w:before="220"/>
      </w:pPr>
      <w:r>
        <w:rPr>
          <w:b/>
          <w:bCs/>
          <w:color w:val="1E2761"/>
        </w:rPr>
        <w:t xml:space="preserve">4.4 Secretary</w:t>
      </w:r>
    </w:p>
    <w:p>
      <w:pPr>
        <w:spacing w:after="140"/>
      </w:pPr>
      <w:r>
        <w:rPr>
          <w:color w:val="222222"/>
        </w:rPr>
        <w:t xml:space="preserve">Ensures proper notice of meetings, prepares and circulates agendas and board papers, records and circulates minutes, and maintains the Foundation's statutory registers (including the Register of Members, Register of Interests, and minute books).</w:t>
      </w:r>
    </w:p>
    <w:p>
      <w:pPr>
        <w:pStyle w:val="Heading1"/>
        <w:pageBreakBefore/>
        <w:pBdr>
          <w:bottom w:val="single" w:color="B8543E" w:sz="8" w:space="4"/>
        </w:pBdr>
        <w:spacing w:after="200" w:before="240"/>
      </w:pPr>
      <w:bookmarkStart w:name="5-trustee-onboarding-and-induction" w:id="1004"/>
      <w:r>
        <w:rPr>
          <w:b/>
          <w:bCs/>
          <w:color w:val="1E2761"/>
        </w:rPr>
        <w:t xml:space="preserve">5. Trustee Onboarding and Induction</w:t>
      </w:r>
      <w:bookmarkEnd w:id="1004"/>
    </w:p>
    <w:p>
      <w:pPr>
        <w:spacing w:after="140"/>
        <w:ind w:left="72"/>
      </w:pPr>
      <w:r>
        <w:rPr>
          <w:b/>
          <w:bCs/>
          <w:color w:val="222222"/>
        </w:rPr>
        <w:t xml:space="preserve">5.1  </w:t>
      </w:r>
      <w:r>
        <w:rPr>
          <w:color w:val="222222"/>
        </w:rPr>
        <w:t xml:space="preserve">Every newly appointed Trustee shall, within thirty (30) days of appointment, receive: a copy of the Constitution, this Charter, the Conflict of Interest Policy, the most recent audited financial statements, and a briefing from the Executive Director on current programs and strategy.</w:t>
      </w:r>
    </w:p>
    <w:p>
      <w:pPr>
        <w:spacing w:after="140"/>
        <w:ind w:left="72"/>
      </w:pPr>
      <w:r>
        <w:rPr>
          <w:b/>
          <w:bCs/>
          <w:color w:val="222222"/>
        </w:rPr>
        <w:t xml:space="preserve">5.2  </w:t>
      </w:r>
      <w:r>
        <w:rPr>
          <w:color w:val="222222"/>
        </w:rPr>
        <w:t xml:space="preserve">Every new Trustee shall complete and sign an initial Conflict of Interest Declaration (Schedule A to the Conflict of Interest Policy) before participating in their first Board vote.</w:t>
      </w:r>
    </w:p>
    <w:p>
      <w:pPr>
        <w:pStyle w:val="Heading1"/>
        <w:pageBreakBefore/>
        <w:pBdr>
          <w:bottom w:val="single" w:color="B8543E" w:sz="8" w:space="4"/>
        </w:pBdr>
        <w:spacing w:after="200" w:before="240"/>
      </w:pPr>
      <w:bookmarkStart w:name="6-meetings-operating-detail" w:id="1005"/>
      <w:r>
        <w:rPr>
          <w:b/>
          <w:bCs/>
          <w:color w:val="1E2761"/>
        </w:rPr>
        <w:t xml:space="preserve">6. Meetings — Operating Detail</w:t>
      </w:r>
      <w:bookmarkEnd w:id="1005"/>
    </w:p>
    <w:p>
      <w:pPr>
        <w:spacing w:after="140"/>
        <w:ind w:left="72"/>
      </w:pPr>
      <w:r>
        <w:rPr>
          <w:b/>
          <w:bCs/>
          <w:color w:val="222222"/>
        </w:rPr>
        <w:t xml:space="preserve">6.1  </w:t>
      </w:r>
      <w:r>
        <w:rPr>
          <w:color w:val="222222"/>
        </w:rPr>
        <w:t xml:space="preserve">Ordinary Board meetings shall be scheduled at least one year in advance to maximize attendance, and shall in any event satisfy the minimum frequency prescribed in Article 8.1 of the Constitution.</w:t>
      </w:r>
    </w:p>
    <w:p>
      <w:pPr>
        <w:spacing w:after="140"/>
        <w:ind w:left="72"/>
      </w:pPr>
      <w:r>
        <w:rPr>
          <w:b/>
          <w:bCs/>
          <w:color w:val="222222"/>
        </w:rPr>
        <w:t xml:space="preserve">6.2  </w:t>
      </w:r>
      <w:r>
        <w:rPr>
          <w:color w:val="222222"/>
        </w:rPr>
        <w:t xml:space="preserve">Board papers, including the agenda, prior minutes, and any papers requiring a decision, shall be circulated not less than five (5) working days before each meeting, save in cases of urgency.</w:t>
      </w:r>
    </w:p>
    <w:p>
      <w:pPr>
        <w:spacing w:after="140"/>
        <w:ind w:left="72"/>
      </w:pPr>
      <w:r>
        <w:rPr>
          <w:b/>
          <w:bCs/>
          <w:color w:val="222222"/>
        </w:rPr>
        <w:t xml:space="preserve">6.3  </w:t>
      </w:r>
      <w:r>
        <w:rPr>
          <w:color w:val="222222"/>
        </w:rPr>
        <w:t xml:space="preserve">Standing agenda items for ordinary meetings shall include: declarations of interest, minutes and matters arising, Executive Director's report, financial update, program/pillar updates, committee reports, and any resolutions for decision.</w:t>
      </w:r>
    </w:p>
    <w:p>
      <w:pPr>
        <w:spacing w:after="140"/>
        <w:ind w:left="72"/>
      </w:pPr>
      <w:r>
        <w:rPr>
          <w:b/>
          <w:bCs/>
          <w:color w:val="222222"/>
        </w:rPr>
        <w:t xml:space="preserve">6.4  </w:t>
      </w:r>
      <w:r>
        <w:rPr>
          <w:color w:val="222222"/>
        </w:rPr>
        <w:t xml:space="preserve">Trustees are expected to attend not less than seventy-five percent (75%) of Board meetings in any Financial Year; attendance shall be recorded in the minutes and reviewed annually.</w:t>
      </w:r>
    </w:p>
    <w:p>
      <w:pPr>
        <w:spacing w:after="140"/>
        <w:ind w:left="72"/>
      </w:pPr>
      <w:r>
        <w:rPr>
          <w:b/>
          <w:bCs/>
          <w:color w:val="222222"/>
        </w:rPr>
        <w:t xml:space="preserve">6.5  </w:t>
      </w:r>
      <w:r>
        <w:rPr>
          <w:color w:val="222222"/>
        </w:rPr>
        <w:t xml:space="preserve">Draft minutes shall be circulated to Trustees within ten (10) working days of a meeting, for confirmation at the next meeting.</w:t>
      </w:r>
    </w:p>
    <w:p>
      <w:pPr>
        <w:pStyle w:val="Heading1"/>
        <w:pageBreakBefore/>
        <w:pBdr>
          <w:bottom w:val="single" w:color="B8543E" w:sz="8" w:space="4"/>
        </w:pBdr>
        <w:spacing w:after="200" w:before="240"/>
      </w:pPr>
      <w:bookmarkStart w:name="7-delegation-of-authority" w:id="1006"/>
      <w:r>
        <w:rPr>
          <w:b/>
          <w:bCs/>
          <w:color w:val="1E2761"/>
        </w:rPr>
        <w:t xml:space="preserve">7. Delegation of Authority</w:t>
      </w:r>
      <w:bookmarkEnd w:id="1006"/>
    </w:p>
    <w:p>
      <w:pPr>
        <w:spacing w:after="140"/>
      </w:pPr>
      <w:r>
        <w:rPr>
          <w:color w:val="222222"/>
        </w:rPr>
        <w:t xml:space="preserve">The following table sets out indicative decision-making thresholds. The Board shall review and, if necessary, update these thresholds at least annually.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675"/>
        <w:gridCol w:w="2000"/>
      </w:tblGrid>
      <w:tr>
        <w:trPr>
          <w:tblHeader/>
        </w:trPr>
        <w:tc>
          <w:tcPr>
            <w:tcW w:type="dxa" w:w="4675"/>
            <w:shd w:fill="1E2761" w:val="clear"/>
            <w:vAlign w:val="center"/>
          </w:tcPr>
          <w:p>
            <w:r>
              <w:rPr>
                <w:b/>
                <w:bCs/>
                <w:color w:val="FFFFFF"/>
                <w:sz w:val="20"/>
                <w:szCs w:val="20"/>
              </w:rPr>
              <w:t xml:space="preserve">Decision</w:t>
            </w:r>
          </w:p>
        </w:tc>
        <w:tc>
          <w:tcPr>
            <w:tcW w:type="dxa" w:w="2675"/>
            <w:shd w:fill="1E2761" w:val="clear"/>
            <w:vAlign w:val="center"/>
          </w:tcPr>
          <w:p>
            <w:r>
              <w:rPr>
                <w:b/>
                <w:bCs/>
                <w:color w:val="FFFFFF"/>
                <w:sz w:val="20"/>
                <w:szCs w:val="20"/>
              </w:rPr>
              <w:t xml:space="preserve">Authority</w:t>
            </w:r>
          </w:p>
        </w:tc>
        <w:tc>
          <w:tcPr>
            <w:tcW w:type="dxa" w:w="2000"/>
            <w:shd w:fill="1E2761" w:val="clear"/>
            <w:vAlign w:val="center"/>
          </w:tcPr>
          <w:p>
            <w:r>
              <w:rPr>
                <w:b/>
                <w:bCs/>
                <w:color w:val="FFFFFF"/>
                <w:sz w:val="20"/>
                <w:szCs w:val="20"/>
              </w:rPr>
              <w:t xml:space="preserve">Notes</w:t>
            </w:r>
          </w:p>
        </w:tc>
      </w:tr>
      <w:tr>
        <w:tc>
          <w:tcPr>
            <w:tcW w:type="dxa" w:w="4675"/>
          </w:tcPr>
          <w:p>
            <w:r>
              <w:rPr>
                <w:b w:val="false"/>
                <w:bCs w:val="false"/>
                <w:sz w:val="20"/>
                <w:szCs w:val="20"/>
              </w:rPr>
              <w:t xml:space="preserve">Operating expenditure within approved budget line</w:t>
            </w:r>
          </w:p>
        </w:tc>
        <w:tc>
          <w:tcPr>
            <w:tcW w:type="dxa" w:w="2675"/>
          </w:tcPr>
          <w:p>
            <w:r>
              <w:rPr>
                <w:b w:val="false"/>
                <w:bCs w:val="false"/>
                <w:sz w:val="20"/>
                <w:szCs w:val="20"/>
              </w:rPr>
              <w:t xml:space="preserve">Executive Director</w:t>
            </w:r>
          </w:p>
        </w:tc>
        <w:tc>
          <w:tcPr>
            <w:tcW w:type="dxa" w:w="2000"/>
          </w:tcPr>
          <w:p>
            <w:r>
              <w:rPr>
                <w:b w:val="false"/>
                <w:bCs w:val="false"/>
                <w:sz w:val="20"/>
                <w:szCs w:val="20"/>
              </w:rPr>
              <w:t xml:space="preserve">Report to Board quarterly</w:t>
            </w:r>
          </w:p>
        </w:tc>
      </w:tr>
      <w:tr>
        <w:tc>
          <w:tcPr>
            <w:tcW w:type="dxa" w:w="4675"/>
            <w:shd w:fill="F1E9DD" w:val="clear"/>
          </w:tcPr>
          <w:p>
            <w:r>
              <w:rPr>
                <w:b w:val="false"/>
                <w:bCs w:val="false"/>
                <w:sz w:val="20"/>
                <w:szCs w:val="20"/>
              </w:rPr>
              <w:t xml:space="preserve">Single expenditure item exceeding 5% of annual budget</w:t>
            </w:r>
          </w:p>
        </w:tc>
        <w:tc>
          <w:tcPr>
            <w:tcW w:type="dxa" w:w="2675"/>
            <w:shd w:fill="F1E9DD" w:val="clear"/>
          </w:tcPr>
          <w:p>
            <w:r>
              <w:rPr>
                <w:b w:val="false"/>
                <w:bCs w:val="false"/>
                <w:sz w:val="20"/>
                <w:szCs w:val="20"/>
              </w:rPr>
              <w:t xml:space="preserve">Board approval required</w:t>
            </w:r>
          </w:p>
        </w:tc>
        <w:tc>
          <w:tcPr>
            <w:tcW w:type="dxa" w:w="2000"/>
            <w:shd w:fill="F1E9DD" w:val="clear"/>
          </w:tcPr>
          <w:p>
            <w:r>
              <w:rPr>
                <w:b w:val="false"/>
                <w:bCs w:val="false"/>
                <w:sz w:val="20"/>
                <w:szCs w:val="20"/>
              </w:rPr>
              <w:t xml:space="preserve">Prior written Board resolution</w:t>
            </w:r>
          </w:p>
        </w:tc>
      </w:tr>
      <w:tr>
        <w:tc>
          <w:tcPr>
            <w:tcW w:type="dxa" w:w="4675"/>
          </w:tcPr>
          <w:p>
            <w:r>
              <w:rPr>
                <w:b w:val="false"/>
                <w:bCs w:val="false"/>
                <w:sz w:val="20"/>
                <w:szCs w:val="20"/>
              </w:rPr>
              <w:t xml:space="preserve">New program or pillar-level initiative</w:t>
            </w:r>
          </w:p>
        </w:tc>
        <w:tc>
          <w:tcPr>
            <w:tcW w:type="dxa" w:w="2675"/>
          </w:tcPr>
          <w:p>
            <w:r>
              <w:rPr>
                <w:b w:val="false"/>
                <w:bCs w:val="false"/>
                <w:sz w:val="20"/>
                <w:szCs w:val="20"/>
              </w:rPr>
              <w:t xml:space="preserve">Board approval required</w:t>
            </w:r>
          </w:p>
        </w:tc>
        <w:tc>
          <w:tcPr>
            <w:tcW w:type="dxa" w:w="2000"/>
          </w:tcPr>
          <w:p>
            <w:r>
              <w:rPr>
                <w:b w:val="false"/>
                <w:bCs w:val="false"/>
                <w:sz w:val="20"/>
                <w:szCs w:val="20"/>
              </w:rPr>
              <w:t xml:space="preserve">Via Programs Committee recommendation</w:t>
            </w:r>
          </w:p>
        </w:tc>
      </w:tr>
      <w:tr>
        <w:tc>
          <w:tcPr>
            <w:tcW w:type="dxa" w:w="4675"/>
            <w:shd w:fill="F1E9DD" w:val="clear"/>
          </w:tcPr>
          <w:p>
            <w:r>
              <w:rPr>
                <w:b w:val="false"/>
                <w:bCs w:val="false"/>
                <w:sz w:val="20"/>
                <w:szCs w:val="20"/>
              </w:rPr>
              <w:t xml:space="preserve">Staff hiring below senior management level</w:t>
            </w:r>
          </w:p>
        </w:tc>
        <w:tc>
          <w:tcPr>
            <w:tcW w:type="dxa" w:w="2675"/>
            <w:shd w:fill="F1E9DD" w:val="clear"/>
          </w:tcPr>
          <w:p>
            <w:r>
              <w:rPr>
                <w:b w:val="false"/>
                <w:bCs w:val="false"/>
                <w:sz w:val="20"/>
                <w:szCs w:val="20"/>
              </w:rPr>
              <w:t xml:space="preserve">Executive Director</w:t>
            </w:r>
          </w:p>
        </w:tc>
        <w:tc>
          <w:tcPr>
            <w:tcW w:type="dxa" w:w="2000"/>
            <w:shd w:fill="F1E9DD" w:val="clear"/>
          </w:tcPr>
          <w:p>
            <w:r>
              <w:rPr>
                <w:b w:val="false"/>
                <w:bCs w:val="false"/>
                <w:sz w:val="20"/>
                <w:szCs w:val="20"/>
              </w:rPr>
              <w:t xml:space="preserve">Within approved staffing budget</w:t>
            </w:r>
          </w:p>
        </w:tc>
      </w:tr>
      <w:tr>
        <w:tc>
          <w:tcPr>
            <w:tcW w:type="dxa" w:w="4675"/>
          </w:tcPr>
          <w:p>
            <w:r>
              <w:rPr>
                <w:b w:val="false"/>
                <w:bCs w:val="false"/>
                <w:sz w:val="20"/>
                <w:szCs w:val="20"/>
              </w:rPr>
              <w:t xml:space="preserve">Senior management hiring/termination</w:t>
            </w:r>
          </w:p>
        </w:tc>
        <w:tc>
          <w:tcPr>
            <w:tcW w:type="dxa" w:w="2675"/>
          </w:tcPr>
          <w:p>
            <w:r>
              <w:rPr>
                <w:b w:val="false"/>
                <w:bCs w:val="false"/>
                <w:sz w:val="20"/>
                <w:szCs w:val="20"/>
              </w:rPr>
              <w:t xml:space="preserve">Board approval required</w:t>
            </w:r>
          </w:p>
        </w:tc>
        <w:tc>
          <w:tcPr>
            <w:tcW w:type="dxa" w:w="2000"/>
          </w:tcPr>
          <w:p>
            <w:r>
              <w:rPr>
                <w:b w:val="false"/>
                <w:bCs w:val="false"/>
                <w:sz w:val="20"/>
                <w:szCs w:val="20"/>
              </w:rPr>
              <w:t xml:space="preserve">Via Governance Committee</w:t>
            </w:r>
          </w:p>
        </w:tc>
      </w:tr>
      <w:tr>
        <w:tc>
          <w:tcPr>
            <w:tcW w:type="dxa" w:w="4675"/>
            <w:shd w:fill="F1E9DD" w:val="clear"/>
          </w:tcPr>
          <w:p>
            <w:r>
              <w:rPr>
                <w:b w:val="false"/>
                <w:bCs w:val="false"/>
                <w:sz w:val="20"/>
                <w:szCs w:val="20"/>
              </w:rPr>
              <w:t xml:space="preserve">Borrowing or granting security over assets</w:t>
            </w:r>
          </w:p>
        </w:tc>
        <w:tc>
          <w:tcPr>
            <w:tcW w:type="dxa" w:w="2675"/>
            <w:shd w:fill="F1E9DD" w:val="clear"/>
          </w:tcPr>
          <w:p>
            <w:r>
              <w:rPr>
                <w:b w:val="false"/>
                <w:bCs w:val="false"/>
                <w:sz w:val="20"/>
                <w:szCs w:val="20"/>
              </w:rPr>
              <w:t xml:space="preserve">Board approval (2/3 majority)</w:t>
            </w:r>
          </w:p>
        </w:tc>
        <w:tc>
          <w:tcPr>
            <w:tcW w:type="dxa" w:w="2000"/>
            <w:shd w:fill="F1E9DD" w:val="clear"/>
          </w:tcPr>
          <w:p>
            <w:r>
              <w:rPr>
                <w:b w:val="false"/>
                <w:bCs w:val="false"/>
                <w:sz w:val="20"/>
                <w:szCs w:val="20"/>
              </w:rPr>
              <w:t xml:space="preserve">Per Constitution Art. 4.1(g)</w:t>
            </w:r>
          </w:p>
        </w:tc>
      </w:tr>
      <w:tr>
        <w:tc>
          <w:tcPr>
            <w:tcW w:type="dxa" w:w="4675"/>
          </w:tcPr>
          <w:p>
            <w:r>
              <w:rPr>
                <w:b w:val="false"/>
                <w:bCs w:val="false"/>
                <w:sz w:val="20"/>
                <w:szCs w:val="20"/>
              </w:rPr>
              <w:t xml:space="preserve">Entering major partnership/MOU</w:t>
            </w:r>
          </w:p>
        </w:tc>
        <w:tc>
          <w:tcPr>
            <w:tcW w:type="dxa" w:w="2675"/>
          </w:tcPr>
          <w:p>
            <w:r>
              <w:rPr>
                <w:b w:val="false"/>
                <w:bCs w:val="false"/>
                <w:sz w:val="20"/>
                <w:szCs w:val="20"/>
              </w:rPr>
              <w:t xml:space="preserve">Board approval required</w:t>
            </w:r>
          </w:p>
        </w:tc>
        <w:tc>
          <w:tcPr>
            <w:tcW w:type="dxa" w:w="2000"/>
          </w:tcPr>
          <w:p>
            <w:r>
              <w:rPr>
                <w:b w:val="false"/>
                <w:bCs w:val="false"/>
                <w:sz w:val="20"/>
                <w:szCs w:val="20"/>
              </w:rPr>
              <w:t xml:space="preserve">Reviewed by Executive Director first</w:t>
            </w:r>
          </w:p>
        </w:tc>
      </w:tr>
      <w:tr>
        <w:tc>
          <w:tcPr>
            <w:tcW w:type="dxa" w:w="4675"/>
            <w:shd w:fill="F1E9DD" w:val="clear"/>
          </w:tcPr>
          <w:p>
            <w:r>
              <w:rPr>
                <w:b w:val="false"/>
                <w:bCs w:val="false"/>
                <w:sz w:val="20"/>
                <w:szCs w:val="20"/>
              </w:rPr>
              <w:t xml:space="preserve">Opening/closing bank accounts</w:t>
            </w:r>
          </w:p>
        </w:tc>
        <w:tc>
          <w:tcPr>
            <w:tcW w:type="dxa" w:w="2675"/>
            <w:shd w:fill="F1E9DD" w:val="clear"/>
          </w:tcPr>
          <w:p>
            <w:r>
              <w:rPr>
                <w:b w:val="false"/>
                <w:bCs w:val="false"/>
                <w:sz w:val="20"/>
                <w:szCs w:val="20"/>
              </w:rPr>
              <w:t xml:space="preserve">Board approval required</w:t>
            </w:r>
          </w:p>
        </w:tc>
        <w:tc>
          <w:tcPr>
            <w:tcW w:type="dxa" w:w="2000"/>
            <w:shd w:fill="F1E9DD" w:val="clear"/>
          </w:tcPr>
          <w:p>
            <w:r>
              <w:rPr>
                <w:b w:val="false"/>
                <w:bCs w:val="false"/>
                <w:sz w:val="20"/>
                <w:szCs w:val="20"/>
              </w:rPr>
              <w:t xml:space="preserve">Signatories per Constitution Art. 12.3</w:t>
            </w:r>
          </w:p>
        </w:tc>
      </w:tr>
    </w:tbl>
    <w:p>
      <w:pPr>
        <w:pStyle w:val="Heading1"/>
        <w:pageBreakBefore/>
        <w:pBdr>
          <w:bottom w:val="single" w:color="B8543E" w:sz="8" w:space="4"/>
        </w:pBdr>
        <w:spacing w:after="200" w:before="240"/>
      </w:pPr>
      <w:bookmarkStart w:name="8-committees" w:id="1007"/>
      <w:r>
        <w:rPr>
          <w:b/>
          <w:bCs/>
          <w:color w:val="1E2761"/>
        </w:rPr>
        <w:t xml:space="preserve">8. Committees</w:t>
      </w:r>
      <w:bookmarkEnd w:id="1007"/>
    </w:p>
    <w:p>
      <w:pPr>
        <w:spacing w:after="140"/>
        <w:ind w:left="72"/>
      </w:pPr>
      <w:r>
        <w:rPr>
          <w:b/>
          <w:bCs/>
          <w:color w:val="222222"/>
        </w:rPr>
        <w:t xml:space="preserve">8.1  </w:t>
      </w:r>
      <w:r>
        <w:rPr>
          <w:color w:val="222222"/>
        </w:rPr>
        <w:t xml:space="preserve">The Board maintains the following standing committees, each governed by its own written terms of reference:</w:t>
      </w:r>
    </w:p>
    <w:p>
      <w:pPr>
        <w:spacing w:after="100"/>
        <w:ind w:left="648"/>
      </w:pPr>
      <w:r>
        <w:rPr>
          <w:b/>
          <w:bCs/>
          <w:color w:val="222222"/>
        </w:rPr>
        <w:t xml:space="preserve">(a) </w:t>
      </w:r>
      <w:r>
        <w:rPr>
          <w:color w:val="222222"/>
        </w:rPr>
        <w:t xml:space="preserve">Finance and Audit Committee — oversight of financial management, risk, and the annual audit;</w:t>
      </w:r>
    </w:p>
    <w:p>
      <w:pPr>
        <w:spacing w:after="100"/>
        <w:ind w:left="648"/>
      </w:pPr>
      <w:r>
        <w:rPr>
          <w:b/>
          <w:bCs/>
          <w:color w:val="222222"/>
        </w:rPr>
        <w:t xml:space="preserve">(b) </w:t>
      </w:r>
      <w:r>
        <w:rPr>
          <w:color w:val="222222"/>
        </w:rPr>
        <w:t xml:space="preserve">Programs Committee — oversight of program design, quality, and impact measurement across the four Pillars;</w:t>
      </w:r>
    </w:p>
    <w:p>
      <w:pPr>
        <w:spacing w:after="100"/>
        <w:ind w:left="648"/>
      </w:pPr>
      <w:r>
        <w:rPr>
          <w:b/>
          <w:bCs/>
          <w:color w:val="222222"/>
        </w:rPr>
        <w:t xml:space="preserve">(c) </w:t>
      </w:r>
      <w:r>
        <w:rPr>
          <w:color w:val="222222"/>
        </w:rPr>
        <w:t xml:space="preserve">Governance and Nominations Committee — Board composition, Trustee recruitment, induction, and performance evaluation;</w:t>
      </w:r>
    </w:p>
    <w:p>
      <w:pPr>
        <w:spacing w:after="100"/>
        <w:ind w:left="648"/>
      </w:pPr>
      <w:r>
        <w:rPr>
          <w:b/>
          <w:bCs/>
          <w:color w:val="222222"/>
        </w:rPr>
        <w:t xml:space="preserve">(d) </w:t>
      </w:r>
      <w:r>
        <w:rPr>
          <w:color w:val="222222"/>
        </w:rPr>
        <w:t xml:space="preserve">Resource Mobilization Committee — oversight of the fundraising strategy, grants calendar, and donor relationships.</w:t>
      </w:r>
    </w:p>
    <w:p>
      <w:pPr>
        <w:spacing w:after="140"/>
        <w:ind w:left="72"/>
      </w:pPr>
      <w:r>
        <w:rPr>
          <w:b/>
          <w:bCs/>
          <w:color w:val="222222"/>
        </w:rPr>
        <w:t xml:space="preserve">8.2  </w:t>
      </w:r>
      <w:r>
        <w:rPr>
          <w:color w:val="222222"/>
        </w:rPr>
        <w:t xml:space="preserve">Each committee shall have a minimum of three (3) members, a majority of whom shall be Trustees, and shall report to the Board at every ordinary meeting.</w:t>
      </w:r>
    </w:p>
    <w:p>
      <w:pPr>
        <w:pStyle w:val="Heading1"/>
        <w:pageBreakBefore/>
        <w:pBdr>
          <w:bottom w:val="single" w:color="B8543E" w:sz="8" w:space="4"/>
        </w:pBdr>
        <w:spacing w:after="200" w:before="240"/>
      </w:pPr>
      <w:bookmarkStart w:name="9-board-performance-and-effectiveness" w:id="1008"/>
      <w:r>
        <w:rPr>
          <w:b/>
          <w:bCs/>
          <w:color w:val="1E2761"/>
        </w:rPr>
        <w:t xml:space="preserve">9. Board Performance and Effectiveness</w:t>
      </w:r>
      <w:bookmarkEnd w:id="1008"/>
    </w:p>
    <w:p>
      <w:pPr>
        <w:spacing w:after="140"/>
        <w:ind w:left="72"/>
      </w:pPr>
      <w:r>
        <w:rPr>
          <w:b/>
          <w:bCs/>
          <w:color w:val="222222"/>
        </w:rPr>
        <w:t xml:space="preserve">9.1  </w:t>
      </w:r>
      <w:r>
        <w:rPr>
          <w:color w:val="222222"/>
        </w:rPr>
        <w:t xml:space="preserve">The Board shall conduct an annual self-assessment of its own effectiveness, covering meeting quality, committee functioning, strategic oversight, and individual Trustee contribution.</w:t>
      </w:r>
    </w:p>
    <w:p>
      <w:pPr>
        <w:spacing w:after="140"/>
        <w:ind w:left="72"/>
      </w:pPr>
      <w:r>
        <w:rPr>
          <w:b/>
          <w:bCs/>
          <w:color w:val="222222"/>
        </w:rPr>
        <w:t xml:space="preserve">9.2  </w:t>
      </w:r>
      <w:r>
        <w:rPr>
          <w:color w:val="222222"/>
        </w:rPr>
        <w:t xml:space="preserve">The Chairperson shall conduct an annual one-on-one review with each Trustee, and the Vice-Chairperson shall conduct the equivalent review with the Chairperson.</w:t>
      </w:r>
    </w:p>
    <w:p>
      <w:pPr>
        <w:spacing w:after="140"/>
        <w:ind w:left="72"/>
      </w:pPr>
      <w:r>
        <w:rPr>
          <w:b/>
          <w:bCs/>
          <w:color w:val="222222"/>
        </w:rPr>
        <w:t xml:space="preserve">9.3  </w:t>
      </w:r>
      <w:r>
        <w:rPr>
          <w:color w:val="222222"/>
        </w:rPr>
        <w:t xml:space="preserve">The Governance and Nominations Committee shall use the results of this review to inform recommendations on Board renewal and committee composition.</w:t>
      </w:r>
    </w:p>
    <w:p>
      <w:pPr>
        <w:pStyle w:val="Heading1"/>
        <w:pageBreakBefore/>
        <w:pBdr>
          <w:bottom w:val="single" w:color="B8543E" w:sz="8" w:space="4"/>
        </w:pBdr>
        <w:spacing w:after="200" w:before="240"/>
      </w:pPr>
      <w:bookmarkStart w:name="10-trustee-remuneration-and-expenses" w:id="1009"/>
      <w:r>
        <w:rPr>
          <w:b/>
          <w:bCs/>
          <w:color w:val="1E2761"/>
        </w:rPr>
        <w:t xml:space="preserve">10. Trustee Remuneration and Expenses</w:t>
      </w:r>
      <w:bookmarkEnd w:id="1009"/>
    </w:p>
    <w:p>
      <w:pPr>
        <w:spacing w:after="140"/>
        <w:ind w:left="72"/>
      </w:pPr>
      <w:r>
        <w:rPr>
          <w:b/>
          <w:bCs/>
          <w:color w:val="222222"/>
        </w:rPr>
        <w:t xml:space="preserve">10.1  </w:t>
      </w:r>
      <w:r>
        <w:rPr>
          <w:color w:val="222222"/>
        </w:rPr>
        <w:t xml:space="preserve">Trustees serve in a voluntary capacity and shall not receive remuneration for service on the Board, consistent with Article 4.2 of the Constitution.</w:t>
      </w:r>
    </w:p>
    <w:p>
      <w:pPr>
        <w:spacing w:after="140"/>
        <w:ind w:left="72"/>
      </w:pPr>
      <w:r>
        <w:rPr>
          <w:b/>
          <w:bCs/>
          <w:color w:val="222222"/>
        </w:rPr>
        <w:t xml:space="preserve">10.2  </w:t>
      </w:r>
      <w:r>
        <w:rPr>
          <w:color w:val="222222"/>
        </w:rPr>
        <w:t xml:space="preserve">Trustees may be reimbursed for reasonable, pre-approved, and receipted expenses (such as travel) properly incurred in the course of Foundation business.</w:t>
      </w:r>
    </w:p>
    <w:p>
      <w:pPr>
        <w:pStyle w:val="Heading1"/>
        <w:pageBreakBefore/>
        <w:pBdr>
          <w:bottom w:val="single" w:color="B8543E" w:sz="8" w:space="4"/>
        </w:pBdr>
        <w:spacing w:after="200" w:before="240"/>
      </w:pPr>
      <w:bookmarkStart w:name="11-confidentiality" w:id="1010"/>
      <w:r>
        <w:rPr>
          <w:b/>
          <w:bCs/>
          <w:color w:val="1E2761"/>
        </w:rPr>
        <w:t xml:space="preserve">11. Confidentiality</w:t>
      </w:r>
      <w:bookmarkEnd w:id="1010"/>
    </w:p>
    <w:p>
      <w:pPr>
        <w:spacing w:after="140"/>
        <w:ind w:left="72"/>
      </w:pPr>
      <w:r>
        <w:rPr>
          <w:b/>
          <w:bCs/>
          <w:color w:val="222222"/>
        </w:rPr>
        <w:t xml:space="preserve">11.1  </w:t>
      </w:r>
      <w:r>
        <w:rPr>
          <w:color w:val="222222"/>
        </w:rPr>
        <w:t xml:space="preserve">Trustees shall treat as confidential all non-public information received in their capacity as Trustee, including beneficiary information, personnel matters, and commercially sensitive partner information, and shall not disclose such information without Board authorization.</w:t>
      </w:r>
    </w:p>
    <w:p>
      <w:pPr>
        <w:pStyle w:val="Heading1"/>
        <w:pageBreakBefore/>
        <w:pBdr>
          <w:bottom w:val="single" w:color="B8543E" w:sz="8" w:space="4"/>
        </w:pBdr>
        <w:spacing w:after="200" w:before="240"/>
      </w:pPr>
      <w:bookmarkStart w:name="12-relationship-with-the-executive-director" w:id="1011"/>
      <w:r>
        <w:rPr>
          <w:b/>
          <w:bCs/>
          <w:color w:val="1E2761"/>
        </w:rPr>
        <w:t xml:space="preserve">12. Relationship with the Executive Director</w:t>
      </w:r>
      <w:bookmarkEnd w:id="1011"/>
    </w:p>
    <w:p>
      <w:pPr>
        <w:spacing w:after="140"/>
        <w:ind w:left="72"/>
      </w:pPr>
      <w:r>
        <w:rPr>
          <w:b/>
          <w:bCs/>
          <w:color w:val="222222"/>
        </w:rPr>
        <w:t xml:space="preserve">12.1  </w:t>
      </w:r>
      <w:r>
        <w:rPr>
          <w:color w:val="222222"/>
        </w:rPr>
        <w:t xml:space="preserve">The Chairperson shall be the principal point of contact between the Board and the Executive Director on governance matters, without displacing the Executive Director's authority to manage day-to-day operations.</w:t>
      </w:r>
    </w:p>
    <w:p>
      <w:pPr>
        <w:spacing w:after="140"/>
        <w:ind w:left="72"/>
      </w:pPr>
      <w:r>
        <w:rPr>
          <w:b/>
          <w:bCs/>
          <w:color w:val="222222"/>
        </w:rPr>
        <w:t xml:space="preserve">12.2  </w:t>
      </w:r>
      <w:r>
        <w:rPr>
          <w:color w:val="222222"/>
        </w:rPr>
        <w:t xml:space="preserve">The Board shall conduct a formal annual performance review of the Executive Director, led by the Chairperson with input from all Trustees.</w:t>
      </w:r>
    </w:p>
    <w:p>
      <w:pPr>
        <w:spacing w:after="140"/>
        <w:ind w:left="72"/>
      </w:pPr>
      <w:r>
        <w:rPr>
          <w:b/>
          <w:bCs/>
          <w:color w:val="222222"/>
        </w:rPr>
        <w:t xml:space="preserve">12.3  </w:t>
      </w:r>
      <w:r>
        <w:rPr>
          <w:color w:val="222222"/>
        </w:rPr>
        <w:t xml:space="preserve">Individual Trustees shall not give instructions to Foundation staff other than the Executive Director, save as authorized by the Board or in the ordinary course of committee work.</w:t>
      </w:r>
    </w:p>
    <w:p>
      <w:pPr>
        <w:pStyle w:val="Heading1"/>
        <w:pageBreakBefore/>
        <w:pBdr>
          <w:bottom w:val="single" w:color="B8543E" w:sz="8" w:space="4"/>
        </w:pBdr>
        <w:spacing w:after="200" w:before="240"/>
      </w:pPr>
      <w:bookmarkStart w:name="13-amendment-of-this-charter" w:id="1012"/>
      <w:r>
        <w:rPr>
          <w:b/>
          <w:bCs/>
          <w:color w:val="1E2761"/>
        </w:rPr>
        <w:t xml:space="preserve">13. Amendment of this Charter</w:t>
      </w:r>
      <w:bookmarkEnd w:id="1012"/>
    </w:p>
    <w:p>
      <w:pPr>
        <w:spacing w:after="140"/>
        <w:ind w:left="72"/>
      </w:pPr>
      <w:r>
        <w:rPr>
          <w:b/>
          <w:bCs/>
          <w:color w:val="222222"/>
        </w:rPr>
        <w:t xml:space="preserve">13.1  </w:t>
      </w:r>
      <w:r>
        <w:rPr>
          <w:color w:val="222222"/>
        </w:rPr>
        <w:t xml:space="preserve">This Charter may be amended by a simple majority of Trustees present and voting at any Board meeting, provided the proposed amendment was circulated with the meeting notice.</w:t>
      </w:r>
    </w:p>
    <w:p>
      <w:pPr>
        <w:spacing w:after="140"/>
        <w:ind w:left="72"/>
      </w:pPr>
      <w:r>
        <w:rPr>
          <w:b/>
          <w:bCs/>
          <w:color w:val="222222"/>
        </w:rPr>
        <w:t xml:space="preserve">13.2  </w:t>
      </w:r>
      <w:r>
        <w:rPr>
          <w:color w:val="222222"/>
        </w:rPr>
        <w:t xml:space="preserve">The Governance and Nominations Committee shall review this Charter at least once every two years and recommend updates to the Board.</w:t>
      </w:r>
    </w:p>
    <w:p>
      <w:pPr>
        <w:pStyle w:val="Heading1"/>
        <w:pageBreakBefore/>
        <w:pBdr>
          <w:bottom w:val="single" w:color="B8543E" w:sz="8" w:space="4"/>
        </w:pBdr>
        <w:spacing w:after="200" w:before="240"/>
      </w:pPr>
      <w:bookmarkStart w:name="adoption" w:id="1013"/>
      <w:r>
        <w:rPr>
          <w:b/>
          <w:bCs/>
          <w:color w:val="1E2761"/>
        </w:rPr>
        <w:t xml:space="preserve">Adoption</w:t>
      </w:r>
      <w:bookmarkEnd w:id="1013"/>
    </w:p>
    <w:p>
      <w:pPr>
        <w:spacing w:after="140"/>
      </w:pPr>
      <w:r>
        <w:rPr>
          <w:color w:val="222222"/>
        </w:rPr>
        <w:t xml:space="preserve">This Board Charter was reviewed and adopted by resolution of the Board of Trustees of The Jopetnah Foundation on the date recorded below.</w:t>
      </w:r>
    </w:p>
    <w:p>
      <w:pPr>
        <w:spacing w:before="400"/>
      </w:pPr>
      <w:r>
        <w:t xml:space="preserve">Chairperson signature: ________________________________     Date: ______________</w:t>
      </w:r>
    </w:p>
    <w:p>
      <w:pPr>
        <w:spacing w:before="300"/>
      </w:pPr>
      <w:r>
        <w:t xml:space="preserve">Secretary signature: ________________________________     Date: 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Jopetnah Foundation — Board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sz w:val="30"/>
      <w:szCs w:val="30"/>
    </w:rPr>
  </w:style>
  <w:style w:type="paragraph" w:styleId="Heading2">
    <w:name w:val="Heading 2"/>
    <w:basedOn w:val="Normal"/>
    <w:next w:val="Normal"/>
    <w:qFormat/>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a1a6450a4b404de80874c7a8790c81ebef6a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2026-07-22T23:00:26.893Z</dcterms:created>
  <dcterms:modified xsi:type="dcterms:W3CDTF">2026-07-22T23:00:26.893Z</dcterms:modified>
</cp:coreProperties>
</file>

<file path=docProps/custom.xml><?xml version="1.0" encoding="utf-8"?>
<Properties xmlns="http://schemas.openxmlformats.org/officeDocument/2006/custom-properties" xmlns:vt="http://schemas.openxmlformats.org/officeDocument/2006/docPropsVTypes"/>
</file>