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00" w:before="300"/>
        <w:jc w:val="center"/>
      </w:pPr>
      <w:r>
        <w:rPr>
          <w:rFonts w:ascii="Cambria" w:cs="Cambria" w:eastAsia="Cambria" w:hAnsi="Cambria"/>
          <w:b/>
          <w:bCs/>
          <w:color w:val="1E2761"/>
          <w:sz w:val="48"/>
          <w:szCs w:val="48"/>
        </w:rPr>
        <w:t xml:space="preserve">CONFLICT OF INTEREST POLICY</w:t>
      </w:r>
    </w:p>
    <w:p>
      <w:pPr>
        <w:spacing w:after="400"/>
        <w:jc w:val="center"/>
      </w:pPr>
      <w:r>
        <w:rPr>
          <w:rFonts w:ascii="Cambria" w:cs="Cambria" w:eastAsia="Cambria" w:hAnsi="Cambria"/>
          <w:color w:val="5A5A5A"/>
          <w:sz w:val="28"/>
          <w:szCs w:val="28"/>
        </w:rPr>
        <w:t xml:space="preserve">OF</w:t>
      </w:r>
    </w:p>
    <w:p>
      <w:pPr>
        <w:spacing w:after="600"/>
        <w:jc w:val="center"/>
      </w:pPr>
      <w:r>
        <w:rPr>
          <w:rFonts w:ascii="Cambria" w:cs="Cambria" w:eastAsia="Cambria" w:hAnsi="Cambria"/>
          <w:b/>
          <w:bCs/>
          <w:color w:val="B8543E"/>
          <w:sz w:val="44"/>
          <w:szCs w:val="44"/>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2"/>
          <w:szCs w:val="22"/>
        </w:rPr>
        <w:t xml:space="preserve">Adopted pursuant to Article 14 of the Constitution — to be signed individually by every Trustee, officer, and senior staff member</w:t>
      </w:r>
    </w:p>
    <w:p>
      <w:pPr>
        <w:spacing w:after="100" w:before="800"/>
        <w:jc w:val="center"/>
      </w:pPr>
      <w:r>
        <w:rPr>
          <w:b/>
          <w:bCs/>
          <w:color w:val="222222"/>
          <w:sz w:val="22"/>
          <w:szCs w:val="22"/>
        </w:rPr>
        <w:t xml:space="preserve">FINAL VERSION — APPROVED BY THE BOARD OF TRUSTEES</w:t>
      </w:r>
    </w:p>
    <w:p>
      <w:pPr>
        <w:spacing w:after="8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policy operationalizes Article 14 of TJF's Constitution and has been reviewed and approved by the Board. It may be amended as TJF's governance needs evolve, particularly as the Related-Party Transactions provisions are tested in practice.</w:t>
      </w:r>
    </w:p>
    <w:p>
      <w:pPr>
        <w:pStyle w:val="Heading1"/>
        <w:pageBreakBefore/>
      </w:pPr>
      <w:r>
        <w:rPr>
          <w:b/>
          <w:bCs/>
          <w:color w:val="1E2761"/>
        </w:rPr>
        <w:t xml:space="preserve">Table of Contents</w:t>
      </w:r>
    </w:p>
    <w:p>
      <w:pPr>
        <w:spacing w:after="120"/>
      </w:pPr>
      <w:hyperlink w:history="1" w:anchor="1-purpose">
        <w:r>
          <w:rPr>
            <w:color w:val="1E2761"/>
            <w:u w:val="single" w:color="1E2761"/>
          </w:rPr>
          <w:t xml:space="preserve">1. Purpose</w:t>
        </w:r>
      </w:hyperlink>
    </w:p>
    <w:p>
      <w:pPr>
        <w:spacing w:after="120"/>
      </w:pPr>
      <w:hyperlink w:history="1" w:anchor="2-application">
        <w:r>
          <w:rPr>
            <w:color w:val="1E2761"/>
            <w:u w:val="single" w:color="1E2761"/>
          </w:rPr>
          <w:t xml:space="preserve">2. Application</w:t>
        </w:r>
      </w:hyperlink>
    </w:p>
    <w:p>
      <w:pPr>
        <w:spacing w:after="120"/>
      </w:pPr>
      <w:hyperlink w:history="1" w:anchor="3-definitions">
        <w:r>
          <w:rPr>
            <w:color w:val="1E2761"/>
            <w:u w:val="single" w:color="1E2761"/>
          </w:rPr>
          <w:t xml:space="preserve">3. Definitions</w:t>
        </w:r>
      </w:hyperlink>
    </w:p>
    <w:p>
      <w:pPr>
        <w:spacing w:after="120"/>
      </w:pPr>
      <w:hyperlink w:history="1" w:anchor="4-duty-to-disclose">
        <w:r>
          <w:rPr>
            <w:color w:val="1E2761"/>
            <w:u w:val="single" w:color="1E2761"/>
          </w:rPr>
          <w:t xml:space="preserve">4. Duty to Disclose</w:t>
        </w:r>
      </w:hyperlink>
    </w:p>
    <w:p>
      <w:pPr>
        <w:spacing w:after="120"/>
      </w:pPr>
      <w:hyperlink w:history="1" w:anchor="5-procedure-for-addressing-conflicts">
        <w:r>
          <w:rPr>
            <w:color w:val="1E2761"/>
            <w:u w:val="single" w:color="1E2761"/>
          </w:rPr>
          <w:t xml:space="preserve">5. Procedure for Addressing Conflicts</w:t>
        </w:r>
      </w:hyperlink>
    </w:p>
    <w:p>
      <w:pPr>
        <w:spacing w:after="120"/>
      </w:pPr>
      <w:hyperlink w:history="1" w:anchor="6-register-of-interests">
        <w:r>
          <w:rPr>
            <w:color w:val="1E2761"/>
            <w:u w:val="single" w:color="1E2761"/>
          </w:rPr>
          <w:t xml:space="preserve">6. Register of Interests</w:t>
        </w:r>
      </w:hyperlink>
    </w:p>
    <w:p>
      <w:pPr>
        <w:spacing w:after="120"/>
      </w:pPr>
      <w:hyperlink w:history="1" w:anchor="7-related-party-transactions">
        <w:r>
          <w:rPr>
            <w:color w:val="1E2761"/>
            <w:u w:val="single" w:color="1E2761"/>
          </w:rPr>
          <w:t xml:space="preserve">7. Related-Party Transactions</w:t>
        </w:r>
      </w:hyperlink>
    </w:p>
    <w:p>
      <w:pPr>
        <w:spacing w:after="120"/>
      </w:pPr>
      <w:hyperlink w:history="1" w:anchor="8-gifts-and-hospitality">
        <w:r>
          <w:rPr>
            <w:color w:val="1E2761"/>
            <w:u w:val="single" w:color="1E2761"/>
          </w:rPr>
          <w:t xml:space="preserve">8. Gifts and Hospitality</w:t>
        </w:r>
      </w:hyperlink>
    </w:p>
    <w:p>
      <w:pPr>
        <w:spacing w:after="120"/>
      </w:pPr>
      <w:hyperlink w:history="1" w:anchor="9-outside-activities-and-other-directorships">
        <w:r>
          <w:rPr>
            <w:color w:val="1E2761"/>
            <w:u w:val="single" w:color="1E2761"/>
          </w:rPr>
          <w:t xml:space="preserve">9. Outside Activities and Other Directorships</w:t>
        </w:r>
      </w:hyperlink>
    </w:p>
    <w:p>
      <w:pPr>
        <w:spacing w:after="120"/>
      </w:pPr>
      <w:hyperlink w:history="1" w:anchor="10-confidentiality-of-disclosures">
        <w:r>
          <w:rPr>
            <w:color w:val="1E2761"/>
            <w:u w:val="single" w:color="1E2761"/>
          </w:rPr>
          <w:t xml:space="preserve">10. Confidentiality of Disclosures</w:t>
        </w:r>
      </w:hyperlink>
    </w:p>
    <w:p>
      <w:pPr>
        <w:spacing w:after="120"/>
      </w:pPr>
      <w:hyperlink w:history="1" w:anchor="11-sanctions-for-non-disclosure">
        <w:r>
          <w:rPr>
            <w:color w:val="1E2761"/>
            <w:u w:val="single" w:color="1E2761"/>
          </w:rPr>
          <w:t xml:space="preserve">11. Sanctions for Non-Disclosure</w:t>
        </w:r>
      </w:hyperlink>
    </w:p>
    <w:p>
      <w:pPr>
        <w:spacing w:after="120"/>
      </w:pPr>
      <w:hyperlink w:history="1" w:anchor="12-annual-declaration-requirement">
        <w:r>
          <w:rPr>
            <w:color w:val="1E2761"/>
            <w:u w:val="single" w:color="1E2761"/>
          </w:rPr>
          <w:t xml:space="preserve">12. Annual Declaration Requirement</w:t>
        </w:r>
      </w:hyperlink>
    </w:p>
    <w:p>
      <w:pPr>
        <w:spacing w:after="120"/>
      </w:pPr>
      <w:hyperlink w:history="1" w:anchor="13-review-of-this-policy">
        <w:r>
          <w:rPr>
            <w:color w:val="1E2761"/>
            <w:u w:val="single" w:color="1E2761"/>
          </w:rPr>
          <w:t xml:space="preserve">13. Review of this Policy</w:t>
        </w:r>
      </w:hyperlink>
    </w:p>
    <w:p>
      <w:pPr>
        <w:spacing w:after="120"/>
      </w:pPr>
      <w:hyperlink w:history="1" w:anchor="schedule-a-annual-conflict-of-interest-declaration">
        <w:r>
          <w:rPr>
            <w:color w:val="1E2761"/>
            <w:u w:val="single" w:color="1E2761"/>
          </w:rPr>
          <w:t xml:space="preserve">Schedule A: Annual Conflict of Interest Declaration</w:t>
        </w:r>
      </w:hyperlink>
    </w:p>
    <w:p>
      <w:pPr>
        <w:pStyle w:val="Heading1"/>
        <w:pageBreakBefore/>
        <w:pBdr>
          <w:bottom w:val="single" w:color="B8543E" w:sz="8" w:space="4"/>
        </w:pBdr>
        <w:spacing w:after="200" w:before="240"/>
      </w:pPr>
      <w:bookmarkStart w:name="1-purpose" w:id="1000"/>
      <w:r>
        <w:rPr>
          <w:b/>
          <w:bCs/>
          <w:color w:val="1E2761"/>
        </w:rPr>
        <w:t xml:space="preserve">1. Purpose</w:t>
      </w:r>
      <w:bookmarkEnd w:id="1000"/>
    </w:p>
    <w:p>
      <w:pPr>
        <w:spacing w:after="140"/>
      </w:pPr>
      <w:r>
        <w:rPr>
          <w:color w:val="222222"/>
        </w:rPr>
        <w:t xml:space="preserve">This Policy protects the integrity of decision-making at The Jopetnah Foundation ("the Foundation" or "TJF") by ensuring that Trustees, officers, and staff identify, disclose, and appropriately manage any interest that could conflict, or appear to conflict, with the interests of the Foundation and the communities it serves.</w:t>
      </w:r>
    </w:p>
    <w:p>
      <w:pPr>
        <w:pStyle w:val="Heading1"/>
        <w:pageBreakBefore/>
        <w:pBdr>
          <w:bottom w:val="single" w:color="B8543E" w:sz="8" w:space="4"/>
        </w:pBdr>
        <w:spacing w:after="200" w:before="240"/>
      </w:pPr>
      <w:bookmarkStart w:name="2-application" w:id="1001"/>
      <w:r>
        <w:rPr>
          <w:b/>
          <w:bCs/>
          <w:color w:val="1E2761"/>
        </w:rPr>
        <w:t xml:space="preserve">2. Application</w:t>
      </w:r>
      <w:bookmarkEnd w:id="1001"/>
    </w:p>
    <w:p>
      <w:pPr>
        <w:spacing w:after="140"/>
      </w:pPr>
      <w:r>
        <w:rPr>
          <w:color w:val="222222"/>
        </w:rPr>
        <w:t xml:space="preserve">This Policy applies to:</w:t>
      </w:r>
    </w:p>
    <w:p>
      <w:pPr>
        <w:spacing w:after="100"/>
        <w:ind w:left="648"/>
      </w:pPr>
      <w:r>
        <w:rPr>
          <w:b/>
          <w:bCs/>
          <w:color w:val="222222"/>
        </w:rPr>
        <w:t xml:space="preserve">(a) </w:t>
      </w:r>
      <w:r>
        <w:rPr>
          <w:color w:val="222222"/>
        </w:rPr>
        <w:t xml:space="preserve">every Trustee of the Foundation;</w:t>
      </w:r>
    </w:p>
    <w:p>
      <w:pPr>
        <w:spacing w:after="100"/>
        <w:ind w:left="648"/>
      </w:pPr>
      <w:r>
        <w:rPr>
          <w:b/>
          <w:bCs/>
          <w:color w:val="222222"/>
        </w:rPr>
        <w:t xml:space="preserve">(b) </w:t>
      </w:r>
      <w:r>
        <w:rPr>
          <w:color w:val="222222"/>
        </w:rPr>
        <w:t xml:space="preserve">the Executive Director and all Program Directors;</w:t>
      </w:r>
    </w:p>
    <w:p>
      <w:pPr>
        <w:spacing w:after="100"/>
        <w:ind w:left="648"/>
      </w:pPr>
      <w:r>
        <w:rPr>
          <w:b/>
          <w:bCs/>
          <w:color w:val="222222"/>
        </w:rPr>
        <w:t xml:space="preserve">(c) </w:t>
      </w:r>
      <w:r>
        <w:rPr>
          <w:color w:val="222222"/>
        </w:rPr>
        <w:t xml:space="preserve">members of any Board committee, whether or not they are Trustees; and</w:t>
      </w:r>
    </w:p>
    <w:p>
      <w:pPr>
        <w:spacing w:after="100"/>
        <w:ind w:left="648"/>
      </w:pPr>
      <w:r>
        <w:rPr>
          <w:b/>
          <w:bCs/>
          <w:color w:val="222222"/>
        </w:rPr>
        <w:t xml:space="preserve">(d) </w:t>
      </w:r>
      <w:r>
        <w:rPr>
          <w:color w:val="222222"/>
        </w:rPr>
        <w:t xml:space="preserve">any other staff member or volunteer designated by the Board as subject to this Policy,</w:t>
      </w:r>
    </w:p>
    <w:p>
      <w:pPr>
        <w:spacing w:after="140"/>
      </w:pPr>
      <w:r>
        <w:rPr>
          <w:color w:val="222222"/>
        </w:rPr>
        <w:t xml:space="preserve">(each an "Interested Person" for the purposes of this Policy).</w:t>
      </w:r>
    </w:p>
    <w:p>
      <w:pPr>
        <w:pStyle w:val="Heading1"/>
        <w:pageBreakBefore/>
        <w:pBdr>
          <w:bottom w:val="single" w:color="B8543E" w:sz="8" w:space="4"/>
        </w:pBdr>
        <w:spacing w:after="200" w:before="240"/>
      </w:pPr>
      <w:bookmarkStart w:name="3-definitions" w:id="1002"/>
      <w:r>
        <w:rPr>
          <w:b/>
          <w:bCs/>
          <w:color w:val="1E2761"/>
        </w:rPr>
        <w:t xml:space="preserve">3. Definitions</w:t>
      </w:r>
      <w:bookmarkEnd w:id="1002"/>
    </w:p>
    <w:p>
      <w:pPr>
        <w:spacing w:after="100"/>
        <w:ind w:left="648"/>
      </w:pPr>
      <w:r>
        <w:rPr>
          <w:b/>
          <w:bCs/>
          <w:color w:val="222222"/>
        </w:rPr>
        <w:t xml:space="preserve">(a) </w:t>
      </w:r>
      <w:r>
        <w:rPr>
          <w:color w:val="222222"/>
        </w:rPr>
        <w:t xml:space="preserve">"Conflict of Interest" means any situation in which an Interested Person's personal, financial, business, or family interests could reasonably be seen to compete or interfere with their duty to act in the best interests of the Foundation;</w:t>
      </w:r>
    </w:p>
    <w:p>
      <w:pPr>
        <w:spacing w:after="100"/>
        <w:ind w:left="648"/>
      </w:pPr>
      <w:r>
        <w:rPr>
          <w:b/>
          <w:bCs/>
          <w:color w:val="222222"/>
        </w:rPr>
        <w:t xml:space="preserve">(b) </w:t>
      </w:r>
      <w:r>
        <w:rPr>
          <w:color w:val="222222"/>
        </w:rPr>
        <w:t xml:space="preserve">"Financial Interest" includes any direct or indirect ownership, investment, compensation arrangement, or other financial relationship with a person or entity doing or seeking to do business with, or in competition with, the Foundation;</w:t>
      </w:r>
    </w:p>
    <w:p>
      <w:pPr>
        <w:spacing w:after="100"/>
        <w:ind w:left="648"/>
      </w:pPr>
      <w:r>
        <w:rPr>
          <w:b/>
          <w:bCs/>
          <w:color w:val="222222"/>
        </w:rPr>
        <w:t xml:space="preserve">(c) </w:t>
      </w:r>
      <w:r>
        <w:rPr>
          <w:color w:val="222222"/>
        </w:rPr>
        <w:t xml:space="preserve">"Family Member" includes a spouse or partner, parent, child, sibling, and any other relative or person in a comparable close personal relationship with an Interested Person;</w:t>
      </w:r>
    </w:p>
    <w:p>
      <w:pPr>
        <w:spacing w:after="100"/>
        <w:ind w:left="648"/>
      </w:pPr>
      <w:r>
        <w:rPr>
          <w:b/>
          <w:bCs/>
          <w:color w:val="222222"/>
        </w:rPr>
        <w:t xml:space="preserve">(d) </w:t>
      </w:r>
      <w:r>
        <w:rPr>
          <w:color w:val="222222"/>
        </w:rPr>
        <w:t xml:space="preserve">"Related-Party Transaction" means any transaction, contract, grant, or arrangement between the Foundation and an Interested Person, a Family Member of an Interested Person, or an entity in which either has a material interest.</w:t>
      </w:r>
    </w:p>
    <w:p>
      <w:pPr>
        <w:pStyle w:val="Heading1"/>
        <w:pageBreakBefore/>
        <w:pBdr>
          <w:bottom w:val="single" w:color="B8543E" w:sz="8" w:space="4"/>
        </w:pBdr>
        <w:spacing w:after="200" w:before="240"/>
      </w:pPr>
      <w:bookmarkStart w:name="4-duty-to-disclose" w:id="1003"/>
      <w:r>
        <w:rPr>
          <w:b/>
          <w:bCs/>
          <w:color w:val="1E2761"/>
        </w:rPr>
        <w:t xml:space="preserve">4. Duty to Disclose</w:t>
      </w:r>
      <w:bookmarkEnd w:id="1003"/>
    </w:p>
    <w:p>
      <w:pPr>
        <w:spacing w:after="140"/>
        <w:ind w:left="72"/>
      </w:pPr>
      <w:r>
        <w:rPr>
          <w:b/>
          <w:bCs/>
          <w:color w:val="222222"/>
        </w:rPr>
        <w:t xml:space="preserve">4.1  </w:t>
      </w:r>
      <w:r>
        <w:rPr>
          <w:color w:val="222222"/>
        </w:rPr>
        <w:t xml:space="preserve">Every Interested Person shall disclose, in writing, any actual, potential, or perceived Conflict of Interest as soon as they become aware of it, and in any event before any related discussion or decision takes place.</w:t>
      </w:r>
    </w:p>
    <w:p>
      <w:pPr>
        <w:spacing w:after="140"/>
        <w:ind w:left="72"/>
      </w:pPr>
      <w:r>
        <w:rPr>
          <w:b/>
          <w:bCs/>
          <w:color w:val="222222"/>
        </w:rPr>
        <w:t xml:space="preserve">4.2  </w:t>
      </w:r>
      <w:r>
        <w:rPr>
          <w:color w:val="222222"/>
        </w:rPr>
        <w:t xml:space="preserve">Disclosure shall be made to the Chairperson of the Board (or, where the Chairperson is the conflicted party, to the Vice-Chairperson) and shall be recorded in the Register of Interests.</w:t>
      </w:r>
    </w:p>
    <w:p>
      <w:pPr>
        <w:spacing w:after="140"/>
        <w:ind w:left="72"/>
      </w:pPr>
      <w:r>
        <w:rPr>
          <w:b/>
          <w:bCs/>
          <w:color w:val="222222"/>
        </w:rPr>
        <w:t xml:space="preserve">4.3  </w:t>
      </w:r>
      <w:r>
        <w:rPr>
          <w:color w:val="222222"/>
        </w:rPr>
        <w:t xml:space="preserve">Every Interested Person shall additionally complete the Annual Conflict of Interest Declaration at Schedule A, whether or not they have an interest to declare, upon appointment and thereafter at least once every Financial Year.</w:t>
      </w:r>
    </w:p>
    <w:p>
      <w:pPr>
        <w:pStyle w:val="Heading1"/>
        <w:pageBreakBefore/>
        <w:pBdr>
          <w:bottom w:val="single" w:color="B8543E" w:sz="8" w:space="4"/>
        </w:pBdr>
        <w:spacing w:after="200" w:before="240"/>
      </w:pPr>
      <w:bookmarkStart w:name="5-procedure-for-addressing-conflicts" w:id="1004"/>
      <w:r>
        <w:rPr>
          <w:b/>
          <w:bCs/>
          <w:color w:val="1E2761"/>
        </w:rPr>
        <w:t xml:space="preserve">5. Procedure for Addressing Conflicts</w:t>
      </w:r>
      <w:bookmarkEnd w:id="1004"/>
    </w:p>
    <w:p>
      <w:pPr>
        <w:spacing w:after="140"/>
        <w:ind w:left="72"/>
      </w:pPr>
      <w:r>
        <w:rPr>
          <w:b/>
          <w:bCs/>
          <w:color w:val="222222"/>
        </w:rPr>
        <w:t xml:space="preserve">5.1  </w:t>
      </w:r>
      <w:r>
        <w:rPr>
          <w:color w:val="222222"/>
        </w:rPr>
        <w:t xml:space="preserve">Upon disclosure, the Board (excluding the Interested Person) shall determine whether a Conflict of Interest exists and, if so, how it should be managed.</w:t>
      </w:r>
    </w:p>
    <w:p>
      <w:pPr>
        <w:spacing w:after="140"/>
        <w:ind w:left="72"/>
      </w:pPr>
      <w:r>
        <w:rPr>
          <w:b/>
          <w:bCs/>
          <w:color w:val="222222"/>
        </w:rPr>
        <w:t xml:space="preserve">5.2  </w:t>
      </w:r>
      <w:r>
        <w:rPr>
          <w:color w:val="222222"/>
        </w:rPr>
        <w:t xml:space="preserve">An Interested Person with a disclosed Conflict of Interest shall: (a) not be counted toward the quorum for the relevant agenda item; (b) withdraw from the discussion save to answer questions if invited; and (c) abstain from voting on the matter.</w:t>
      </w:r>
    </w:p>
    <w:p>
      <w:pPr>
        <w:spacing w:after="140"/>
        <w:ind w:left="72"/>
      </w:pPr>
      <w:r>
        <w:rPr>
          <w:b/>
          <w:bCs/>
          <w:color w:val="222222"/>
        </w:rPr>
        <w:t xml:space="preserve">5.3  </w:t>
      </w:r>
      <w:r>
        <w:rPr>
          <w:color w:val="222222"/>
        </w:rPr>
        <w:t xml:space="preserve">The minutes of the relevant meeting shall record: the nature of the interest disclosed, that the Interested Person withdrew, and the outcome of the Board's decision.</w:t>
      </w:r>
    </w:p>
    <w:p>
      <w:pPr>
        <w:spacing w:after="140"/>
        <w:ind w:left="72"/>
      </w:pPr>
      <w:r>
        <w:rPr>
          <w:b/>
          <w:bCs/>
          <w:color w:val="222222"/>
        </w:rPr>
        <w:t xml:space="preserve">5.4  </w:t>
      </w:r>
      <w:r>
        <w:rPr>
          <w:color w:val="222222"/>
        </w:rPr>
        <w:t xml:space="preserve">Where a Conflict of Interest is identified outside a meeting (for example, in relation to a staff decision), the matter shall be escalated to the Executive Director or, where the Executive Director is conflicted, to the Chairperson.</w:t>
      </w:r>
    </w:p>
    <w:p>
      <w:pPr>
        <w:pStyle w:val="Heading1"/>
        <w:pageBreakBefore/>
        <w:pBdr>
          <w:bottom w:val="single" w:color="B8543E" w:sz="8" w:space="4"/>
        </w:pBdr>
        <w:spacing w:after="200" w:before="240"/>
      </w:pPr>
      <w:bookmarkStart w:name="6-register-of-interests" w:id="1005"/>
      <w:r>
        <w:rPr>
          <w:b/>
          <w:bCs/>
          <w:color w:val="1E2761"/>
        </w:rPr>
        <w:t xml:space="preserve">6. Register of Interests</w:t>
      </w:r>
      <w:bookmarkEnd w:id="1005"/>
    </w:p>
    <w:p>
      <w:pPr>
        <w:spacing w:after="140"/>
        <w:ind w:left="72"/>
      </w:pPr>
      <w:r>
        <w:rPr>
          <w:b/>
          <w:bCs/>
          <w:color w:val="222222"/>
        </w:rPr>
        <w:t xml:space="preserve">6.1  </w:t>
      </w:r>
      <w:r>
        <w:rPr>
          <w:color w:val="222222"/>
        </w:rPr>
        <w:t xml:space="preserve">The Secretary shall maintain a Register of Interests recording all disclosures made under this Policy, including the Annual Declarations at Schedule A.</w:t>
      </w:r>
    </w:p>
    <w:p>
      <w:pPr>
        <w:spacing w:after="140"/>
        <w:ind w:left="72"/>
      </w:pPr>
      <w:r>
        <w:rPr>
          <w:b/>
          <w:bCs/>
          <w:color w:val="222222"/>
        </w:rPr>
        <w:t xml:space="preserve">6.2  </w:t>
      </w:r>
      <w:r>
        <w:rPr>
          <w:color w:val="222222"/>
        </w:rPr>
        <w:t xml:space="preserve">The Register of Interests shall be reviewed by the Board, or its Governance and Nominations Committee, at least once per Financial Year, and shall be made available to the Foundation's auditors on request.</w:t>
      </w:r>
    </w:p>
    <w:p>
      <w:pPr>
        <w:pStyle w:val="Heading1"/>
        <w:pageBreakBefore/>
        <w:pBdr>
          <w:bottom w:val="single" w:color="B8543E" w:sz="8" w:space="4"/>
        </w:pBdr>
        <w:spacing w:after="200" w:before="240"/>
      </w:pPr>
      <w:bookmarkStart w:name="7-related-party-transactions" w:id="1006"/>
      <w:r>
        <w:rPr>
          <w:b/>
          <w:bCs/>
          <w:color w:val="1E2761"/>
        </w:rPr>
        <w:t xml:space="preserve">7. Related-Party Transactions</w:t>
      </w:r>
      <w:bookmarkEnd w:id="1006"/>
    </w:p>
    <w:p>
      <w:pPr>
        <w:spacing w:after="140"/>
        <w:ind w:left="72"/>
      </w:pPr>
      <w:r>
        <w:rPr>
          <w:b/>
          <w:bCs/>
          <w:color w:val="222222"/>
        </w:rPr>
        <w:t xml:space="preserve">7.1  </w:t>
      </w:r>
      <w:r>
        <w:rPr>
          <w:color w:val="222222"/>
        </w:rPr>
        <w:t xml:space="preserve">Any proposed Related-Party Transaction shall be disclosed to the Board in advance and shall require approval by a majority of the disinterested Trustees, following a determination that the transaction is on terms no less favorable to the Foundation than would be available from an unrelated third party.</w:t>
      </w:r>
    </w:p>
    <w:p>
      <w:pPr>
        <w:spacing w:after="140"/>
        <w:ind w:left="72"/>
      </w:pPr>
      <w:r>
        <w:rPr>
          <w:b/>
          <w:bCs/>
          <w:color w:val="222222"/>
        </w:rPr>
        <w:t xml:space="preserve">7.2  </w:t>
      </w:r>
      <w:r>
        <w:rPr>
          <w:color w:val="222222"/>
        </w:rPr>
        <w:t xml:space="preserve">All Related-Party Transactions approved under this Article shall be disclosed in the Foundation's annual financial statements or accompanying notes, consistent with applicable accounting standards.</w:t>
      </w:r>
    </w:p>
    <w:p>
      <w:pPr>
        <w:pStyle w:val="Heading1"/>
        <w:pageBreakBefore/>
        <w:pBdr>
          <w:bottom w:val="single" w:color="B8543E" w:sz="8" w:space="4"/>
        </w:pBdr>
        <w:spacing w:after="200" w:before="240"/>
      </w:pPr>
      <w:bookmarkStart w:name="8-gifts-and-hospitality" w:id="1007"/>
      <w:r>
        <w:rPr>
          <w:b/>
          <w:bCs/>
          <w:color w:val="1E2761"/>
        </w:rPr>
        <w:t xml:space="preserve">8. Gifts and Hospitality</w:t>
      </w:r>
      <w:bookmarkEnd w:id="1007"/>
    </w:p>
    <w:p>
      <w:pPr>
        <w:spacing w:after="140"/>
        <w:ind w:left="72"/>
      </w:pPr>
      <w:r>
        <w:rPr>
          <w:b/>
          <w:bCs/>
          <w:color w:val="222222"/>
        </w:rPr>
        <w:t xml:space="preserve">8.1  </w:t>
      </w:r>
      <w:r>
        <w:rPr>
          <w:color w:val="222222"/>
        </w:rPr>
        <w:t xml:space="preserve">Interested Persons may not solicit gifts, favors, or hospitality from any person or organization doing or seeking to do business with the Foundation.</w:t>
      </w:r>
    </w:p>
    <w:p>
      <w:pPr>
        <w:spacing w:after="140"/>
        <w:ind w:left="72"/>
      </w:pPr>
      <w:r>
        <w:rPr>
          <w:b/>
          <w:bCs/>
          <w:color w:val="222222"/>
        </w:rPr>
        <w:t xml:space="preserve">8.2  </w:t>
      </w:r>
      <w:r>
        <w:rPr>
          <w:color w:val="222222"/>
        </w:rPr>
        <w:t xml:space="preserve">Modest, occasional gifts or hospitality consistent with normal business courtesy may be accepted, but shall be disclosed to the Chairperson where their value exceeds an amount to be set by the Board from time to time, and recorded in a Gifts and Hospitality Register.</w:t>
      </w:r>
    </w:p>
    <w:p>
      <w:pPr>
        <w:pStyle w:val="Heading1"/>
        <w:pageBreakBefore/>
        <w:pBdr>
          <w:bottom w:val="single" w:color="B8543E" w:sz="8" w:space="4"/>
        </w:pBdr>
        <w:spacing w:after="200" w:before="240"/>
      </w:pPr>
      <w:bookmarkStart w:name="9-outside-activities-and-other-directorships" w:id="1008"/>
      <w:r>
        <w:rPr>
          <w:b/>
          <w:bCs/>
          <w:color w:val="1E2761"/>
        </w:rPr>
        <w:t xml:space="preserve">9. Outside Activities and Other Directorships</w:t>
      </w:r>
      <w:bookmarkEnd w:id="1008"/>
    </w:p>
    <w:p>
      <w:pPr>
        <w:spacing w:after="140"/>
        <w:ind w:left="72"/>
      </w:pPr>
      <w:r>
        <w:rPr>
          <w:b/>
          <w:bCs/>
          <w:color w:val="222222"/>
        </w:rPr>
        <w:t xml:space="preserve">9.1  </w:t>
      </w:r>
      <w:r>
        <w:rPr>
          <w:color w:val="222222"/>
        </w:rPr>
        <w:t xml:space="preserve">Trustees and senior staff shall disclose other board memberships, directorships, or advisory roles, particularly with organizations that operate in the same sectors as, or receive funding from or compete with, the Foundation.</w:t>
      </w:r>
    </w:p>
    <w:p>
      <w:pPr>
        <w:spacing w:after="140"/>
        <w:ind w:left="72"/>
      </w:pPr>
      <w:r>
        <w:rPr>
          <w:b/>
          <w:bCs/>
          <w:color w:val="222222"/>
        </w:rPr>
        <w:t xml:space="preserve">9.2  </w:t>
      </w:r>
      <w:r>
        <w:rPr>
          <w:color w:val="222222"/>
        </w:rPr>
        <w:t xml:space="preserve">The Board may, at its discretion, determine that a particular outside role is incompatible with continued service as a Trustee or senior staff member, and shall communicate any such determination to the individual concerned with reasons.</w:t>
      </w:r>
    </w:p>
    <w:p>
      <w:pPr>
        <w:pStyle w:val="Heading1"/>
        <w:pageBreakBefore/>
        <w:pBdr>
          <w:bottom w:val="single" w:color="B8543E" w:sz="8" w:space="4"/>
        </w:pBdr>
        <w:spacing w:after="200" w:before="240"/>
      </w:pPr>
      <w:bookmarkStart w:name="10-confidentiality-of-disclosures" w:id="1009"/>
      <w:r>
        <w:rPr>
          <w:b/>
          <w:bCs/>
          <w:color w:val="1E2761"/>
        </w:rPr>
        <w:t xml:space="preserve">10. Confidentiality of Disclosures</w:t>
      </w:r>
      <w:bookmarkEnd w:id="1009"/>
    </w:p>
    <w:p>
      <w:pPr>
        <w:spacing w:after="140"/>
        <w:ind w:left="72"/>
      </w:pPr>
      <w:r>
        <w:rPr>
          <w:b/>
          <w:bCs/>
          <w:color w:val="222222"/>
        </w:rPr>
        <w:t xml:space="preserve">10.1  </w:t>
      </w:r>
      <w:r>
        <w:rPr>
          <w:color w:val="222222"/>
        </w:rPr>
        <w:t xml:space="preserve">Disclosures made under this Policy shall be treated as confidential and shared only with those who need to know in order to manage the conflict appropriately, save where disclosure is required by law or to the Foundation's auditors.</w:t>
      </w:r>
    </w:p>
    <w:p>
      <w:pPr>
        <w:pStyle w:val="Heading1"/>
        <w:pageBreakBefore/>
        <w:pBdr>
          <w:bottom w:val="single" w:color="B8543E" w:sz="8" w:space="4"/>
        </w:pBdr>
        <w:spacing w:after="200" w:before="240"/>
      </w:pPr>
      <w:bookmarkStart w:name="11-sanctions-for-non-disclosure" w:id="1010"/>
      <w:r>
        <w:rPr>
          <w:b/>
          <w:bCs/>
          <w:color w:val="1E2761"/>
        </w:rPr>
        <w:t xml:space="preserve">11. Sanctions for Non-Disclosure</w:t>
      </w:r>
      <w:bookmarkEnd w:id="1010"/>
    </w:p>
    <w:p>
      <w:pPr>
        <w:spacing w:after="140"/>
        <w:ind w:left="72"/>
      </w:pPr>
      <w:r>
        <w:rPr>
          <w:b/>
          <w:bCs/>
          <w:color w:val="222222"/>
        </w:rPr>
        <w:t xml:space="preserve">11.1  </w:t>
      </w:r>
      <w:r>
        <w:rPr>
          <w:color w:val="222222"/>
        </w:rPr>
        <w:t xml:space="preserve">Failure to disclose a material Conflict of Interest, or participation in a decision despite a disclosed conflict without Board authorization, shall be treated as a serious breach of duty and may constitute grounds for removal under Article 7.6 of the Constitution, in the case of a Trustee, or disciplinary action, in the case of staff.</w:t>
      </w:r>
    </w:p>
    <w:p>
      <w:pPr>
        <w:spacing w:after="140"/>
        <w:ind w:left="72"/>
      </w:pPr>
      <w:r>
        <w:rPr>
          <w:b/>
          <w:bCs/>
          <w:color w:val="222222"/>
        </w:rPr>
        <w:t xml:space="preserve">11.2  </w:t>
      </w:r>
      <w:r>
        <w:rPr>
          <w:color w:val="222222"/>
        </w:rPr>
        <w:t xml:space="preserve">Any transaction entered into in breach of this Policy may be voided or ratified by the Board, at the Board's discretion, following independent review.</w:t>
      </w:r>
    </w:p>
    <w:p>
      <w:pPr>
        <w:pStyle w:val="Heading1"/>
        <w:pageBreakBefore/>
        <w:pBdr>
          <w:bottom w:val="single" w:color="B8543E" w:sz="8" w:space="4"/>
        </w:pBdr>
        <w:spacing w:after="200" w:before="240"/>
      </w:pPr>
      <w:bookmarkStart w:name="12-annual-declaration-requirement" w:id="1011"/>
      <w:r>
        <w:rPr>
          <w:b/>
          <w:bCs/>
          <w:color w:val="1E2761"/>
        </w:rPr>
        <w:t xml:space="preserve">12. Annual Declaration Requirement</w:t>
      </w:r>
      <w:bookmarkEnd w:id="1011"/>
    </w:p>
    <w:p>
      <w:pPr>
        <w:spacing w:after="140"/>
        <w:ind w:left="72"/>
      </w:pPr>
      <w:r>
        <w:rPr>
          <w:b/>
          <w:bCs/>
          <w:color w:val="222222"/>
        </w:rPr>
        <w:t xml:space="preserve">12.1  </w:t>
      </w:r>
      <w:r>
        <w:rPr>
          <w:color w:val="222222"/>
        </w:rPr>
        <w:t xml:space="preserve">Every person subject to this Policy shall complete the Annual Conflict of Interest Declaration at Schedule A within thirty (30) days of appointment and thereafter within thirty (30) days of the start of each Financial Year.</w:t>
      </w:r>
    </w:p>
    <w:p>
      <w:pPr>
        <w:spacing w:after="140"/>
        <w:ind w:left="72"/>
      </w:pPr>
      <w:r>
        <w:rPr>
          <w:b/>
          <w:bCs/>
          <w:color w:val="222222"/>
        </w:rPr>
        <w:t xml:space="preserve">12.2  </w:t>
      </w:r>
      <w:r>
        <w:rPr>
          <w:color w:val="222222"/>
        </w:rPr>
        <w:t xml:space="preserve">Completed declarations, including nil declarations, shall be retained in the Register of Interests for not less than seven (7) years.</w:t>
      </w:r>
    </w:p>
    <w:p>
      <w:pPr>
        <w:pStyle w:val="Heading1"/>
        <w:pageBreakBefore/>
        <w:pBdr>
          <w:bottom w:val="single" w:color="B8543E" w:sz="8" w:space="4"/>
        </w:pBdr>
        <w:spacing w:after="200" w:before="240"/>
      </w:pPr>
      <w:bookmarkStart w:name="13-review-of-this-policy" w:id="1012"/>
      <w:r>
        <w:rPr>
          <w:b/>
          <w:bCs/>
          <w:color w:val="1E2761"/>
        </w:rPr>
        <w:t xml:space="preserve">13. Review of this Policy</w:t>
      </w:r>
      <w:bookmarkEnd w:id="1012"/>
    </w:p>
    <w:p>
      <w:pPr>
        <w:spacing w:after="140"/>
        <w:ind w:left="72"/>
      </w:pPr>
      <w:r>
        <w:rPr>
          <w:b/>
          <w:bCs/>
          <w:color w:val="222222"/>
        </w:rPr>
        <w:t xml:space="preserve">13.1  </w:t>
      </w:r>
      <w:r>
        <w:rPr>
          <w:color w:val="222222"/>
        </w:rPr>
        <w:t xml:space="preserve">This Policy shall be reviewed by the Board at least once every two years, or sooner if required by a material change in law or the Foundation's operating context.</w:t>
      </w:r>
    </w:p>
    <w:p>
      <w:pPr>
        <w:pStyle w:val="Heading1"/>
        <w:pageBreakBefore/>
        <w:pBdr>
          <w:bottom w:val="single" w:color="B8543E" w:sz="8" w:space="4"/>
        </w:pBdr>
        <w:spacing w:after="200" w:before="240"/>
      </w:pPr>
      <w:bookmarkStart w:name="schedule-a-annual-conflict-of-interest-declaration" w:id="1013"/>
      <w:r>
        <w:rPr>
          <w:b/>
          <w:bCs/>
          <w:color w:val="1E2761"/>
        </w:rPr>
        <w:t xml:space="preserve">Schedule A: Annual Conflict of Interest Declaration</w:t>
      </w:r>
      <w:bookmarkEnd w:id="1013"/>
    </w:p>
    <w:p>
      <w:pPr>
        <w:spacing w:after="140"/>
      </w:pPr>
      <w:r>
        <w:rPr>
          <w:color w:val="222222"/>
        </w:rPr>
        <w:t xml:space="preserve">To be completed by every Trustee, officer, committee member, and designated staff member upon appointment and at the start of each Financial Year thereafter.</w:t>
      </w:r>
    </w:p>
    <w:p>
      <w:pPr>
        <w:spacing w:before="220"/>
      </w:pPr>
      <w:r>
        <w:rPr>
          <w:color w:val="222222"/>
        </w:rPr>
        <w:t xml:space="preserve">Full Name: ________________________________</w:t>
      </w:r>
    </w:p>
    <w:p>
      <w:pPr>
        <w:spacing w:before="220"/>
      </w:pPr>
      <w:r>
        <w:rPr>
          <w:color w:val="222222"/>
        </w:rPr>
        <w:t xml:space="preserve">Position / Role at the Foundation: ________________________________</w:t>
      </w:r>
    </w:p>
    <w:p>
      <w:pPr>
        <w:spacing w:before="220"/>
      </w:pPr>
      <w:r>
        <w:rPr>
          <w:color w:val="222222"/>
        </w:rPr>
        <w:t xml:space="preserve">Financial Year to which this declaration relates: ________________________________</w:t>
      </w:r>
    </w:p>
    <w:p>
      <w:pPr>
        <w:spacing w:before="300"/>
      </w:pPr>
      <w:r>
        <w:rPr>
          <w:b/>
          <w:bCs/>
        </w:rPr>
        <w:t xml:space="preserve">Please tick as applicable and provide details below:</w:t>
      </w:r>
    </w:p>
    <w:p>
      <w:pPr>
        <w:spacing w:before="200"/>
      </w:pPr>
      <w:r>
        <w:t xml:space="preserve">☐  I have NO actual, potential, or perceived Conflict of Interest to declare.</w:t>
      </w:r>
    </w:p>
    <w:p>
      <w:pPr>
        <w:spacing w:before="200"/>
      </w:pPr>
      <w:r>
        <w:t xml:space="preserve">☐  I declare the following interest(s):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E2761" w:val="clear"/>
            <w:vAlign w:val="center"/>
          </w:tcPr>
          <w:p>
            <w:r>
              <w:rPr>
                <w:b/>
                <w:bCs/>
                <w:color w:val="FFFFFF"/>
                <w:sz w:val="20"/>
                <w:szCs w:val="20"/>
              </w:rPr>
              <w:t xml:space="preserve">Nature of Interest</w:t>
            </w:r>
          </w:p>
        </w:tc>
        <w:tc>
          <w:tcPr>
            <w:tcW w:type="dxa" w:w="4675"/>
            <w:shd w:fill="1E2761" w:val="clear"/>
            <w:vAlign w:val="center"/>
          </w:tcPr>
          <w:p>
            <w:r>
              <w:rPr>
                <w:b/>
                <w:bCs/>
                <w:color w:val="FFFFFF"/>
                <w:sz w:val="20"/>
                <w:szCs w:val="20"/>
              </w:rPr>
              <w:t xml:space="preserve">Details (entity, relationship, nature of interest)</w:t>
            </w:r>
          </w:p>
        </w:tc>
      </w:tr>
      <w:tr>
        <w:tc>
          <w:tcPr>
            <w:tcW w:type="dxa" w:w="4675"/>
          </w:tcPr>
          <w:p>
            <w:pPr>
              <w:spacing w:after="260" w:before="260"/>
            </w:pPr>
            <w:r>
              <w:t xml:space="preserve"> </w:t>
            </w:r>
          </w:p>
        </w:tc>
        <w:tc>
          <w:tcPr>
            <w:tcW w:type="dxa" w:w="4675"/>
          </w:tcPr>
          <w:p>
            <w:pPr>
              <w:spacing w:after="260" w:before="260"/>
            </w:pPr>
            <w:r>
              <w:t xml:space="preserve"> </w:t>
            </w:r>
          </w:p>
        </w:tc>
      </w:tr>
      <w:tr>
        <w:tc>
          <w:tcPr>
            <w:tcW w:type="dxa" w:w="4675"/>
          </w:tcPr>
          <w:p>
            <w:pPr>
              <w:spacing w:after="260" w:before="260"/>
            </w:pPr>
            <w:r>
              <w:t xml:space="preserve"> </w:t>
            </w:r>
          </w:p>
        </w:tc>
        <w:tc>
          <w:tcPr>
            <w:tcW w:type="dxa" w:w="4675"/>
          </w:tcPr>
          <w:p>
            <w:pPr>
              <w:spacing w:after="260" w:before="260"/>
            </w:pPr>
            <w:r>
              <w:t xml:space="preserve"> </w:t>
            </w:r>
          </w:p>
        </w:tc>
      </w:tr>
      <w:tr>
        <w:tc>
          <w:tcPr>
            <w:tcW w:type="dxa" w:w="4675"/>
          </w:tcPr>
          <w:p>
            <w:pPr>
              <w:spacing w:after="260" w:before="260"/>
            </w:pPr>
            <w:r>
              <w:t xml:space="preserve"> </w:t>
            </w:r>
          </w:p>
        </w:tc>
        <w:tc>
          <w:tcPr>
            <w:tcW w:type="dxa" w:w="4675"/>
          </w:tcPr>
          <w:p>
            <w:pPr>
              <w:spacing w:after="260" w:before="260"/>
            </w:pPr>
            <w:r>
              <w:t xml:space="preserve"> </w:t>
            </w:r>
          </w:p>
        </w:tc>
      </w:tr>
      <w:tr>
        <w:tc>
          <w:tcPr>
            <w:tcW w:type="dxa" w:w="4675"/>
          </w:tcPr>
          <w:p>
            <w:pPr>
              <w:spacing w:after="260" w:before="260"/>
            </w:pPr>
            <w:r>
              <w:t xml:space="preserve"> </w:t>
            </w:r>
          </w:p>
        </w:tc>
        <w:tc>
          <w:tcPr>
            <w:tcW w:type="dxa" w:w="4675"/>
          </w:tcPr>
          <w:p>
            <w:pPr>
              <w:spacing w:after="260" w:before="260"/>
            </w:pPr>
            <w:r>
              <w:t xml:space="preserve"> </w:t>
            </w:r>
          </w:p>
        </w:tc>
      </w:tr>
    </w:tbl>
    <w:p>
      <w:pPr>
        <w:spacing w:before="400"/>
      </w:pPr>
      <w:r>
        <w:rPr>
          <w:i/>
          <w:iCs/>
        </w:rPr>
        <w:t xml:space="preserve">I confirm that the information provided above is true and complete to the best of my knowledge, and I undertake to disclose any new Conflict of Interest as soon as it arises, in accordance with this Policy.</w:t>
      </w:r>
    </w:p>
    <w:p>
      <w:pPr>
        <w:spacing w:before="220"/>
      </w:pPr>
      <w:r>
        <w:rPr>
          <w:color w:val="222222"/>
        </w:rPr>
        <w:t xml:space="preserve">Signature: ________________________________</w:t>
      </w:r>
    </w:p>
    <w:p>
      <w:pPr>
        <w:spacing w:before="220"/>
      </w:pPr>
      <w:r>
        <w:rPr>
          <w:color w:val="222222"/>
        </w:rPr>
        <w:t xml:space="preserve">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Conflict of Interest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2026-07-23T21:25:14.710Z</dcterms:created>
  <dcterms:modified xsi:type="dcterms:W3CDTF">2026-07-23T21:25:14.724Z</dcterms:modified>
</cp:coreProperties>
</file>

<file path=docProps/custom.xml><?xml version="1.0" encoding="utf-8"?>
<Properties xmlns="http://schemas.openxmlformats.org/officeDocument/2006/custom-properties" xmlns:vt="http://schemas.openxmlformats.org/officeDocument/2006/docPropsVTypes"/>
</file>