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 cy="609600"/>
                    </a:xfrm>
                    <a:prstGeom prst="rect">
                      <a:avLst/>
                    </a:prstGeom>
                  </pic:spPr>
                </pic:pic>
              </a:graphicData>
            </a:graphic>
          </wp:inline>
        </w:drawing>
      </w:r>
    </w:p>
    <w:p>
      <w:pPr>
        <w:spacing w:after="100" w:before="300"/>
        <w:jc w:val="center"/>
      </w:pPr>
      <w:r>
        <w:rPr>
          <w:rFonts w:ascii="Cambria" w:cs="Cambria" w:eastAsia="Cambria" w:hAnsi="Cambria"/>
          <w:b/>
          <w:bCs/>
          <w:color w:val="1E2761"/>
          <w:sz w:val="56"/>
          <w:szCs w:val="56"/>
        </w:rPr>
        <w:t xml:space="preserve">THE CONSTITUTION</w:t>
      </w:r>
    </w:p>
    <w:p>
      <w:pPr>
        <w:spacing w:after="400"/>
        <w:jc w:val="center"/>
      </w:pPr>
      <w:r>
        <w:rPr>
          <w:rFonts w:ascii="Cambria" w:cs="Cambria" w:eastAsia="Cambria" w:hAnsi="Cambria"/>
          <w:color w:val="5A5A5A"/>
          <w:sz w:val="28"/>
          <w:szCs w:val="28"/>
        </w:rPr>
        <w:t xml:space="preserve">OF</w:t>
      </w:r>
    </w:p>
    <w:p>
      <w:pPr>
        <w:spacing w:after="600"/>
        <w:jc w:val="center"/>
      </w:pPr>
      <w:r>
        <w:rPr>
          <w:rFonts w:ascii="Cambria" w:cs="Cambria" w:eastAsia="Cambria" w:hAnsi="Cambria"/>
          <w:b/>
          <w:bCs/>
          <w:color w:val="B8543E"/>
          <w:sz w:val="44"/>
          <w:szCs w:val="44"/>
        </w:rPr>
        <w:t xml:space="preserve">THE JOPETNAH FOUNDATION</w:t>
      </w:r>
    </w:p>
    <w:p>
      <w:pPr>
        <w:spacing w:after="260"/>
        <w:jc w:val="center"/>
      </w:pPr>
      <w:r>
        <w:rPr>
          <w:b/>
          <w:bCs/>
          <w:color w:val="1E2761"/>
          <w:sz w:val="22"/>
          <w:szCs w:val="22"/>
        </w:rPr>
        <w:t xml:space="preserve">( TJF )</w:t>
      </w:r>
    </w:p>
    <w:p>
      <w:pPr>
        <w:spacing w:after="200"/>
        <w:jc w:val="center"/>
      </w:pPr>
      <w:r>
        <w:rPr>
          <w:i/>
          <w:iCs/>
          <w:color w:val="5A5A5A"/>
          <w:sz w:val="24"/>
          <w:szCs w:val="24"/>
        </w:rPr>
        <w:t xml:space="preserve">Building whole communities, one life at a time.</w:t>
      </w:r>
    </w:p>
    <w:p>
      <w:pPr>
        <w:spacing w:after="100" w:before="800"/>
        <w:jc w:val="center"/>
      </w:pPr>
      <w:r>
        <w:rPr>
          <w:b/>
          <w:bCs/>
          <w:color w:val="222222"/>
          <w:sz w:val="22"/>
          <w:szCs w:val="22"/>
        </w:rPr>
        <w:t xml:space="preserve">FINAL VERSION — APPROVED BY THE BOARD OF TRUSTEES</w:t>
      </w:r>
    </w:p>
    <w:p>
      <w:pPr>
        <w:spacing w:after="800"/>
        <w:jc w:val="center"/>
      </w:pPr>
      <w:r>
        <w:rPr>
          <w:color w:val="5A5A5A"/>
          <w:sz w:val="22"/>
          <w:szCs w:val="22"/>
        </w:rPr>
        <w:t xml:space="preserve">Kampala, Republic of Uganda  ·  2026</w:t>
      </w:r>
    </w:p>
    <w:p>
      <w:pPr>
        <w:pBdr>
          <w:top w:val="single" w:color="B8543E" w:sz="4" w:space="4"/>
          <w:bottom w:val="single" w:color="B8543E" w:sz="4" w:space="4"/>
        </w:pBdr>
        <w:shd w:fill="F1E9DD" w:val="clear"/>
        <w:spacing w:after="200" w:before="100"/>
      </w:pPr>
      <w:r>
        <w:rPr>
          <w:i/>
          <w:iCs/>
          <w:color w:val="5A3A28"/>
        </w:rPr>
        <w:t xml:space="preserve">This Constitution has been reviewed and approved by the founding team of The Jopetnah Foundation (TJF) and becomes binding upon execution by the Founding Trustees at Schedule 2. It may be amended from time to time in accordance with Article 16 as TJF's governance needs evolve.</w:t>
      </w:r>
    </w:p>
    <w:p>
      <w:pPr>
        <w:pStyle w:val="Heading1"/>
        <w:pageBreakBefore/>
      </w:pPr>
      <w:r>
        <w:rPr>
          <w:b/>
          <w:bCs/>
          <w:color w:val="1E2761"/>
        </w:rPr>
        <w:t xml:space="preserve">Table of Contents</w:t>
      </w:r>
    </w:p>
    <w:p>
      <w:pPr>
        <w:spacing w:after="120"/>
      </w:pPr>
      <w:hyperlink w:history="1" w:anchor="preamble">
        <w:r>
          <w:rPr>
            <w:color w:val="1E2761"/>
            <w:u w:val="single" w:color="1E2761"/>
          </w:rPr>
          <w:t xml:space="preserve">Preamble</w:t>
        </w:r>
      </w:hyperlink>
    </w:p>
    <w:p>
      <w:pPr>
        <w:spacing w:after="120"/>
      </w:pPr>
      <w:hyperlink w:history="1" w:anchor="article-1-name-status-and-office">
        <w:r>
          <w:rPr>
            <w:color w:val="1E2761"/>
            <w:u w:val="single" w:color="1E2761"/>
          </w:rPr>
          <w:t xml:space="preserve">Article 1: Name, Status and Office</w:t>
        </w:r>
      </w:hyperlink>
    </w:p>
    <w:p>
      <w:pPr>
        <w:spacing w:after="120"/>
      </w:pPr>
      <w:hyperlink w:history="1" w:anchor="article-2-interpretation">
        <w:r>
          <w:rPr>
            <w:color w:val="1E2761"/>
            <w:u w:val="single" w:color="1E2761"/>
          </w:rPr>
          <w:t xml:space="preserve">Article 2: Interpretation</w:t>
        </w:r>
      </w:hyperlink>
    </w:p>
    <w:p>
      <w:pPr>
        <w:spacing w:after="120"/>
      </w:pPr>
      <w:hyperlink w:history="1" w:anchor="article-3-vision-mission-values-and-objects">
        <w:r>
          <w:rPr>
            <w:color w:val="1E2761"/>
            <w:u w:val="single" w:color="1E2761"/>
          </w:rPr>
          <w:t xml:space="preserve">Article 3: Vision, Mission, Values and Objects</w:t>
        </w:r>
      </w:hyperlink>
    </w:p>
    <w:p>
      <w:pPr>
        <w:spacing w:after="120"/>
      </w:pPr>
      <w:hyperlink w:history="1" w:anchor="article-4-powers">
        <w:r>
          <w:rPr>
            <w:color w:val="1E2761"/>
            <w:u w:val="single" w:color="1E2761"/>
          </w:rPr>
          <w:t xml:space="preserve">Article 4: Powers</w:t>
        </w:r>
      </w:hyperlink>
    </w:p>
    <w:p>
      <w:pPr>
        <w:spacing w:after="120"/>
      </w:pPr>
      <w:hyperlink w:history="1" w:anchor="article-5-membership">
        <w:r>
          <w:rPr>
            <w:color w:val="1E2761"/>
            <w:u w:val="single" w:color="1E2761"/>
          </w:rPr>
          <w:t xml:space="preserve">Article 5: Membership</w:t>
        </w:r>
      </w:hyperlink>
    </w:p>
    <w:p>
      <w:pPr>
        <w:spacing w:after="120"/>
      </w:pPr>
      <w:hyperlink w:history="1" w:anchor="article-6-organs-of-the-foundation">
        <w:r>
          <w:rPr>
            <w:color w:val="1E2761"/>
            <w:u w:val="single" w:color="1E2761"/>
          </w:rPr>
          <w:t xml:space="preserve">Article 6: Organs of the Foundation</w:t>
        </w:r>
      </w:hyperlink>
    </w:p>
    <w:p>
      <w:pPr>
        <w:spacing w:after="120"/>
      </w:pPr>
      <w:hyperlink w:history="1" w:anchor="article-7-the-board-of-trustees">
        <w:r>
          <w:rPr>
            <w:color w:val="1E2761"/>
            <w:u w:val="single" w:color="1E2761"/>
          </w:rPr>
          <w:t xml:space="preserve">Article 7: The Board of Trustees</w:t>
        </w:r>
      </w:hyperlink>
    </w:p>
    <w:p>
      <w:pPr>
        <w:spacing w:after="120"/>
      </w:pPr>
      <w:hyperlink w:history="1" w:anchor="article-8-meetings-of-the-board">
        <w:r>
          <w:rPr>
            <w:color w:val="1E2761"/>
            <w:u w:val="single" w:color="1E2761"/>
          </w:rPr>
          <w:t xml:space="preserve">Article 8: Meetings of the Board</w:t>
        </w:r>
      </w:hyperlink>
    </w:p>
    <w:p>
      <w:pPr>
        <w:spacing w:after="120"/>
      </w:pPr>
      <w:hyperlink w:history="1" w:anchor="article-9-the-executive-director-and-secretariat">
        <w:r>
          <w:rPr>
            <w:color w:val="1E2761"/>
            <w:u w:val="single" w:color="1E2761"/>
          </w:rPr>
          <w:t xml:space="preserve">Article 9: The Executive Director and Secretariat</w:t>
        </w:r>
      </w:hyperlink>
    </w:p>
    <w:p>
      <w:pPr>
        <w:spacing w:after="120"/>
      </w:pPr>
      <w:hyperlink w:history="1" w:anchor="article-10-the-advisory-council">
        <w:r>
          <w:rPr>
            <w:color w:val="1E2761"/>
            <w:u w:val="single" w:color="1E2761"/>
          </w:rPr>
          <w:t xml:space="preserve">Article 10: The Advisory Council</w:t>
        </w:r>
      </w:hyperlink>
    </w:p>
    <w:p>
      <w:pPr>
        <w:spacing w:after="120"/>
      </w:pPr>
      <w:hyperlink w:history="1" w:anchor="article-11-committees">
        <w:r>
          <w:rPr>
            <w:color w:val="1E2761"/>
            <w:u w:val="single" w:color="1E2761"/>
          </w:rPr>
          <w:t xml:space="preserve">Article 11: Committees</w:t>
        </w:r>
      </w:hyperlink>
    </w:p>
    <w:p>
      <w:pPr>
        <w:spacing w:after="120"/>
      </w:pPr>
      <w:hyperlink w:history="1" w:anchor="article-12-finances-and-property">
        <w:r>
          <w:rPr>
            <w:color w:val="1E2761"/>
            <w:u w:val="single" w:color="1E2761"/>
          </w:rPr>
          <w:t xml:space="preserve">Article 12: Finances and Property</w:t>
        </w:r>
      </w:hyperlink>
    </w:p>
    <w:p>
      <w:pPr>
        <w:spacing w:after="120"/>
      </w:pPr>
      <w:hyperlink w:history="1" w:anchor="article-13-annual-general-meeting">
        <w:r>
          <w:rPr>
            <w:color w:val="1E2761"/>
            <w:u w:val="single" w:color="1E2761"/>
          </w:rPr>
          <w:t xml:space="preserve">Article 13: Annual General Meeting</w:t>
        </w:r>
      </w:hyperlink>
    </w:p>
    <w:p>
      <w:pPr>
        <w:spacing w:after="120"/>
      </w:pPr>
      <w:hyperlink w:history="1" w:anchor="article-14-conflict-of-interest">
        <w:r>
          <w:rPr>
            <w:color w:val="1E2761"/>
            <w:u w:val="single" w:color="1E2761"/>
          </w:rPr>
          <w:t xml:space="preserve">Article 14: Conflict of Interest</w:t>
        </w:r>
      </w:hyperlink>
    </w:p>
    <w:p>
      <w:pPr>
        <w:spacing w:after="120"/>
      </w:pPr>
      <w:hyperlink w:history="1" w:anchor="article-15-code-of-conduct-and-safeguarding">
        <w:r>
          <w:rPr>
            <w:color w:val="1E2761"/>
            <w:u w:val="single" w:color="1E2761"/>
          </w:rPr>
          <w:t xml:space="preserve">Article 15: Code of Conduct and Safeguarding</w:t>
        </w:r>
      </w:hyperlink>
    </w:p>
    <w:p>
      <w:pPr>
        <w:spacing w:after="120"/>
      </w:pPr>
      <w:hyperlink w:history="1" w:anchor="article-16-amendment-of-the-constitution">
        <w:r>
          <w:rPr>
            <w:color w:val="1E2761"/>
            <w:u w:val="single" w:color="1E2761"/>
          </w:rPr>
          <w:t xml:space="preserve">Article 16: Amendment of the Constitution</w:t>
        </w:r>
      </w:hyperlink>
    </w:p>
    <w:p>
      <w:pPr>
        <w:spacing w:after="120"/>
      </w:pPr>
      <w:hyperlink w:history="1" w:anchor="article-17-dissolution">
        <w:r>
          <w:rPr>
            <w:color w:val="1E2761"/>
            <w:u w:val="single" w:color="1E2761"/>
          </w:rPr>
          <w:t xml:space="preserve">Article 17: Dissolution</w:t>
        </w:r>
      </w:hyperlink>
    </w:p>
    <w:p>
      <w:pPr>
        <w:spacing w:after="120"/>
      </w:pPr>
      <w:hyperlink w:history="1" w:anchor="article-18-dispute-resolution">
        <w:r>
          <w:rPr>
            <w:color w:val="1E2761"/>
            <w:u w:val="single" w:color="1E2761"/>
          </w:rPr>
          <w:t xml:space="preserve">Article 18: Dispute Resolution</w:t>
        </w:r>
      </w:hyperlink>
    </w:p>
    <w:p>
      <w:pPr>
        <w:spacing w:after="120"/>
      </w:pPr>
      <w:hyperlink w:history="1" w:anchor="article-19-indemnification-and-liability">
        <w:r>
          <w:rPr>
            <w:color w:val="1E2761"/>
            <w:u w:val="single" w:color="1E2761"/>
          </w:rPr>
          <w:t xml:space="preserve">Article 19: Indemnification and Liability</w:t>
        </w:r>
      </w:hyperlink>
    </w:p>
    <w:p>
      <w:pPr>
        <w:spacing w:after="120"/>
      </w:pPr>
      <w:hyperlink w:history="1" w:anchor="article-20-miscellaneous">
        <w:r>
          <w:rPr>
            <w:color w:val="1E2761"/>
            <w:u w:val="single" w:color="1E2761"/>
          </w:rPr>
          <w:t xml:space="preserve">Article 20: Miscellaneous</w:t>
        </w:r>
      </w:hyperlink>
    </w:p>
    <w:p>
      <w:pPr>
        <w:spacing w:after="120"/>
      </w:pPr>
      <w:hyperlink w:history="1" w:anchor="schedule-1-founding-trustees">
        <w:r>
          <w:rPr>
            <w:color w:val="1E2761"/>
            <w:u w:val="single" w:color="1E2761"/>
          </w:rPr>
          <w:t xml:space="preserve">Schedule 1: Founding Trustees</w:t>
        </w:r>
      </w:hyperlink>
    </w:p>
    <w:p>
      <w:pPr>
        <w:spacing w:after="120"/>
      </w:pPr>
      <w:hyperlink w:history="1" w:anchor="schedule-2-certificate-of-adoption">
        <w:r>
          <w:rPr>
            <w:color w:val="1E2761"/>
            <w:u w:val="single" w:color="1E2761"/>
          </w:rPr>
          <w:t xml:space="preserve">Schedule 2: Certificate of Adoption</w:t>
        </w:r>
      </w:hyperlink>
    </w:p>
    <w:p>
      <w:pPr>
        <w:pStyle w:val="Heading1"/>
        <w:pageBreakBefore/>
        <w:pBdr>
          <w:bottom w:val="single" w:color="B8543E" w:sz="8" w:space="4"/>
        </w:pBdr>
        <w:spacing w:after="200" w:before="240"/>
      </w:pPr>
      <w:bookmarkStart w:name="preamble" w:id="1000"/>
      <w:r>
        <w:rPr>
          <w:b/>
          <w:bCs/>
          <w:color w:val="1E2761"/>
        </w:rPr>
        <w:t xml:space="preserve">Preamble</w:t>
      </w:r>
      <w:bookmarkEnd w:id="1000"/>
    </w:p>
    <w:p>
      <w:pPr>
        <w:spacing w:after="140"/>
      </w:pPr>
      <w:r>
        <w:rPr>
          <w:b w:val="false"/>
          <w:bCs w:val="false"/>
          <w:i w:val="false"/>
          <w:iCs w:val="false"/>
          <w:color w:val="222222"/>
        </w:rPr>
        <w:t xml:space="preserve">WHEREAS the founders of The Jopetnah Foundation (hereinafter "the Foundation") recognize that families in underserved communities face interconnected challenges of education, health, livelihood, and environmental insecurity that are best addressed through an integrated, locally-led approach;</w:t>
      </w:r>
    </w:p>
    <w:p>
      <w:pPr>
        <w:spacing w:after="140"/>
      </w:pPr>
      <w:r>
        <w:rPr>
          <w:b w:val="false"/>
          <w:bCs w:val="false"/>
          <w:i w:val="false"/>
          <w:iCs w:val="false"/>
          <w:color w:val="222222"/>
        </w:rPr>
        <w:t xml:space="preserve">AND WHEREAS the founders desire to establish a body corporate, not for private gain, dedicated to advancing education, health, economic opportunity, and environmental resilience in underserved communities;</w:t>
      </w:r>
    </w:p>
    <w:p>
      <w:pPr>
        <w:spacing w:after="140"/>
      </w:pPr>
      <w:r>
        <w:rPr>
          <w:b w:val="false"/>
          <w:bCs w:val="false"/>
          <w:i w:val="false"/>
          <w:iCs w:val="false"/>
          <w:color w:val="222222"/>
        </w:rPr>
        <w:t xml:space="preserve">NOW THEREFORE, the founding Trustees hereby adopt this Constitution to govern the Foundation's purpose, structure, and operations.</w:t>
      </w:r>
    </w:p>
    <w:p>
      <w:pPr>
        <w:pStyle w:val="Heading1"/>
        <w:pageBreakBefore/>
        <w:pBdr>
          <w:bottom w:val="single" w:color="B8543E" w:sz="8" w:space="4"/>
        </w:pBdr>
        <w:spacing w:after="200" w:before="240"/>
      </w:pPr>
      <w:bookmarkStart w:name="article-1-name-status-and-office" w:id="1001"/>
      <w:r>
        <w:rPr>
          <w:b/>
          <w:bCs/>
          <w:color w:val="1E2761"/>
        </w:rPr>
        <w:t xml:space="preserve">Article 1: Name, Status and Office</w:t>
      </w:r>
      <w:bookmarkEnd w:id="1001"/>
    </w:p>
    <w:p>
      <w:pPr>
        <w:spacing w:after="140"/>
        <w:ind w:left="72"/>
      </w:pPr>
      <w:r>
        <w:rPr>
          <w:b/>
          <w:bCs/>
          <w:color w:val="222222"/>
        </w:rPr>
        <w:t xml:space="preserve">1.1  </w:t>
      </w:r>
      <w:r>
        <w:rPr>
          <w:color w:val="222222"/>
        </w:rPr>
        <w:t xml:space="preserve">The name of the organization shall be "The Jopetnah Foundation" (hereinafter referred to as "the Foundation" or "TJF"), and it may be known and referred to by that name or abbreviation in all its dealings, property, and legal proceedings.</w:t>
      </w:r>
    </w:p>
    <w:p>
      <w:pPr>
        <w:spacing w:after="140"/>
        <w:ind w:left="72"/>
      </w:pPr>
      <w:r>
        <w:rPr>
          <w:b/>
          <w:bCs/>
          <w:color w:val="222222"/>
        </w:rPr>
        <w:t xml:space="preserve">1.2  </w:t>
      </w:r>
      <w:r>
        <w:rPr>
          <w:color w:val="222222"/>
        </w:rPr>
        <w:t xml:space="preserve">The Foundation shall be registered under the laws of the Republic of Uganda as a company limited by guarantee and not having share capital, and/or as a non-governmental organization under the applicable NGO legislation, as advised by legal counsel, and shall not distribute profit to its members, Trustees, or officers.</w:t>
      </w:r>
    </w:p>
    <w:p>
      <w:pPr>
        <w:spacing w:after="140"/>
        <w:ind w:left="72"/>
      </w:pPr>
      <w:r>
        <w:rPr>
          <w:b/>
          <w:bCs/>
          <w:color w:val="222222"/>
        </w:rPr>
        <w:t xml:space="preserve">1.3  </w:t>
      </w:r>
      <w:r>
        <w:rPr>
          <w:color w:val="222222"/>
        </w:rPr>
        <w:t xml:space="preserve">The Foundation's principal office shall be situated in Kampala, Uganda, at such physical address as the Board of Trustees may from time to time determine, with authority to establish branch offices elsewhere in Uganda or internationally as its work requires.</w:t>
      </w:r>
    </w:p>
    <w:p>
      <w:pPr>
        <w:spacing w:after="140"/>
        <w:ind w:left="72"/>
      </w:pPr>
      <w:r>
        <w:rPr>
          <w:b/>
          <w:bCs/>
          <w:color w:val="222222"/>
        </w:rPr>
        <w:t xml:space="preserve">1.4  </w:t>
      </w:r>
      <w:r>
        <w:rPr>
          <w:color w:val="222222"/>
        </w:rPr>
        <w:t xml:space="preserve">The Foundation is established for an indefinite duration unless dissolved in accordance with Article 17 of this Constitution.</w:t>
      </w:r>
    </w:p>
    <w:p>
      <w:pPr>
        <w:pStyle w:val="Heading1"/>
        <w:pageBreakBefore/>
        <w:pBdr>
          <w:bottom w:val="single" w:color="B8543E" w:sz="8" w:space="4"/>
        </w:pBdr>
        <w:spacing w:after="200" w:before="240"/>
      </w:pPr>
      <w:bookmarkStart w:name="article-2-interpretation" w:id="1002"/>
      <w:r>
        <w:rPr>
          <w:b/>
          <w:bCs/>
          <w:color w:val="1E2761"/>
        </w:rPr>
        <w:t xml:space="preserve">Article 2: Interpretation</w:t>
      </w:r>
      <w:bookmarkEnd w:id="1002"/>
    </w:p>
    <w:p>
      <w:pPr>
        <w:spacing w:after="140"/>
      </w:pPr>
      <w:r>
        <w:rPr>
          <w:b w:val="false"/>
          <w:bCs w:val="false"/>
          <w:i w:val="false"/>
          <w:iCs w:val="false"/>
          <w:color w:val="222222"/>
        </w:rPr>
        <w:t xml:space="preserve">In this Constitution, unless the context otherwise requires:</w:t>
      </w:r>
    </w:p>
    <w:p>
      <w:pPr>
        <w:spacing w:after="100"/>
        <w:ind w:left="648"/>
      </w:pPr>
      <w:r>
        <w:rPr>
          <w:b/>
          <w:bCs/>
          <w:color w:val="222222"/>
        </w:rPr>
        <w:t xml:space="preserve">(a) </w:t>
      </w:r>
      <w:r>
        <w:rPr>
          <w:color w:val="222222"/>
        </w:rPr>
        <w:t xml:space="preserve">"Board" or "Board of Trustees" means the governing body of the Foundation established under Article 7;</w:t>
      </w:r>
    </w:p>
    <w:p>
      <w:pPr>
        <w:spacing w:after="100"/>
        <w:ind w:left="648"/>
      </w:pPr>
      <w:r>
        <w:rPr>
          <w:b/>
          <w:bCs/>
          <w:color w:val="222222"/>
        </w:rPr>
        <w:t xml:space="preserve">(b) </w:t>
      </w:r>
      <w:r>
        <w:rPr>
          <w:color w:val="222222"/>
        </w:rPr>
        <w:t xml:space="preserve">"Constitution" means this Constitution of the Foundation as amended from time to time;</w:t>
      </w:r>
    </w:p>
    <w:p>
      <w:pPr>
        <w:spacing w:after="100"/>
        <w:ind w:left="648"/>
      </w:pPr>
      <w:r>
        <w:rPr>
          <w:b/>
          <w:bCs/>
          <w:color w:val="222222"/>
        </w:rPr>
        <w:t xml:space="preserve">(c) </w:t>
      </w:r>
      <w:r>
        <w:rPr>
          <w:color w:val="222222"/>
        </w:rPr>
        <w:t xml:space="preserve">"Executive Director" means the chief executive officer of the Foundation appointed under Article 9;</w:t>
      </w:r>
    </w:p>
    <w:p>
      <w:pPr>
        <w:spacing w:after="100"/>
        <w:ind w:left="648"/>
      </w:pPr>
      <w:r>
        <w:rPr>
          <w:b/>
          <w:bCs/>
          <w:color w:val="222222"/>
        </w:rPr>
        <w:t xml:space="preserve">(d) </w:t>
      </w:r>
      <w:r>
        <w:rPr>
          <w:color w:val="222222"/>
        </w:rPr>
        <w:t xml:space="preserve">"Financial Year" means the accounting period of the Foundation as determined under Article 12;</w:t>
      </w:r>
    </w:p>
    <w:p>
      <w:pPr>
        <w:spacing w:after="100"/>
        <w:ind w:left="648"/>
      </w:pPr>
      <w:r>
        <w:rPr>
          <w:b/>
          <w:bCs/>
          <w:color w:val="222222"/>
        </w:rPr>
        <w:t xml:space="preserve">(e) </w:t>
      </w:r>
      <w:r>
        <w:rPr>
          <w:color w:val="222222"/>
        </w:rPr>
        <w:t xml:space="preserve">"Founding Trustee" means a person named as such in Schedule 1 to this Constitution;</w:t>
      </w:r>
    </w:p>
    <w:p>
      <w:pPr>
        <w:spacing w:after="100"/>
        <w:ind w:left="648"/>
      </w:pPr>
      <w:r>
        <w:rPr>
          <w:b/>
          <w:bCs/>
          <w:color w:val="222222"/>
        </w:rPr>
        <w:t xml:space="preserve">(f) </w:t>
      </w:r>
      <w:r>
        <w:rPr>
          <w:color w:val="222222"/>
        </w:rPr>
        <w:t xml:space="preserve">"Member" means a person admitted to membership of the Foundation under Article 5, where a membership structure is adopted;</w:t>
      </w:r>
    </w:p>
    <w:p>
      <w:pPr>
        <w:spacing w:after="100"/>
        <w:ind w:left="648"/>
      </w:pPr>
      <w:r>
        <w:rPr>
          <w:b/>
          <w:bCs/>
          <w:color w:val="222222"/>
        </w:rPr>
        <w:t xml:space="preserve">(g) </w:t>
      </w:r>
      <w:r>
        <w:rPr>
          <w:color w:val="222222"/>
        </w:rPr>
        <w:t xml:space="preserve">"Pillar" means one of the Foundation's four programmatic focus areas described in Article 3;</w:t>
      </w:r>
    </w:p>
    <w:p>
      <w:pPr>
        <w:spacing w:after="100"/>
        <w:ind w:left="648"/>
      </w:pPr>
      <w:r>
        <w:rPr>
          <w:b/>
          <w:bCs/>
          <w:color w:val="222222"/>
        </w:rPr>
        <w:t xml:space="preserve">(h) </w:t>
      </w:r>
      <w:r>
        <w:rPr>
          <w:color w:val="222222"/>
        </w:rPr>
        <w:t xml:space="preserve">words importing the singular include the plural and vice versa, and words importing one gender include all genders.</w:t>
      </w:r>
    </w:p>
    <w:p>
      <w:pPr>
        <w:pStyle w:val="Heading1"/>
        <w:pageBreakBefore/>
        <w:pBdr>
          <w:bottom w:val="single" w:color="B8543E" w:sz="8" w:space="4"/>
        </w:pBdr>
        <w:spacing w:after="200" w:before="240"/>
      </w:pPr>
      <w:bookmarkStart w:name="article-3-vision-mission-values-and-objects" w:id="1003"/>
      <w:r>
        <w:rPr>
          <w:b/>
          <w:bCs/>
          <w:color w:val="1E2761"/>
        </w:rPr>
        <w:t xml:space="preserve">Article 3: Vision, Mission, Values and Objects</w:t>
      </w:r>
      <w:bookmarkEnd w:id="1003"/>
    </w:p>
    <w:p>
      <w:pPr>
        <w:pStyle w:val="Heading2"/>
        <w:spacing w:after="120" w:before="220"/>
      </w:pPr>
      <w:r>
        <w:rPr>
          <w:b/>
          <w:bCs/>
          <w:color w:val="1E2761"/>
        </w:rPr>
        <w:t xml:space="preserve">3.1 Vision</w:t>
      </w:r>
    </w:p>
    <w:p>
      <w:pPr>
        <w:spacing w:after="140"/>
      </w:pPr>
      <w:r>
        <w:rPr>
          <w:b w:val="false"/>
          <w:bCs w:val="false"/>
          <w:i w:val="false"/>
          <w:iCs w:val="false"/>
          <w:color w:val="222222"/>
        </w:rPr>
        <w:t xml:space="preserve">A generation of communities that are educated, healthy, economically self-reliant, and environmentally sustainable.</w:t>
      </w:r>
    </w:p>
    <w:p>
      <w:pPr>
        <w:pStyle w:val="Heading2"/>
        <w:spacing w:after="120" w:before="220"/>
      </w:pPr>
      <w:r>
        <w:rPr>
          <w:b/>
          <w:bCs/>
          <w:color w:val="1E2761"/>
        </w:rPr>
        <w:t xml:space="preserve">3.2 Mission</w:t>
      </w:r>
    </w:p>
    <w:p>
      <w:pPr>
        <w:spacing w:after="140"/>
      </w:pPr>
      <w:r>
        <w:rPr>
          <w:b w:val="false"/>
          <w:bCs w:val="false"/>
          <w:i w:val="false"/>
          <w:iCs w:val="false"/>
          <w:color w:val="222222"/>
        </w:rPr>
        <w:t xml:space="preserve">To advance education, health, economic opportunity, and environmental resilience in underserved communities through integrated, locally-led programs.</w:t>
      </w:r>
    </w:p>
    <w:p>
      <w:pPr>
        <w:pStyle w:val="Heading2"/>
        <w:spacing w:after="120" w:before="220"/>
      </w:pPr>
      <w:r>
        <w:rPr>
          <w:b/>
          <w:bCs/>
          <w:color w:val="1E2761"/>
        </w:rPr>
        <w:t xml:space="preserve">3.3 Core Values</w:t>
      </w:r>
    </w:p>
    <w:p>
      <w:pPr>
        <w:spacing w:after="140"/>
      </w:pPr>
      <w:r>
        <w:rPr>
          <w:b w:val="false"/>
          <w:bCs w:val="false"/>
          <w:i w:val="false"/>
          <w:iCs w:val="false"/>
          <w:color w:val="222222"/>
        </w:rPr>
        <w:t xml:space="preserve">The Foundation shall be guided by the values of Integrity, Community Ownership, Transparency, Sustainability, and Inclusion.</w:t>
      </w:r>
    </w:p>
    <w:p>
      <w:pPr>
        <w:pStyle w:val="Heading2"/>
        <w:spacing w:after="120" w:before="220"/>
      </w:pPr>
      <w:r>
        <w:rPr>
          <w:b/>
          <w:bCs/>
          <w:color w:val="1E2761"/>
        </w:rPr>
        <w:t xml:space="preserve">3.4 Objects</w:t>
      </w:r>
    </w:p>
    <w:p>
      <w:pPr>
        <w:spacing w:after="140"/>
      </w:pPr>
      <w:r>
        <w:rPr>
          <w:b w:val="false"/>
          <w:bCs w:val="false"/>
          <w:i w:val="false"/>
          <w:iCs w:val="false"/>
          <w:color w:val="222222"/>
        </w:rPr>
        <w:t xml:space="preserve">The objects for which the Foundation is established are:</w:t>
      </w:r>
    </w:p>
    <w:p>
      <w:pPr>
        <w:spacing w:after="100"/>
        <w:ind w:left="648"/>
      </w:pPr>
      <w:r>
        <w:rPr>
          <w:b/>
          <w:bCs/>
          <w:color w:val="222222"/>
        </w:rPr>
        <w:t xml:space="preserve">(a) </w:t>
      </w:r>
      <w:r>
        <w:rPr>
          <w:color w:val="222222"/>
        </w:rPr>
        <w:t xml:space="preserve">to advance the education of disadvantaged children and youth through scholarships, mentorship, digital and vocational skills training, and community literacy programs;</w:t>
      </w:r>
    </w:p>
    <w:p>
      <w:pPr>
        <w:spacing w:after="100"/>
        <w:ind w:left="648"/>
      </w:pPr>
      <w:r>
        <w:rPr>
          <w:b/>
          <w:bCs/>
          <w:color w:val="222222"/>
        </w:rPr>
        <w:t xml:space="preserve">(b) </w:t>
      </w:r>
      <w:r>
        <w:rPr>
          <w:color w:val="222222"/>
        </w:rPr>
        <w:t xml:space="preserve">to promote the health and wellbeing of underserved communities through community health education, mobile health outreach, and mental health and nutrition programs;</w:t>
      </w:r>
    </w:p>
    <w:p>
      <w:pPr>
        <w:spacing w:after="100"/>
        <w:ind w:left="648"/>
      </w:pPr>
      <w:r>
        <w:rPr>
          <w:b/>
          <w:bCs/>
          <w:color w:val="222222"/>
        </w:rPr>
        <w:t xml:space="preserve">(c) </w:t>
      </w:r>
      <w:r>
        <w:rPr>
          <w:color w:val="222222"/>
        </w:rPr>
        <w:t xml:space="preserve">to alleviate poverty and promote sustainable livelihoods through micro-grants, vocational and enterprise training, and community savings initiatives;</w:t>
      </w:r>
    </w:p>
    <w:p>
      <w:pPr>
        <w:spacing w:after="100"/>
        <w:ind w:left="648"/>
      </w:pPr>
      <w:r>
        <w:rPr>
          <w:b/>
          <w:bCs/>
          <w:color w:val="222222"/>
        </w:rPr>
        <w:t xml:space="preserve">(d) </w:t>
      </w:r>
      <w:r>
        <w:rPr>
          <w:color w:val="222222"/>
        </w:rPr>
        <w:t xml:space="preserve">to promote environmental sustainability and community resilience through conservation, water and sanitation access, and climate-smart livelihood initiatives;</w:t>
      </w:r>
    </w:p>
    <w:p>
      <w:pPr>
        <w:spacing w:after="100"/>
        <w:ind w:left="648"/>
      </w:pPr>
      <w:r>
        <w:rPr>
          <w:b/>
          <w:bCs/>
          <w:color w:val="222222"/>
        </w:rPr>
        <w:t xml:space="preserve">(e) </w:t>
      </w:r>
      <w:r>
        <w:rPr>
          <w:color w:val="222222"/>
        </w:rPr>
        <w:t xml:space="preserve">to receive and administer donations, grants, and other funds in furtherance of the foregoing objects; and</w:t>
      </w:r>
    </w:p>
    <w:p>
      <w:pPr>
        <w:spacing w:after="100"/>
        <w:ind w:left="648"/>
      </w:pPr>
      <w:r>
        <w:rPr>
          <w:b/>
          <w:bCs/>
          <w:color w:val="222222"/>
        </w:rPr>
        <w:t xml:space="preserve">(f) </w:t>
      </w:r>
      <w:r>
        <w:rPr>
          <w:color w:val="222222"/>
        </w:rPr>
        <w:t xml:space="preserve">to do all such other lawful things as are incidental or conducive to the attainment of the above objects.</w:t>
      </w:r>
    </w:p>
    <w:p>
      <w:pPr>
        <w:spacing w:after="140"/>
        <w:ind w:left="72"/>
      </w:pPr>
      <w:r>
        <w:rPr>
          <w:b/>
          <w:bCs/>
          <w:color w:val="222222"/>
        </w:rPr>
        <w:t xml:space="preserve">3.5  </w:t>
      </w:r>
      <w:r>
        <w:rPr>
          <w:color w:val="222222"/>
        </w:rPr>
        <w:t xml:space="preserve">The Foundation shall carry out its objects without regard to race, ethnicity, religion, gender, disability, political affiliation, or any other status, and shall not be affiliated with or act in furtherance of any political party.</w:t>
      </w:r>
    </w:p>
    <w:p>
      <w:pPr>
        <w:pStyle w:val="Heading1"/>
        <w:pageBreakBefore/>
        <w:pBdr>
          <w:bottom w:val="single" w:color="B8543E" w:sz="8" w:space="4"/>
        </w:pBdr>
        <w:spacing w:after="200" w:before="240"/>
      </w:pPr>
      <w:bookmarkStart w:name="article-4-powers" w:id="1004"/>
      <w:r>
        <w:rPr>
          <w:b/>
          <w:bCs/>
          <w:color w:val="1E2761"/>
        </w:rPr>
        <w:t xml:space="preserve">Article 4: Powers</w:t>
      </w:r>
      <w:bookmarkEnd w:id="1004"/>
    </w:p>
    <w:p>
      <w:pPr>
        <w:spacing w:after="140"/>
      </w:pPr>
      <w:r>
        <w:rPr>
          <w:b w:val="false"/>
          <w:bCs w:val="false"/>
          <w:i w:val="false"/>
          <w:iCs w:val="false"/>
          <w:color w:val="222222"/>
        </w:rPr>
        <w:t xml:space="preserve">In furtherance of, and restricted to, the objects set out in Article 3, the Foundation shall have power to:</w:t>
      </w:r>
    </w:p>
    <w:p>
      <w:pPr>
        <w:spacing w:after="100"/>
        <w:ind w:left="648"/>
      </w:pPr>
      <w:r>
        <w:rPr>
          <w:b/>
          <w:bCs/>
          <w:color w:val="222222"/>
        </w:rPr>
        <w:t xml:space="preserve">(a) </w:t>
      </w:r>
      <w:r>
        <w:rPr>
          <w:color w:val="222222"/>
        </w:rPr>
        <w:t xml:space="preserve">solicit, receive, and administer donations, grants, sponsorships, and other contributions from individuals, corporations, governments, and institutions;</w:t>
      </w:r>
    </w:p>
    <w:p>
      <w:pPr>
        <w:spacing w:after="100"/>
        <w:ind w:left="648"/>
      </w:pPr>
      <w:r>
        <w:rPr>
          <w:b/>
          <w:bCs/>
          <w:color w:val="222222"/>
        </w:rPr>
        <w:t xml:space="preserve">(b) </w:t>
      </w:r>
      <w:r>
        <w:rPr>
          <w:color w:val="222222"/>
        </w:rPr>
        <w:t xml:space="preserve">acquire, hold, manage, and dispose of movable and immovable property necessary for its objects;</w:t>
      </w:r>
    </w:p>
    <w:p>
      <w:pPr>
        <w:spacing w:after="100"/>
        <w:ind w:left="648"/>
      </w:pPr>
      <w:r>
        <w:rPr>
          <w:b/>
          <w:bCs/>
          <w:color w:val="222222"/>
        </w:rPr>
        <w:t xml:space="preserve">(c) </w:t>
      </w:r>
      <w:r>
        <w:rPr>
          <w:color w:val="222222"/>
        </w:rPr>
        <w:t xml:space="preserve">open and operate bank accounts and invest surplus funds prudently, subject to Article 12;</w:t>
      </w:r>
    </w:p>
    <w:p>
      <w:pPr>
        <w:spacing w:after="100"/>
        <w:ind w:left="648"/>
      </w:pPr>
      <w:r>
        <w:rPr>
          <w:b/>
          <w:bCs/>
          <w:color w:val="222222"/>
        </w:rPr>
        <w:t xml:space="preserve">(d) </w:t>
      </w:r>
      <w:r>
        <w:rPr>
          <w:color w:val="222222"/>
        </w:rPr>
        <w:t xml:space="preserve">employ staff, engage consultants, and enter into contracts necessary for its operations;</w:t>
      </w:r>
    </w:p>
    <w:p>
      <w:pPr>
        <w:spacing w:after="100"/>
        <w:ind w:left="648"/>
      </w:pPr>
      <w:r>
        <w:rPr>
          <w:b/>
          <w:bCs/>
          <w:color w:val="222222"/>
        </w:rPr>
        <w:t xml:space="preserve">(e) </w:t>
      </w:r>
      <w:r>
        <w:rPr>
          <w:color w:val="222222"/>
        </w:rPr>
        <w:t xml:space="preserve">establish branches, program offices, subsidiaries, or affiliated entities, in Uganda or elsewhere, subject to Board approval;</w:t>
      </w:r>
    </w:p>
    <w:p>
      <w:pPr>
        <w:spacing w:after="100"/>
        <w:ind w:left="648"/>
      </w:pPr>
      <w:r>
        <w:rPr>
          <w:b/>
          <w:bCs/>
          <w:color w:val="222222"/>
        </w:rPr>
        <w:t xml:space="preserve">(f) </w:t>
      </w:r>
      <w:r>
        <w:rPr>
          <w:color w:val="222222"/>
        </w:rPr>
        <w:t xml:space="preserve">collaborate, partner, or affiliate with other organizations, governments, or institutions sharing similar objects;</w:t>
      </w:r>
    </w:p>
    <w:p>
      <w:pPr>
        <w:spacing w:after="100"/>
        <w:ind w:left="648"/>
      </w:pPr>
      <w:r>
        <w:rPr>
          <w:b/>
          <w:bCs/>
          <w:color w:val="222222"/>
        </w:rPr>
        <w:t xml:space="preserve">(g) </w:t>
      </w:r>
      <w:r>
        <w:rPr>
          <w:color w:val="222222"/>
        </w:rPr>
        <w:t xml:space="preserve">borrow money and give security over its assets, subject to a resolution of the Board approved by not less than two-thirds of Trustees present and voting; and</w:t>
      </w:r>
    </w:p>
    <w:p>
      <w:pPr>
        <w:spacing w:after="100"/>
        <w:ind w:left="648"/>
      </w:pPr>
      <w:r>
        <w:rPr>
          <w:b/>
          <w:bCs/>
          <w:color w:val="222222"/>
        </w:rPr>
        <w:t xml:space="preserve">(h) </w:t>
      </w:r>
      <w:r>
        <w:rPr>
          <w:color w:val="222222"/>
        </w:rPr>
        <w:t xml:space="preserve">do all other lawful acts and things as are incidental or conducive to the attainment of its objects.</w:t>
      </w:r>
    </w:p>
    <w:p>
      <w:pPr>
        <w:spacing w:after="140"/>
        <w:ind w:left="72"/>
      </w:pPr>
      <w:r>
        <w:rPr>
          <w:b/>
          <w:bCs/>
          <w:color w:val="222222"/>
        </w:rPr>
        <w:t xml:space="preserve">4.2  </w:t>
      </w:r>
      <w:r>
        <w:rPr>
          <w:color w:val="222222"/>
        </w:rPr>
        <w:t xml:space="preserve">No part of the income, property, or assets of the Foundation shall be distributed or paid, directly or indirectly, to any Trustee, Member, or officer by way of profit, dividend, or bonus. This clause does not prohibit the payment of reasonable remuneration to staff, consultants, or service providers, or reimbursement of reasonable expenses to Trustees, for services actually rendered to the Foundation.</w:t>
      </w:r>
    </w:p>
    <w:p>
      <w:pPr>
        <w:pStyle w:val="Heading1"/>
        <w:pageBreakBefore/>
        <w:pBdr>
          <w:bottom w:val="single" w:color="B8543E" w:sz="8" w:space="4"/>
        </w:pBdr>
        <w:spacing w:after="200" w:before="240"/>
      </w:pPr>
      <w:bookmarkStart w:name="article-5-membership" w:id="1005"/>
      <w:r>
        <w:rPr>
          <w:b/>
          <w:bCs/>
          <w:color w:val="1E2761"/>
        </w:rPr>
        <w:t xml:space="preserve">Article 5: Membership</w:t>
      </w:r>
      <w:bookmarkEnd w:id="1005"/>
    </w:p>
    <w:p>
      <w:pPr>
        <w:spacing w:after="140"/>
        <w:ind w:left="72"/>
      </w:pPr>
      <w:r>
        <w:rPr>
          <w:b/>
          <w:bCs/>
          <w:color w:val="222222"/>
        </w:rPr>
        <w:t xml:space="preserve">5.1  </w:t>
      </w:r>
      <w:r>
        <w:rPr>
          <w:color w:val="222222"/>
        </w:rPr>
        <w:t xml:space="preserve">The Foundation may, at the discretion of the Board, adopt a formal membership structure in addition to its Board of Trustees. Where adopted, membership shall consist of the following categories: Founding Members, Ordinary Members, and Honorary Members.</w:t>
      </w:r>
    </w:p>
    <w:p>
      <w:pPr>
        <w:spacing w:after="140"/>
        <w:ind w:left="72"/>
      </w:pPr>
      <w:r>
        <w:rPr>
          <w:b/>
          <w:bCs/>
          <w:color w:val="222222"/>
        </w:rPr>
        <w:t xml:space="preserve">5.2  </w:t>
      </w:r>
      <w:r>
        <w:rPr>
          <w:color w:val="222222"/>
        </w:rPr>
        <w:t xml:space="preserve">Founding Members are those persons who participated in the establishment of the Foundation and are named in Schedule 1.</w:t>
      </w:r>
    </w:p>
    <w:p>
      <w:pPr>
        <w:spacing w:after="140"/>
        <w:ind w:left="72"/>
      </w:pPr>
      <w:r>
        <w:rPr>
          <w:b/>
          <w:bCs/>
          <w:color w:val="222222"/>
        </w:rPr>
        <w:t xml:space="preserve">5.3  </w:t>
      </w:r>
      <w:r>
        <w:rPr>
          <w:color w:val="222222"/>
        </w:rPr>
        <w:t xml:space="preserve">Ordinary Membership shall be open to individuals and institutions who subscribe to the objects of the Foundation and are admitted by resolution of the Board, subject to such criteria and subscription (if any) as the Board may prescribe.</w:t>
      </w:r>
    </w:p>
    <w:p>
      <w:pPr>
        <w:spacing w:after="140"/>
        <w:ind w:left="72"/>
      </w:pPr>
      <w:r>
        <w:rPr>
          <w:b/>
          <w:bCs/>
          <w:color w:val="222222"/>
        </w:rPr>
        <w:t xml:space="preserve">5.4  </w:t>
      </w:r>
      <w:r>
        <w:rPr>
          <w:color w:val="222222"/>
        </w:rPr>
        <w:t xml:space="preserve">Honorary Membership may be conferred by the Board on individuals who have rendered distinguished service to the Foundation. Honorary Members shall not have voting rights unless otherwise resolved by the Board.</w:t>
      </w:r>
    </w:p>
    <w:p>
      <w:pPr>
        <w:spacing w:after="140"/>
        <w:ind w:left="72"/>
      </w:pPr>
      <w:r>
        <w:rPr>
          <w:b/>
          <w:bCs/>
          <w:color w:val="222222"/>
        </w:rPr>
        <w:t xml:space="preserve">5.5  </w:t>
      </w:r>
      <w:r>
        <w:rPr>
          <w:color w:val="222222"/>
        </w:rPr>
        <w:t xml:space="preserve">Membership shall terminate upon: (a) voluntary resignation in writing; (b) death or dissolution, in the case of an institutional Member; (c) expulsion by a two-thirds resolution of the Board on grounds of conduct prejudicial to the Foundation, following written notice and an opportunity to be heard; or (d) non-payment of prescribed subscription, if any, after due notice.</w:t>
      </w:r>
    </w:p>
    <w:p>
      <w:pPr>
        <w:spacing w:after="140"/>
        <w:ind w:left="72"/>
      </w:pPr>
      <w:r>
        <w:rPr>
          <w:b/>
          <w:bCs/>
          <w:color w:val="222222"/>
        </w:rPr>
        <w:t xml:space="preserve">5.6  </w:t>
      </w:r>
      <w:r>
        <w:rPr>
          <w:color w:val="222222"/>
        </w:rPr>
        <w:t xml:space="preserve">The Foundation shall maintain a Register of Members recording the name, category, and date of admission of each Member.</w:t>
      </w:r>
    </w:p>
    <w:p>
      <w:pPr>
        <w:pStyle w:val="Heading1"/>
        <w:pageBreakBefore/>
        <w:pBdr>
          <w:bottom w:val="single" w:color="B8543E" w:sz="8" w:space="4"/>
        </w:pBdr>
        <w:spacing w:after="200" w:before="240"/>
      </w:pPr>
      <w:bookmarkStart w:name="article-6-organs-of-the-foundation" w:id="1006"/>
      <w:r>
        <w:rPr>
          <w:b/>
          <w:bCs/>
          <w:color w:val="1E2761"/>
        </w:rPr>
        <w:t xml:space="preserve">Article 6: Organs of the Foundation</w:t>
      </w:r>
      <w:bookmarkEnd w:id="1006"/>
    </w:p>
    <w:p>
      <w:pPr>
        <w:spacing w:after="140"/>
      </w:pPr>
      <w:r>
        <w:rPr>
          <w:b w:val="false"/>
          <w:bCs w:val="false"/>
          <w:i w:val="false"/>
          <w:iCs w:val="false"/>
          <w:color w:val="222222"/>
        </w:rPr>
        <w:t xml:space="preserve">The organs of the Foundation shall be:</w:t>
      </w:r>
    </w:p>
    <w:p>
      <w:pPr>
        <w:spacing w:after="100"/>
        <w:ind w:left="648"/>
      </w:pPr>
      <w:r>
        <w:rPr>
          <w:b/>
          <w:bCs/>
          <w:color w:val="222222"/>
        </w:rPr>
        <w:t xml:space="preserve">(a) </w:t>
      </w:r>
      <w:r>
        <w:rPr>
          <w:color w:val="222222"/>
        </w:rPr>
        <w:t xml:space="preserve">the Board of Trustees, being the supreme governing organ of the Foundation;</w:t>
      </w:r>
    </w:p>
    <w:p>
      <w:pPr>
        <w:spacing w:after="100"/>
        <w:ind w:left="648"/>
      </w:pPr>
      <w:r>
        <w:rPr>
          <w:b/>
          <w:bCs/>
          <w:color w:val="222222"/>
        </w:rPr>
        <w:t xml:space="preserve">(b) </w:t>
      </w:r>
      <w:r>
        <w:rPr>
          <w:color w:val="222222"/>
        </w:rPr>
        <w:t xml:space="preserve">the Executive Office, comprising the Executive Director and Secretariat staff;</w:t>
      </w:r>
    </w:p>
    <w:p>
      <w:pPr>
        <w:spacing w:after="100"/>
        <w:ind w:left="648"/>
      </w:pPr>
      <w:r>
        <w:rPr>
          <w:b/>
          <w:bCs/>
          <w:color w:val="222222"/>
        </w:rPr>
        <w:t xml:space="preserve">(c) </w:t>
      </w:r>
      <w:r>
        <w:rPr>
          <w:color w:val="222222"/>
        </w:rPr>
        <w:t xml:space="preserve">the Advisory Council; and</w:t>
      </w:r>
    </w:p>
    <w:p>
      <w:pPr>
        <w:spacing w:after="100"/>
        <w:ind w:left="648"/>
      </w:pPr>
      <w:r>
        <w:rPr>
          <w:b/>
          <w:bCs/>
          <w:color w:val="222222"/>
        </w:rPr>
        <w:t xml:space="preserve">(d) </w:t>
      </w:r>
      <w:r>
        <w:rPr>
          <w:color w:val="222222"/>
        </w:rPr>
        <w:t xml:space="preserve">such Committees as the Board may from time to time establish.</w:t>
      </w:r>
    </w:p>
    <w:p>
      <w:pPr>
        <w:pStyle w:val="Heading1"/>
        <w:pageBreakBefore/>
        <w:pBdr>
          <w:bottom w:val="single" w:color="B8543E" w:sz="8" w:space="4"/>
        </w:pBdr>
        <w:spacing w:after="200" w:before="240"/>
      </w:pPr>
      <w:bookmarkStart w:name="article-7-the-board-of-trustees" w:id="1007"/>
      <w:r>
        <w:rPr>
          <w:b/>
          <w:bCs/>
          <w:color w:val="1E2761"/>
        </w:rPr>
        <w:t xml:space="preserve">Article 7: The Board of Trustees</w:t>
      </w:r>
      <w:bookmarkEnd w:id="1007"/>
    </w:p>
    <w:p>
      <w:pPr>
        <w:spacing w:after="140"/>
        <w:ind w:left="72"/>
      </w:pPr>
      <w:r>
        <w:rPr>
          <w:b/>
          <w:bCs/>
          <w:color w:val="222222"/>
        </w:rPr>
        <w:t xml:space="preserve">7.1  </w:t>
      </w:r>
      <w:r>
        <w:rPr>
          <w:color w:val="222222"/>
        </w:rPr>
        <w:t xml:space="preserve">Composition. The Board shall consist of not fewer than seven (7) and not more than nine (9) Trustees, who shall collectively possess relevant skills in governance, finance, law, program management, and community development.</w:t>
      </w:r>
    </w:p>
    <w:p>
      <w:pPr>
        <w:spacing w:after="140"/>
        <w:ind w:left="72"/>
      </w:pPr>
      <w:r>
        <w:rPr>
          <w:b/>
          <w:bCs/>
          <w:color w:val="222222"/>
        </w:rPr>
        <w:t xml:space="preserve">7.2  </w:t>
      </w:r>
      <w:r>
        <w:rPr>
          <w:color w:val="222222"/>
        </w:rPr>
        <w:t xml:space="preserve">Qualifications. A person is eligible to serve as a Trustee if they are of sound mind, at least twenty-one (21) years of age, of good standing, and have not been convicted of an offense involving fraud or dishonesty.</w:t>
      </w:r>
    </w:p>
    <w:p>
      <w:pPr>
        <w:spacing w:after="140"/>
        <w:ind w:left="72"/>
      </w:pPr>
      <w:r>
        <w:rPr>
          <w:b/>
          <w:bCs/>
          <w:color w:val="222222"/>
        </w:rPr>
        <w:t xml:space="preserve">7.3  </w:t>
      </w:r>
      <w:r>
        <w:rPr>
          <w:color w:val="222222"/>
        </w:rPr>
        <w:t xml:space="preserve">Appointment and Term. Founding Trustees shall serve from adoption of this Constitution. Subsequent Trustees shall be appointed by resolution of the Board, on the recommendation of the Governance Committee where one exists, for a term of three (3) years, renewable for not more than two (2) further consecutive terms.</w:t>
      </w:r>
    </w:p>
    <w:p>
      <w:pPr>
        <w:spacing w:after="140"/>
        <w:ind w:left="72"/>
      </w:pPr>
      <w:r>
        <w:rPr>
          <w:b/>
          <w:bCs/>
          <w:color w:val="222222"/>
        </w:rPr>
        <w:t xml:space="preserve">7.4  </w:t>
      </w:r>
      <w:r>
        <w:rPr>
          <w:color w:val="222222"/>
        </w:rPr>
        <w:t xml:space="preserve">Officers of the Board. The Board shall elect from among its members a Chairperson, a Vice-Chairperson, a Treasurer, and a Secretary, each to serve for the duration of their term as Trustee unless earlier removed by the Board.</w:t>
      </w:r>
    </w:p>
    <w:p>
      <w:pPr>
        <w:spacing w:after="140"/>
        <w:ind w:left="72"/>
      </w:pPr>
      <w:r>
        <w:rPr>
          <w:b/>
          <w:bCs/>
          <w:color w:val="222222"/>
        </w:rPr>
        <w:t xml:space="preserve">7.5  </w:t>
      </w:r>
      <w:r>
        <w:rPr>
          <w:color w:val="222222"/>
        </w:rPr>
        <w:t xml:space="preserve">Powers and Functions. The Board shall be responsible for: (a) setting the strategic direction of the Foundation; (b) approving annual budgets, work plans, and audited financial statements; (c) appointing and overseeing the Executive Director; (d) approving major partnerships, borrowing, and disposal of significant assets; (e) ensuring compliance with this Constitution and applicable law; and (f) safeguarding the reputation, assets, and beneficiaries of the Foundation.</w:t>
      </w:r>
    </w:p>
    <w:p>
      <w:pPr>
        <w:spacing w:after="140"/>
        <w:ind w:left="72"/>
      </w:pPr>
      <w:r>
        <w:rPr>
          <w:b/>
          <w:bCs/>
          <w:color w:val="222222"/>
        </w:rPr>
        <w:t xml:space="preserve">7.6  </w:t>
      </w:r>
      <w:r>
        <w:rPr>
          <w:color w:val="222222"/>
        </w:rPr>
        <w:t xml:space="preserve">Removal and Resignation. A Trustee may resign by written notice to the Chairperson. A Trustee may be removed by a resolution passed by not less than two-thirds of the remaining Trustees, on grounds including but not limited to: incapacity, prolonged absence from meetings without reasonable cause (three consecutive meetings), conduct prejudicial to the Foundation, or conflict of interest not properly disclosed.</w:t>
      </w:r>
    </w:p>
    <w:p>
      <w:pPr>
        <w:spacing w:after="140"/>
        <w:ind w:left="72"/>
      </w:pPr>
      <w:r>
        <w:rPr>
          <w:b/>
          <w:bCs/>
          <w:color w:val="222222"/>
        </w:rPr>
        <w:t xml:space="preserve">7.7  </w:t>
      </w:r>
      <w:r>
        <w:rPr>
          <w:color w:val="222222"/>
        </w:rPr>
        <w:t xml:space="preserve">Casual Vacancies. The Board may, by resolution, appoint a qualified person to fill a casual vacancy for the unexpired portion of the term.</w:t>
      </w:r>
    </w:p>
    <w:p>
      <w:pPr>
        <w:pStyle w:val="Heading1"/>
        <w:pageBreakBefore/>
        <w:pBdr>
          <w:bottom w:val="single" w:color="B8543E" w:sz="8" w:space="4"/>
        </w:pBdr>
        <w:spacing w:after="200" w:before="240"/>
      </w:pPr>
      <w:bookmarkStart w:name="article-8-meetings-of-the-board" w:id="1008"/>
      <w:r>
        <w:rPr>
          <w:b/>
          <w:bCs/>
          <w:color w:val="1E2761"/>
        </w:rPr>
        <w:t xml:space="preserve">Article 8: Meetings of the Board</w:t>
      </w:r>
      <w:bookmarkEnd w:id="1008"/>
    </w:p>
    <w:p>
      <w:pPr>
        <w:spacing w:after="140"/>
        <w:ind w:left="72"/>
      </w:pPr>
      <w:r>
        <w:rPr>
          <w:b/>
          <w:bCs/>
          <w:color w:val="222222"/>
        </w:rPr>
        <w:t xml:space="preserve">8.1  </w:t>
      </w:r>
      <w:r>
        <w:rPr>
          <w:color w:val="222222"/>
        </w:rPr>
        <w:t xml:space="preserve">The Board shall meet in ordinary session not less than four (4) times per Financial Year.</w:t>
      </w:r>
    </w:p>
    <w:p>
      <w:pPr>
        <w:spacing w:after="140"/>
        <w:ind w:left="72"/>
      </w:pPr>
      <w:r>
        <w:rPr>
          <w:b/>
          <w:bCs/>
          <w:color w:val="222222"/>
        </w:rPr>
        <w:t xml:space="preserve">8.2  </w:t>
      </w:r>
      <w:r>
        <w:rPr>
          <w:color w:val="222222"/>
        </w:rPr>
        <w:t xml:space="preserve">Not less than seven (7) days' written notice, together with an agenda, shall be given for ordinary meetings; three (3) days' notice shall suffice for meetings convened as urgent by the Chairperson.</w:t>
      </w:r>
    </w:p>
    <w:p>
      <w:pPr>
        <w:spacing w:after="140"/>
        <w:ind w:left="72"/>
      </w:pPr>
      <w:r>
        <w:rPr>
          <w:b/>
          <w:bCs/>
          <w:color w:val="222222"/>
        </w:rPr>
        <w:t xml:space="preserve">8.3  </w:t>
      </w:r>
      <w:r>
        <w:rPr>
          <w:color w:val="222222"/>
        </w:rPr>
        <w:t xml:space="preserve">A quorum for any Board meeting shall be a simple majority of Trustees then in office.</w:t>
      </w:r>
    </w:p>
    <w:p>
      <w:pPr>
        <w:spacing w:after="140"/>
        <w:ind w:left="72"/>
      </w:pPr>
      <w:r>
        <w:rPr>
          <w:b/>
          <w:bCs/>
          <w:color w:val="222222"/>
        </w:rPr>
        <w:t xml:space="preserve">8.4  </w:t>
      </w:r>
      <w:r>
        <w:rPr>
          <w:color w:val="222222"/>
        </w:rPr>
        <w:t xml:space="preserve">Decisions shall be by simple majority of Trustees present and voting, save where this Constitution requires a special majority. The Chairperson shall have an original vote and, in the event of a tie, a casting vote.</w:t>
      </w:r>
    </w:p>
    <w:p>
      <w:pPr>
        <w:spacing w:after="140"/>
        <w:ind w:left="72"/>
      </w:pPr>
      <w:r>
        <w:rPr>
          <w:b/>
          <w:bCs/>
          <w:color w:val="222222"/>
        </w:rPr>
        <w:t xml:space="preserve">8.5  </w:t>
      </w:r>
      <w:r>
        <w:rPr>
          <w:color w:val="222222"/>
        </w:rPr>
        <w:t xml:space="preserve">Minutes of every meeting shall be recorded by the Secretary and confirmed at the following meeting.</w:t>
      </w:r>
    </w:p>
    <w:p>
      <w:pPr>
        <w:spacing w:after="140"/>
        <w:ind w:left="72"/>
      </w:pPr>
      <w:r>
        <w:rPr>
          <w:b/>
          <w:bCs/>
          <w:color w:val="222222"/>
        </w:rPr>
        <w:t xml:space="preserve">8.6  </w:t>
      </w:r>
      <w:r>
        <w:rPr>
          <w:color w:val="222222"/>
        </w:rPr>
        <w:t xml:space="preserve">Meetings may be held in person, by videoconference, or by other electronic means, and resolutions may be passed in writing signed (including by electronic signature) by all Trustees without a meeting being held.</w:t>
      </w:r>
    </w:p>
    <w:p>
      <w:pPr>
        <w:pStyle w:val="Heading1"/>
        <w:pageBreakBefore/>
        <w:pBdr>
          <w:bottom w:val="single" w:color="B8543E" w:sz="8" w:space="4"/>
        </w:pBdr>
        <w:spacing w:after="200" w:before="240"/>
      </w:pPr>
      <w:bookmarkStart w:name="article-9-the-executive-director-and-secretariat" w:id="1009"/>
      <w:r>
        <w:rPr>
          <w:b/>
          <w:bCs/>
          <w:color w:val="1E2761"/>
        </w:rPr>
        <w:t xml:space="preserve">Article 9: The Executive Director and Secretariat</w:t>
      </w:r>
      <w:bookmarkEnd w:id="1009"/>
    </w:p>
    <w:p>
      <w:pPr>
        <w:spacing w:after="140"/>
        <w:ind w:left="72"/>
      </w:pPr>
      <w:r>
        <w:rPr>
          <w:b/>
          <w:bCs/>
          <w:color w:val="222222"/>
        </w:rPr>
        <w:t xml:space="preserve">9.1  </w:t>
      </w:r>
      <w:r>
        <w:rPr>
          <w:color w:val="222222"/>
        </w:rPr>
        <w:t xml:space="preserve">The Board shall appoint an Executive Director who shall be the chief executive officer of the Foundation, responsible for its day-to-day management, implementation of Board decisions, and fundraising and partnership relationships.</w:t>
      </w:r>
    </w:p>
    <w:p>
      <w:pPr>
        <w:spacing w:after="140"/>
        <w:ind w:left="72"/>
      </w:pPr>
      <w:r>
        <w:rPr>
          <w:b/>
          <w:bCs/>
          <w:color w:val="222222"/>
        </w:rPr>
        <w:t xml:space="preserve">9.2  </w:t>
      </w:r>
      <w:r>
        <w:rPr>
          <w:color w:val="222222"/>
        </w:rPr>
        <w:t xml:space="preserve">The Executive Director shall attend Board meetings in an ex-officio, non-voting capacity unless the Board resolves otherwise, and shall submit periodic reports to the Board.</w:t>
      </w:r>
    </w:p>
    <w:p>
      <w:pPr>
        <w:spacing w:after="140"/>
        <w:ind w:left="72"/>
      </w:pPr>
      <w:r>
        <w:rPr>
          <w:b/>
          <w:bCs/>
          <w:color w:val="222222"/>
        </w:rPr>
        <w:t xml:space="preserve">9.3  </w:t>
      </w:r>
      <w:r>
        <w:rPr>
          <w:color w:val="222222"/>
        </w:rPr>
        <w:t xml:space="preserve">The Executive Director shall, subject to Board-approved structure and budget, appoint Program Directors for each Pillar and such other staff as the Foundation's operations require.</w:t>
      </w:r>
    </w:p>
    <w:p>
      <w:pPr>
        <w:spacing w:after="140"/>
        <w:ind w:left="72"/>
      </w:pPr>
      <w:r>
        <w:rPr>
          <w:b/>
          <w:bCs/>
          <w:color w:val="222222"/>
        </w:rPr>
        <w:t xml:space="preserve">9.4  </w:t>
      </w:r>
      <w:r>
        <w:rPr>
          <w:color w:val="222222"/>
        </w:rPr>
        <w:t xml:space="preserve">The Board may, by written resolution, delegate to the Executive Director such powers as it considers appropriate for the efficient administration of the Foundation, provided that the powers reserved to the Board under Article 7.5 may not be delegated.</w:t>
      </w:r>
    </w:p>
    <w:p>
      <w:pPr>
        <w:pStyle w:val="Heading1"/>
        <w:pageBreakBefore/>
        <w:pBdr>
          <w:bottom w:val="single" w:color="B8543E" w:sz="8" w:space="4"/>
        </w:pBdr>
        <w:spacing w:after="200" w:before="240"/>
      </w:pPr>
      <w:bookmarkStart w:name="article-10-the-advisory-council" w:id="1010"/>
      <w:r>
        <w:rPr>
          <w:b/>
          <w:bCs/>
          <w:color w:val="1E2761"/>
        </w:rPr>
        <w:t xml:space="preserve">Article 10: The Advisory Council</w:t>
      </w:r>
      <w:bookmarkEnd w:id="1010"/>
    </w:p>
    <w:p>
      <w:pPr>
        <w:spacing w:after="140"/>
        <w:ind w:left="72"/>
      </w:pPr>
      <w:r>
        <w:rPr>
          <w:b/>
          <w:bCs/>
          <w:color w:val="222222"/>
        </w:rPr>
        <w:t xml:space="preserve">10.1  </w:t>
      </w:r>
      <w:r>
        <w:rPr>
          <w:color w:val="222222"/>
        </w:rPr>
        <w:t xml:space="preserve">The Board may constitute an Advisory Council comprising persons of standing in the community, the diaspora, and relevant sectors, to provide strategic advice and support the Foundation's credibility and resource mobilization.</w:t>
      </w:r>
    </w:p>
    <w:p>
      <w:pPr>
        <w:spacing w:after="140"/>
        <w:ind w:left="72"/>
      </w:pPr>
      <w:r>
        <w:rPr>
          <w:b/>
          <w:bCs/>
          <w:color w:val="222222"/>
        </w:rPr>
        <w:t xml:space="preserve">10.2  </w:t>
      </w:r>
      <w:r>
        <w:rPr>
          <w:color w:val="222222"/>
        </w:rPr>
        <w:t xml:space="preserve">The Advisory Council shall be advisory only and shall have no governance or voting authority over the affairs of the Foundation.</w:t>
      </w:r>
    </w:p>
    <w:p>
      <w:pPr>
        <w:spacing w:after="140"/>
        <w:ind w:left="72"/>
      </w:pPr>
      <w:r>
        <w:rPr>
          <w:b/>
          <w:bCs/>
          <w:color w:val="222222"/>
        </w:rPr>
        <w:t xml:space="preserve">10.3  </w:t>
      </w:r>
      <w:r>
        <w:rPr>
          <w:color w:val="222222"/>
        </w:rPr>
        <w:t xml:space="preserve">The Advisory Council shall meet at least twice per Financial Year, or as the Board may determine.</w:t>
      </w:r>
    </w:p>
    <w:p>
      <w:pPr>
        <w:pStyle w:val="Heading1"/>
        <w:pageBreakBefore/>
        <w:pBdr>
          <w:bottom w:val="single" w:color="B8543E" w:sz="8" w:space="4"/>
        </w:pBdr>
        <w:spacing w:after="200" w:before="240"/>
      </w:pPr>
      <w:bookmarkStart w:name="article-11-committees" w:id="1011"/>
      <w:r>
        <w:rPr>
          <w:b/>
          <w:bCs/>
          <w:color w:val="1E2761"/>
        </w:rPr>
        <w:t xml:space="preserve">Article 11: Committees</w:t>
      </w:r>
      <w:bookmarkEnd w:id="1011"/>
    </w:p>
    <w:p>
      <w:pPr>
        <w:spacing w:after="140"/>
        <w:ind w:left="72"/>
      </w:pPr>
      <w:r>
        <w:rPr>
          <w:b/>
          <w:bCs/>
          <w:color w:val="222222"/>
        </w:rPr>
        <w:t xml:space="preserve">11.1  </w:t>
      </w:r>
      <w:r>
        <w:rPr>
          <w:color w:val="222222"/>
        </w:rPr>
        <w:t xml:space="preserve">The Board may establish standing or ad hoc committees, including but not limited to a Finance and Audit Committee, a Programs Committee, a Governance and Nominations Committee, and a Resource Mobilization Committee.</w:t>
      </w:r>
    </w:p>
    <w:p>
      <w:pPr>
        <w:spacing w:after="140"/>
        <w:ind w:left="72"/>
      </w:pPr>
      <w:r>
        <w:rPr>
          <w:b/>
          <w:bCs/>
          <w:color w:val="222222"/>
        </w:rPr>
        <w:t xml:space="preserve">11.2  </w:t>
      </w:r>
      <w:r>
        <w:rPr>
          <w:color w:val="222222"/>
        </w:rPr>
        <w:t xml:space="preserve">Each committee shall operate under written terms of reference approved by the Board and shall report to the Board at each ordinary meeting.</w:t>
      </w:r>
    </w:p>
    <w:p>
      <w:pPr>
        <w:spacing w:after="140"/>
        <w:ind w:left="72"/>
      </w:pPr>
      <w:r>
        <w:rPr>
          <w:b/>
          <w:bCs/>
          <w:color w:val="222222"/>
        </w:rPr>
        <w:t xml:space="preserve">11.3  </w:t>
      </w:r>
      <w:r>
        <w:rPr>
          <w:color w:val="222222"/>
        </w:rPr>
        <w:t xml:space="preserve">Committees may include persons who are not Trustees, provided the committee chairperson is a Trustee unless the Board resolves otherwise.</w:t>
      </w:r>
    </w:p>
    <w:p>
      <w:pPr>
        <w:pStyle w:val="Heading1"/>
        <w:pageBreakBefore/>
        <w:pBdr>
          <w:bottom w:val="single" w:color="B8543E" w:sz="8" w:space="4"/>
        </w:pBdr>
        <w:spacing w:after="200" w:before="240"/>
      </w:pPr>
      <w:bookmarkStart w:name="article-12-finances-and-property" w:id="1012"/>
      <w:r>
        <w:rPr>
          <w:b/>
          <w:bCs/>
          <w:color w:val="1E2761"/>
        </w:rPr>
        <w:t xml:space="preserve">Article 12: Finances and Property</w:t>
      </w:r>
      <w:bookmarkEnd w:id="1012"/>
    </w:p>
    <w:p>
      <w:pPr>
        <w:spacing w:after="140"/>
        <w:ind w:left="72"/>
      </w:pPr>
      <w:r>
        <w:rPr>
          <w:b/>
          <w:bCs/>
          <w:color w:val="222222"/>
        </w:rPr>
        <w:t xml:space="preserve">12.1  </w:t>
      </w:r>
      <w:r>
        <w:rPr>
          <w:color w:val="222222"/>
        </w:rPr>
        <w:t xml:space="preserve">Sources of Funds. The funds of the Foundation shall consist of donations, grants, corporate sponsorships, income from lawful activities consistent with its objects, and investment income.</w:t>
      </w:r>
    </w:p>
    <w:p>
      <w:pPr>
        <w:spacing w:after="140"/>
        <w:ind w:left="72"/>
      </w:pPr>
      <w:r>
        <w:rPr>
          <w:b/>
          <w:bCs/>
          <w:color w:val="222222"/>
        </w:rPr>
        <w:t xml:space="preserve">12.2  </w:t>
      </w:r>
      <w:r>
        <w:rPr>
          <w:color w:val="222222"/>
        </w:rPr>
        <w:t xml:space="preserve">Financial Year. The Financial Year of the Foundation shall run from 1 January to 31 December each year, or such other period as the Board may resolve, subject to applicable law.</w:t>
      </w:r>
    </w:p>
    <w:p>
      <w:pPr>
        <w:spacing w:after="140"/>
        <w:ind w:left="72"/>
      </w:pPr>
      <w:r>
        <w:rPr>
          <w:b/>
          <w:bCs/>
          <w:color w:val="222222"/>
        </w:rPr>
        <w:t xml:space="preserve">12.3  </w:t>
      </w:r>
      <w:r>
        <w:rPr>
          <w:color w:val="222222"/>
        </w:rPr>
        <w:t xml:space="preserve">Bank Accounts. The Foundation shall maintain bank account(s) in its name, operated by not fewer than two authorized signatories designated by the Board, at least one of whom shall be the Treasurer or Executive Director.</w:t>
      </w:r>
    </w:p>
    <w:p>
      <w:pPr>
        <w:spacing w:after="140"/>
        <w:ind w:left="72"/>
      </w:pPr>
      <w:r>
        <w:rPr>
          <w:b/>
          <w:bCs/>
          <w:color w:val="222222"/>
        </w:rPr>
        <w:t xml:space="preserve">12.4  </w:t>
      </w:r>
      <w:r>
        <w:rPr>
          <w:color w:val="222222"/>
        </w:rPr>
        <w:t xml:space="preserve">Books of Account. The Board shall ensure proper books of account are kept, recording all income, expenditure, assets, and liabilities of the Foundation.</w:t>
      </w:r>
    </w:p>
    <w:p>
      <w:pPr>
        <w:spacing w:after="140"/>
        <w:ind w:left="72"/>
      </w:pPr>
      <w:r>
        <w:rPr>
          <w:b/>
          <w:bCs/>
          <w:color w:val="222222"/>
        </w:rPr>
        <w:t xml:space="preserve">12.5  </w:t>
      </w:r>
      <w:r>
        <w:rPr>
          <w:color w:val="222222"/>
        </w:rPr>
        <w:t xml:space="preserve">Audit. The accounts of the Foundation shall be audited annually by an independent qualified auditor appointed by the Board, and the audited financial statements shall be presented to the Board and, where applicable, to the Annual General Meeting.</w:t>
      </w:r>
    </w:p>
    <w:p>
      <w:pPr>
        <w:spacing w:after="140"/>
        <w:ind w:left="72"/>
      </w:pPr>
      <w:r>
        <w:rPr>
          <w:b/>
          <w:bCs/>
          <w:color w:val="222222"/>
        </w:rPr>
        <w:t xml:space="preserve">12.6  </w:t>
      </w:r>
      <w:r>
        <w:rPr>
          <w:color w:val="222222"/>
        </w:rPr>
        <w:t xml:space="preserve">Investment. Surplus funds not immediately required may be invested by the Board in a prudent manner consistent with the Foundation's risk policy, and not for speculative purposes.</w:t>
      </w:r>
    </w:p>
    <w:p>
      <w:pPr>
        <w:spacing w:after="140"/>
        <w:ind w:left="72"/>
      </w:pPr>
      <w:r>
        <w:rPr>
          <w:b/>
          <w:bCs/>
          <w:color w:val="222222"/>
        </w:rPr>
        <w:t xml:space="preserve">12.7  </w:t>
      </w:r>
      <w:r>
        <w:rPr>
          <w:color w:val="222222"/>
        </w:rPr>
        <w:t xml:space="preserve">Restriction. No funds or property of the Foundation shall be applied for any purpose other than the objects set out in Article 3, save for reasonable administrative costs and remuneration as permitted under Article 4.2.</w:t>
      </w:r>
    </w:p>
    <w:p>
      <w:pPr>
        <w:pStyle w:val="Heading1"/>
        <w:pageBreakBefore/>
        <w:pBdr>
          <w:bottom w:val="single" w:color="B8543E" w:sz="8" w:space="4"/>
        </w:pBdr>
        <w:spacing w:after="200" w:before="240"/>
      </w:pPr>
      <w:bookmarkStart w:name="article-13-annual-general-meeting" w:id="1013"/>
      <w:r>
        <w:rPr>
          <w:b/>
          <w:bCs/>
          <w:color w:val="1E2761"/>
        </w:rPr>
        <w:t xml:space="preserve">Article 13: Annual General Meeting</w:t>
      </w:r>
      <w:bookmarkEnd w:id="1013"/>
    </w:p>
    <w:p>
      <w:pPr>
        <w:spacing w:after="140"/>
        <w:ind w:left="72"/>
      </w:pPr>
      <w:r>
        <w:rPr>
          <w:b/>
          <w:bCs/>
          <w:color w:val="222222"/>
        </w:rPr>
        <w:t xml:space="preserve">13.1  </w:t>
      </w:r>
      <w:r>
        <w:rPr>
          <w:color w:val="222222"/>
        </w:rPr>
        <w:t xml:space="preserve">Where a membership structure is in effect under Article 5, an Annual General Meeting ("AGM") of Members shall be held not later than six (6) months after the end of each Financial Year.</w:t>
      </w:r>
    </w:p>
    <w:p>
      <w:pPr>
        <w:spacing w:after="140"/>
        <w:ind w:left="72"/>
      </w:pPr>
      <w:r>
        <w:rPr>
          <w:b/>
          <w:bCs/>
          <w:color w:val="222222"/>
        </w:rPr>
        <w:t xml:space="preserve">13.2  </w:t>
      </w:r>
      <w:r>
        <w:rPr>
          <w:color w:val="222222"/>
        </w:rPr>
        <w:t xml:space="preserve">The business of the AGM shall include: receiving the annual report and audited financial statements; ratifying the appointment of auditors; and any other business of which notice has been given.</w:t>
      </w:r>
    </w:p>
    <w:p>
      <w:pPr>
        <w:spacing w:after="140"/>
        <w:ind w:left="72"/>
      </w:pPr>
      <w:r>
        <w:rPr>
          <w:b/>
          <w:bCs/>
          <w:color w:val="222222"/>
        </w:rPr>
        <w:t xml:space="preserve">13.3  </w:t>
      </w:r>
      <w:r>
        <w:rPr>
          <w:color w:val="222222"/>
        </w:rPr>
        <w:t xml:space="preserve">Not less than fourteen (14) days' written notice of the AGM shall be given to Members. A quorum shall be one-third of Members entitled to vote, or as otherwise prescribed by the Board.</w:t>
      </w:r>
    </w:p>
    <w:p>
      <w:pPr>
        <w:spacing w:after="140"/>
        <w:ind w:left="72"/>
      </w:pPr>
      <w:r>
        <w:rPr>
          <w:b/>
          <w:bCs/>
          <w:color w:val="222222"/>
        </w:rPr>
        <w:t xml:space="preserve">13.4  </w:t>
      </w:r>
      <w:r>
        <w:rPr>
          <w:color w:val="222222"/>
        </w:rPr>
        <w:t xml:space="preserve">An Extraordinary General Meeting may be convened by the Board, or on the written request of not less than one-third of Members, to transact urgent business.</w:t>
      </w:r>
    </w:p>
    <w:p>
      <w:pPr>
        <w:pStyle w:val="Heading1"/>
        <w:pageBreakBefore/>
        <w:pBdr>
          <w:bottom w:val="single" w:color="B8543E" w:sz="8" w:space="4"/>
        </w:pBdr>
        <w:spacing w:after="200" w:before="240"/>
      </w:pPr>
      <w:bookmarkStart w:name="article-14-conflict-of-interest" w:id="1014"/>
      <w:r>
        <w:rPr>
          <w:b/>
          <w:bCs/>
          <w:color w:val="1E2761"/>
        </w:rPr>
        <w:t xml:space="preserve">Article 14: Conflict of Interest</w:t>
      </w:r>
      <w:bookmarkEnd w:id="1014"/>
    </w:p>
    <w:p>
      <w:pPr>
        <w:spacing w:after="140"/>
        <w:ind w:left="72"/>
      </w:pPr>
      <w:r>
        <w:rPr>
          <w:b/>
          <w:bCs/>
          <w:color w:val="222222"/>
        </w:rPr>
        <w:t xml:space="preserve">14.1  </w:t>
      </w:r>
      <w:r>
        <w:rPr>
          <w:color w:val="222222"/>
        </w:rPr>
        <w:t xml:space="preserve">A Trustee, officer, or staff member with a direct or indirect personal or financial interest in any matter before the Board shall disclose that interest as soon as it becomes known and shall not participate in the discussion or vote on that matter, save to provide information if requested.</w:t>
      </w:r>
    </w:p>
    <w:p>
      <w:pPr>
        <w:spacing w:after="140"/>
        <w:ind w:left="72"/>
      </w:pPr>
      <w:r>
        <w:rPr>
          <w:b/>
          <w:bCs/>
          <w:color w:val="222222"/>
        </w:rPr>
        <w:t xml:space="preserve">14.2  </w:t>
      </w:r>
      <w:r>
        <w:rPr>
          <w:color w:val="222222"/>
        </w:rPr>
        <w:t xml:space="preserve">The Foundation shall maintain a Register of Interests recording all disclosures made under this Article.</w:t>
      </w:r>
    </w:p>
    <w:p>
      <w:pPr>
        <w:spacing w:after="140"/>
        <w:ind w:left="72"/>
      </w:pPr>
      <w:r>
        <w:rPr>
          <w:b/>
          <w:bCs/>
          <w:color w:val="222222"/>
        </w:rPr>
        <w:t xml:space="preserve">14.3  </w:t>
      </w:r>
      <w:r>
        <w:rPr>
          <w:color w:val="222222"/>
        </w:rPr>
        <w:t xml:space="preserve">Failure to disclose a material conflict of interest shall be a ground for removal under Article 7.6.</w:t>
      </w:r>
    </w:p>
    <w:p>
      <w:pPr>
        <w:pStyle w:val="Heading1"/>
        <w:pageBreakBefore/>
        <w:pBdr>
          <w:bottom w:val="single" w:color="B8543E" w:sz="8" w:space="4"/>
        </w:pBdr>
        <w:spacing w:after="200" w:before="240"/>
      </w:pPr>
      <w:bookmarkStart w:name="article-15-code-of-conduct-and-safeguarding" w:id="1015"/>
      <w:r>
        <w:rPr>
          <w:b/>
          <w:bCs/>
          <w:color w:val="1E2761"/>
        </w:rPr>
        <w:t xml:space="preserve">Article 15: Code of Conduct and Safeguarding</w:t>
      </w:r>
      <w:bookmarkEnd w:id="1015"/>
    </w:p>
    <w:p>
      <w:pPr>
        <w:spacing w:after="140"/>
        <w:ind w:left="72"/>
      </w:pPr>
      <w:r>
        <w:rPr>
          <w:b/>
          <w:bCs/>
          <w:color w:val="222222"/>
        </w:rPr>
        <w:t xml:space="preserve">15.1  </w:t>
      </w:r>
      <w:r>
        <w:rPr>
          <w:color w:val="222222"/>
        </w:rPr>
        <w:t xml:space="preserve">All Trustees, staff, volunteers, and representatives of the Foundation shall act with honesty, integrity, and professionalism, and shall avoid any conduct that may bring the Foundation into disrepute.</w:t>
      </w:r>
    </w:p>
    <w:p>
      <w:pPr>
        <w:spacing w:after="140"/>
        <w:ind w:left="72"/>
      </w:pPr>
      <w:r>
        <w:rPr>
          <w:b/>
          <w:bCs/>
          <w:color w:val="222222"/>
        </w:rPr>
        <w:t xml:space="preserve">15.2  </w:t>
      </w:r>
      <w:r>
        <w:rPr>
          <w:color w:val="222222"/>
        </w:rPr>
        <w:t xml:space="preserve">The Foundation shall maintain a zero-tolerance policy toward corruption, fraud, bribery, and misappropriation of funds, and shall adopt an anti-fraud and anti-corruption policy approved by the Board.</w:t>
      </w:r>
    </w:p>
    <w:p>
      <w:pPr>
        <w:spacing w:after="140"/>
        <w:ind w:left="72"/>
      </w:pPr>
      <w:r>
        <w:rPr>
          <w:b/>
          <w:bCs/>
          <w:color w:val="222222"/>
        </w:rPr>
        <w:t xml:space="preserve">15.3  </w:t>
      </w:r>
      <w:r>
        <w:rPr>
          <w:color w:val="222222"/>
        </w:rPr>
        <w:t xml:space="preserve">The Foundation shall adopt and enforce a safeguarding policy for the protection of children and vulnerable persons in all its programs, consistent with applicable Ugandan law and international best practice.</w:t>
      </w:r>
    </w:p>
    <w:p>
      <w:pPr>
        <w:spacing w:after="140"/>
        <w:ind w:left="72"/>
      </w:pPr>
      <w:r>
        <w:rPr>
          <w:b/>
          <w:bCs/>
          <w:color w:val="222222"/>
        </w:rPr>
        <w:t xml:space="preserve">15.4  </w:t>
      </w:r>
      <w:r>
        <w:rPr>
          <w:color w:val="222222"/>
        </w:rPr>
        <w:t xml:space="preserve">The Foundation shall adopt a whistleblower policy protecting any person who, in good faith, reports suspected misconduct from retaliation.</w:t>
      </w:r>
    </w:p>
    <w:p>
      <w:pPr>
        <w:pStyle w:val="Heading1"/>
        <w:pageBreakBefore/>
        <w:pBdr>
          <w:bottom w:val="single" w:color="B8543E" w:sz="8" w:space="4"/>
        </w:pBdr>
        <w:spacing w:after="200" w:before="240"/>
      </w:pPr>
      <w:bookmarkStart w:name="article-16-amendment-of-the-constitution" w:id="1016"/>
      <w:r>
        <w:rPr>
          <w:b/>
          <w:bCs/>
          <w:color w:val="1E2761"/>
        </w:rPr>
        <w:t xml:space="preserve">Article 16: Amendment of the Constitution</w:t>
      </w:r>
      <w:bookmarkEnd w:id="1016"/>
    </w:p>
    <w:p>
      <w:pPr>
        <w:spacing w:after="140"/>
        <w:ind w:left="72"/>
      </w:pPr>
      <w:r>
        <w:rPr>
          <w:b/>
          <w:bCs/>
          <w:color w:val="222222"/>
        </w:rPr>
        <w:t xml:space="preserve">16.1  </w:t>
      </w:r>
      <w:r>
        <w:rPr>
          <w:color w:val="222222"/>
        </w:rPr>
        <w:t xml:space="preserve">This Constitution may be amended by a resolution passed by not less than two-thirds of the Trustees present and voting at a Board meeting convened for that purpose, of which not less than fourteen (14) days' written notice specifying the proposed amendment has been given.</w:t>
      </w:r>
    </w:p>
    <w:p>
      <w:pPr>
        <w:spacing w:after="140"/>
        <w:ind w:left="72"/>
      </w:pPr>
      <w:r>
        <w:rPr>
          <w:b/>
          <w:bCs/>
          <w:color w:val="222222"/>
        </w:rPr>
        <w:t xml:space="preserve">16.2  </w:t>
      </w:r>
      <w:r>
        <w:rPr>
          <w:color w:val="222222"/>
        </w:rPr>
        <w:t xml:space="preserve">No amendment shall be made to Article 3 (Objects), Article 4.2 (Non-Distribution), or Article 17 (Dissolution) that would be inconsistent with the Foundation's non-profit character, save with the prior approval of the Board by unanimous resolution and, where required, the relevant regulatory authority.</w:t>
      </w:r>
    </w:p>
    <w:p>
      <w:pPr>
        <w:pStyle w:val="Heading1"/>
        <w:pageBreakBefore/>
        <w:pBdr>
          <w:bottom w:val="single" w:color="B8543E" w:sz="8" w:space="4"/>
        </w:pBdr>
        <w:spacing w:after="200" w:before="240"/>
      </w:pPr>
      <w:bookmarkStart w:name="article-17-dissolution" w:id="1017"/>
      <w:r>
        <w:rPr>
          <w:b/>
          <w:bCs/>
          <w:color w:val="1E2761"/>
        </w:rPr>
        <w:t xml:space="preserve">Article 17: Dissolution</w:t>
      </w:r>
      <w:bookmarkEnd w:id="1017"/>
    </w:p>
    <w:p>
      <w:pPr>
        <w:spacing w:after="140"/>
        <w:ind w:left="72"/>
      </w:pPr>
      <w:r>
        <w:rPr>
          <w:b/>
          <w:bCs/>
          <w:color w:val="222222"/>
        </w:rPr>
        <w:t xml:space="preserve">17.1  </w:t>
      </w:r>
      <w:r>
        <w:rPr>
          <w:color w:val="222222"/>
        </w:rPr>
        <w:t xml:space="preserve">The Foundation may be dissolved by a resolution passed by not less than two-thirds of the Trustees present and voting at a meeting convened specifically for that purpose, of which not less than thirty (30) days' written notice has been given.</w:t>
      </w:r>
    </w:p>
    <w:p>
      <w:pPr>
        <w:spacing w:after="140"/>
        <w:ind w:left="72"/>
      </w:pPr>
      <w:r>
        <w:rPr>
          <w:b/>
          <w:bCs/>
          <w:color w:val="222222"/>
        </w:rPr>
        <w:t xml:space="preserve">17.2  </w:t>
      </w:r>
      <w:r>
        <w:rPr>
          <w:color w:val="222222"/>
        </w:rPr>
        <w:t xml:space="preserve">Upon dissolution, the Board shall settle all debts and liabilities of the Foundation, and any remaining assets shall not be distributed to any Trustee, Member, or officer, but shall be transferred to one or more other organizations in Uganda with objects similar to those of the Foundation, as the Board shall determine, or failing such determination, as a court of competent jurisdiction may direct.</w:t>
      </w:r>
    </w:p>
    <w:p>
      <w:pPr>
        <w:pStyle w:val="Heading1"/>
        <w:pageBreakBefore/>
        <w:pBdr>
          <w:bottom w:val="single" w:color="B8543E" w:sz="8" w:space="4"/>
        </w:pBdr>
        <w:spacing w:after="200" w:before="240"/>
      </w:pPr>
      <w:bookmarkStart w:name="article-18-dispute-resolution" w:id="1018"/>
      <w:r>
        <w:rPr>
          <w:b/>
          <w:bCs/>
          <w:color w:val="1E2761"/>
        </w:rPr>
        <w:t xml:space="preserve">Article 18: Dispute Resolution</w:t>
      </w:r>
      <w:bookmarkEnd w:id="1018"/>
    </w:p>
    <w:p>
      <w:pPr>
        <w:spacing w:after="140"/>
        <w:ind w:left="72"/>
      </w:pPr>
      <w:r>
        <w:rPr>
          <w:b/>
          <w:bCs/>
          <w:color w:val="222222"/>
        </w:rPr>
        <w:t xml:space="preserve">18.1  </w:t>
      </w:r>
      <w:r>
        <w:rPr>
          <w:color w:val="222222"/>
        </w:rPr>
        <w:t xml:space="preserve">Any dispute arising among Trustees, Members, or officers concerning the affairs of the Foundation shall in the first instance be referred to the Board for internal resolution.</w:t>
      </w:r>
    </w:p>
    <w:p>
      <w:pPr>
        <w:spacing w:after="140"/>
        <w:ind w:left="72"/>
      </w:pPr>
      <w:r>
        <w:rPr>
          <w:b/>
          <w:bCs/>
          <w:color w:val="222222"/>
        </w:rPr>
        <w:t xml:space="preserve">18.2  </w:t>
      </w:r>
      <w:r>
        <w:rPr>
          <w:color w:val="222222"/>
        </w:rPr>
        <w:t xml:space="preserve">If unresolved within sixty (60) days, the dispute shall be referred to mediation, and failing settlement, to arbitration in Kampala, Uganda, in accordance with the Arbitration and Conciliation Act of Uganda, before resort to the courts.</w:t>
      </w:r>
    </w:p>
    <w:p>
      <w:pPr>
        <w:pStyle w:val="Heading1"/>
        <w:pageBreakBefore/>
        <w:pBdr>
          <w:bottom w:val="single" w:color="B8543E" w:sz="8" w:space="4"/>
        </w:pBdr>
        <w:spacing w:after="200" w:before="240"/>
      </w:pPr>
      <w:bookmarkStart w:name="article-19-indemnification-and-liability" w:id="1019"/>
      <w:r>
        <w:rPr>
          <w:b/>
          <w:bCs/>
          <w:color w:val="1E2761"/>
        </w:rPr>
        <w:t xml:space="preserve">Article 19: Indemnification and Liability</w:t>
      </w:r>
      <w:bookmarkEnd w:id="1019"/>
    </w:p>
    <w:p>
      <w:pPr>
        <w:spacing w:after="140"/>
        <w:ind w:left="72"/>
      </w:pPr>
      <w:r>
        <w:rPr>
          <w:b/>
          <w:bCs/>
          <w:color w:val="222222"/>
        </w:rPr>
        <w:t xml:space="preserve">19.1  </w:t>
      </w:r>
      <w:r>
        <w:rPr>
          <w:color w:val="222222"/>
        </w:rPr>
        <w:t xml:space="preserve">No Trustee, officer, or staff member shall be personally liable for any debt, loss, or obligation of the Foundation incurred while acting in good faith and within the scope of their authority.</w:t>
      </w:r>
    </w:p>
    <w:p>
      <w:pPr>
        <w:spacing w:after="140"/>
        <w:ind w:left="72"/>
      </w:pPr>
      <w:r>
        <w:rPr>
          <w:b/>
          <w:bCs/>
          <w:color w:val="222222"/>
        </w:rPr>
        <w:t xml:space="preserve">19.2  </w:t>
      </w:r>
      <w:r>
        <w:rPr>
          <w:color w:val="222222"/>
        </w:rPr>
        <w:t xml:space="preserve">The Foundation may, subject to Board approval and applicable law, indemnify its Trustees and officers against liabilities properly incurred in the good-faith execution of their duties, and may procure appropriate insurance for this purpose.</w:t>
      </w:r>
    </w:p>
    <w:p>
      <w:pPr>
        <w:pStyle w:val="Heading1"/>
        <w:pageBreakBefore/>
        <w:pBdr>
          <w:bottom w:val="single" w:color="B8543E" w:sz="8" w:space="4"/>
        </w:pBdr>
        <w:spacing w:after="200" w:before="240"/>
      </w:pPr>
      <w:bookmarkStart w:name="article-20-miscellaneous" w:id="1020"/>
      <w:r>
        <w:rPr>
          <w:b/>
          <w:bCs/>
          <w:color w:val="1E2761"/>
        </w:rPr>
        <w:t xml:space="preserve">Article 20: Miscellaneous</w:t>
      </w:r>
      <w:bookmarkEnd w:id="1020"/>
    </w:p>
    <w:p>
      <w:pPr>
        <w:spacing w:after="140"/>
        <w:ind w:left="72"/>
      </w:pPr>
      <w:r>
        <w:rPr>
          <w:b/>
          <w:bCs/>
          <w:color w:val="222222"/>
        </w:rPr>
        <w:t xml:space="preserve">20.1  </w:t>
      </w:r>
      <w:r>
        <w:rPr>
          <w:color w:val="222222"/>
        </w:rPr>
        <w:t xml:space="preserve">Common Seal. The Foundation may adopt a common seal, which shall be kept in the custody of the Executive Director and affixed to documents only pursuant to a resolution of the Board.</w:t>
      </w:r>
    </w:p>
    <w:p>
      <w:pPr>
        <w:spacing w:after="140"/>
        <w:ind w:left="72"/>
      </w:pPr>
      <w:r>
        <w:rPr>
          <w:b/>
          <w:bCs/>
          <w:color w:val="222222"/>
        </w:rPr>
        <w:t xml:space="preserve">20.2  </w:t>
      </w:r>
      <w:r>
        <w:rPr>
          <w:color w:val="222222"/>
        </w:rPr>
        <w:t xml:space="preserve">Language. This Constitution is written in English, which shall be the official working language of the Foundation.</w:t>
      </w:r>
    </w:p>
    <w:p>
      <w:pPr>
        <w:spacing w:after="140"/>
        <w:ind w:left="72"/>
      </w:pPr>
      <w:r>
        <w:rPr>
          <w:b/>
          <w:bCs/>
          <w:color w:val="222222"/>
        </w:rPr>
        <w:t xml:space="preserve">20.3  </w:t>
      </w:r>
      <w:r>
        <w:rPr>
          <w:color w:val="222222"/>
        </w:rPr>
        <w:t xml:space="preserve">Governing Law. This Constitution shall be governed by and construed in accordance with the laws of the Republic of Uganda.</w:t>
      </w:r>
    </w:p>
    <w:p>
      <w:pPr>
        <w:spacing w:after="140"/>
        <w:ind w:left="72"/>
      </w:pPr>
      <w:r>
        <w:rPr>
          <w:b/>
          <w:bCs/>
          <w:color w:val="222222"/>
        </w:rPr>
        <w:t xml:space="preserve">20.4  </w:t>
      </w:r>
      <w:r>
        <w:rPr>
          <w:color w:val="222222"/>
        </w:rPr>
        <w:t xml:space="preserve">Severability. If any provision of this Constitution is held invalid or unenforceable, the remaining provisions shall continue in full force and effect.</w:t>
      </w:r>
    </w:p>
    <w:p>
      <w:pPr>
        <w:spacing w:after="140"/>
        <w:ind w:left="72"/>
      </w:pPr>
      <w:r>
        <w:rPr>
          <w:b/>
          <w:bCs/>
          <w:color w:val="222222"/>
        </w:rPr>
        <w:t xml:space="preserve">20.5  </w:t>
      </w:r>
      <w:r>
        <w:rPr>
          <w:color w:val="222222"/>
        </w:rPr>
        <w:t xml:space="preserve">Effective Date. This Constitution shall take effect on the date of its adoption by the Founding Trustees, as recorded in the Certificate of Adoption at Schedule 2.</w:t>
      </w:r>
    </w:p>
    <w:p>
      <w:pPr>
        <w:pStyle w:val="Heading1"/>
        <w:pageBreakBefore/>
        <w:pBdr>
          <w:bottom w:val="single" w:color="B8543E" w:sz="8" w:space="4"/>
        </w:pBdr>
        <w:spacing w:after="200" w:before="240"/>
      </w:pPr>
      <w:bookmarkStart w:name="schedule-1-founding-trustees" w:id="1021"/>
      <w:r>
        <w:rPr>
          <w:b/>
          <w:bCs/>
          <w:color w:val="1E2761"/>
        </w:rPr>
        <w:t xml:space="preserve">Schedule 1: Founding Trustees</w:t>
      </w:r>
      <w:bookmarkEnd w:id="1021"/>
    </w:p>
    <w:p>
      <w:pPr>
        <w:spacing w:after="140"/>
      </w:pPr>
      <w:r>
        <w:rPr>
          <w:b w:val="false"/>
          <w:bCs w:val="false"/>
          <w:i w:val="false"/>
          <w:iCs w:val="false"/>
          <w:color w:val="222222"/>
        </w:rPr>
        <w:t xml:space="preserve">The following persons are recorded as the Founding Trustees of The Jopetnah Foundation as at the date of adoption of this Constitution: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116"/>
            <w:shd w:fill="1E2761" w:val="clear"/>
            <w:vAlign w:val="center"/>
          </w:tcPr>
          <w:p>
            <w:r>
              <w:rPr>
                <w:b/>
                <w:bCs/>
                <w:color w:val="FFFFFF"/>
              </w:rPr>
              <w:t xml:space="preserve">Name</w:t>
            </w:r>
          </w:p>
        </w:tc>
        <w:tc>
          <w:tcPr>
            <w:tcW w:type="dxa" w:w="3116"/>
            <w:shd w:fill="1E2761" w:val="clear"/>
            <w:vAlign w:val="center"/>
          </w:tcPr>
          <w:p>
            <w:r>
              <w:rPr>
                <w:b/>
                <w:bCs/>
                <w:color w:val="FFFFFF"/>
              </w:rPr>
              <w:t xml:space="preserve">Position on Board</w:t>
            </w:r>
          </w:p>
        </w:tc>
        <w:tc>
          <w:tcPr>
            <w:tcW w:type="dxa" w:w="3116"/>
            <w:shd w:fill="1E2761" w:val="clear"/>
            <w:vAlign w:val="center"/>
          </w:tcPr>
          <w:p>
            <w:r>
              <w:rPr>
                <w:b/>
                <w:bCs/>
                <w:color w:val="FFFFFF"/>
              </w:rPr>
              <w:t xml:space="preserve">Signature</w:t>
            </w:r>
          </w:p>
        </w:tc>
      </w:tr>
      <w:tr>
        <w:tc>
          <w:tcPr>
            <w:tcW w:type="dxa" w:w="3116"/>
          </w:tcPr>
          <w:p>
            <w:pPr>
              <w:spacing w:after="200" w:before="200"/>
            </w:pPr>
            <w:r>
              <w:t xml:space="preserve"> </w:t>
            </w:r>
          </w:p>
        </w:tc>
        <w:tc>
          <w:tcPr>
            <w:tcW w:type="dxa" w:w="3116"/>
          </w:tcPr>
          <w:p>
            <w:pPr>
              <w:spacing w:after="200" w:before="200"/>
            </w:pPr>
            <w:r>
              <w:t xml:space="preserve"> </w:t>
            </w:r>
          </w:p>
        </w:tc>
        <w:tc>
          <w:tcPr>
            <w:tcW w:type="dxa" w:w="3116"/>
          </w:tcPr>
          <w:p>
            <w:pPr>
              <w:spacing w:after="200" w:before="200"/>
            </w:pPr>
            <w:r>
              <w:t xml:space="preserve"> </w:t>
            </w:r>
          </w:p>
        </w:tc>
      </w:tr>
      <w:tr>
        <w:tc>
          <w:tcPr>
            <w:tcW w:type="dxa" w:w="3116"/>
          </w:tcPr>
          <w:p>
            <w:pPr>
              <w:spacing w:after="200" w:before="200"/>
            </w:pPr>
            <w:r>
              <w:t xml:space="preserve"> </w:t>
            </w:r>
          </w:p>
        </w:tc>
        <w:tc>
          <w:tcPr>
            <w:tcW w:type="dxa" w:w="3116"/>
          </w:tcPr>
          <w:p>
            <w:pPr>
              <w:spacing w:after="200" w:before="200"/>
            </w:pPr>
            <w:r>
              <w:t xml:space="preserve"> </w:t>
            </w:r>
          </w:p>
        </w:tc>
        <w:tc>
          <w:tcPr>
            <w:tcW w:type="dxa" w:w="3116"/>
          </w:tcPr>
          <w:p>
            <w:pPr>
              <w:spacing w:after="200" w:before="200"/>
            </w:pPr>
            <w:r>
              <w:t xml:space="preserve"> </w:t>
            </w:r>
          </w:p>
        </w:tc>
      </w:tr>
      <w:tr>
        <w:tc>
          <w:tcPr>
            <w:tcW w:type="dxa" w:w="3116"/>
          </w:tcPr>
          <w:p>
            <w:pPr>
              <w:spacing w:after="200" w:before="200"/>
            </w:pPr>
            <w:r>
              <w:t xml:space="preserve"> </w:t>
            </w:r>
          </w:p>
        </w:tc>
        <w:tc>
          <w:tcPr>
            <w:tcW w:type="dxa" w:w="3116"/>
          </w:tcPr>
          <w:p>
            <w:pPr>
              <w:spacing w:after="200" w:before="200"/>
            </w:pPr>
            <w:r>
              <w:t xml:space="preserve"> </w:t>
            </w:r>
          </w:p>
        </w:tc>
        <w:tc>
          <w:tcPr>
            <w:tcW w:type="dxa" w:w="3116"/>
          </w:tcPr>
          <w:p>
            <w:pPr>
              <w:spacing w:after="200" w:before="200"/>
            </w:pPr>
            <w:r>
              <w:t xml:space="preserve"> </w:t>
            </w:r>
          </w:p>
        </w:tc>
      </w:tr>
      <w:tr>
        <w:tc>
          <w:tcPr>
            <w:tcW w:type="dxa" w:w="3116"/>
          </w:tcPr>
          <w:p>
            <w:pPr>
              <w:spacing w:after="200" w:before="200"/>
            </w:pPr>
            <w:r>
              <w:t xml:space="preserve"> </w:t>
            </w:r>
          </w:p>
        </w:tc>
        <w:tc>
          <w:tcPr>
            <w:tcW w:type="dxa" w:w="3116"/>
          </w:tcPr>
          <w:p>
            <w:pPr>
              <w:spacing w:after="200" w:before="200"/>
            </w:pPr>
            <w:r>
              <w:t xml:space="preserve"> </w:t>
            </w:r>
          </w:p>
        </w:tc>
        <w:tc>
          <w:tcPr>
            <w:tcW w:type="dxa" w:w="3116"/>
          </w:tcPr>
          <w:p>
            <w:pPr>
              <w:spacing w:after="200" w:before="200"/>
            </w:pPr>
            <w:r>
              <w:t xml:space="preserve"> </w:t>
            </w:r>
          </w:p>
        </w:tc>
      </w:tr>
      <w:tr>
        <w:tc>
          <w:tcPr>
            <w:tcW w:type="dxa" w:w="3116"/>
          </w:tcPr>
          <w:p>
            <w:pPr>
              <w:spacing w:after="200" w:before="200"/>
            </w:pPr>
            <w:r>
              <w:t xml:space="preserve"> </w:t>
            </w:r>
          </w:p>
        </w:tc>
        <w:tc>
          <w:tcPr>
            <w:tcW w:type="dxa" w:w="3116"/>
          </w:tcPr>
          <w:p>
            <w:pPr>
              <w:spacing w:after="200" w:before="200"/>
            </w:pPr>
            <w:r>
              <w:t xml:space="preserve"> </w:t>
            </w:r>
          </w:p>
        </w:tc>
        <w:tc>
          <w:tcPr>
            <w:tcW w:type="dxa" w:w="3116"/>
          </w:tcPr>
          <w:p>
            <w:pPr>
              <w:spacing w:after="200" w:before="200"/>
            </w:pPr>
            <w:r>
              <w:t xml:space="preserve"> </w:t>
            </w:r>
          </w:p>
        </w:tc>
      </w:tr>
      <w:tr>
        <w:tc>
          <w:tcPr>
            <w:tcW w:type="dxa" w:w="3116"/>
          </w:tcPr>
          <w:p>
            <w:pPr>
              <w:spacing w:after="200" w:before="200"/>
            </w:pPr>
            <w:r>
              <w:t xml:space="preserve"> </w:t>
            </w:r>
          </w:p>
        </w:tc>
        <w:tc>
          <w:tcPr>
            <w:tcW w:type="dxa" w:w="3116"/>
          </w:tcPr>
          <w:p>
            <w:pPr>
              <w:spacing w:after="200" w:before="200"/>
            </w:pPr>
            <w:r>
              <w:t xml:space="preserve"> </w:t>
            </w:r>
          </w:p>
        </w:tc>
        <w:tc>
          <w:tcPr>
            <w:tcW w:type="dxa" w:w="3116"/>
          </w:tcPr>
          <w:p>
            <w:pPr>
              <w:spacing w:after="200" w:before="200"/>
            </w:pPr>
            <w:r>
              <w:t xml:space="preserve"> </w:t>
            </w:r>
          </w:p>
        </w:tc>
      </w:tr>
      <w:tr>
        <w:tc>
          <w:tcPr>
            <w:tcW w:type="dxa" w:w="3116"/>
          </w:tcPr>
          <w:p>
            <w:pPr>
              <w:spacing w:after="200" w:before="200"/>
            </w:pPr>
            <w:r>
              <w:t xml:space="preserve"> </w:t>
            </w:r>
          </w:p>
        </w:tc>
        <w:tc>
          <w:tcPr>
            <w:tcW w:type="dxa" w:w="3116"/>
          </w:tcPr>
          <w:p>
            <w:pPr>
              <w:spacing w:after="200" w:before="200"/>
            </w:pPr>
            <w:r>
              <w:t xml:space="preserve"> </w:t>
            </w:r>
          </w:p>
        </w:tc>
        <w:tc>
          <w:tcPr>
            <w:tcW w:type="dxa" w:w="3116"/>
          </w:tcPr>
          <w:p>
            <w:pPr>
              <w:spacing w:after="200" w:before="200"/>
            </w:pPr>
            <w:r>
              <w:t xml:space="preserve"> </w:t>
            </w:r>
          </w:p>
        </w:tc>
      </w:tr>
    </w:tbl>
    <w:p>
      <w:pPr>
        <w:pStyle w:val="Heading1"/>
        <w:pageBreakBefore/>
        <w:pBdr>
          <w:bottom w:val="single" w:color="B8543E" w:sz="8" w:space="4"/>
        </w:pBdr>
        <w:spacing w:after="200" w:before="240"/>
      </w:pPr>
      <w:bookmarkStart w:name="schedule-2-certificate-of-adoption" w:id="1022"/>
      <w:r>
        <w:rPr>
          <w:b/>
          <w:bCs/>
          <w:color w:val="1E2761"/>
        </w:rPr>
        <w:t xml:space="preserve">Schedule 2: Certificate of Adoption</w:t>
      </w:r>
      <w:bookmarkEnd w:id="1022"/>
    </w:p>
    <w:p>
      <w:pPr>
        <w:spacing w:after="140"/>
      </w:pPr>
      <w:r>
        <w:rPr>
          <w:b w:val="false"/>
          <w:bCs w:val="false"/>
          <w:i w:val="false"/>
          <w:iCs w:val="false"/>
          <w:color w:val="222222"/>
        </w:rPr>
        <w:t xml:space="preserve">WE, THE UNDERSIGNED, being the Founding Trustees of The Jopetnah Foundation, hereby adopt this Constitution as the governing instrument of the Foundation on this ____ day of ______________, 20____, at Kampala, Uganda.</w:t>
      </w:r>
    </w:p>
    <w:p>
      <w:pPr>
        <w:spacing w:after="100" w:before="600"/>
      </w:pPr>
      <w:r>
        <w:rPr>
          <w:b/>
          <w:bCs/>
        </w:rPr>
        <w:t xml:space="preserve">Signed by the Founding Trustees:</w:t>
      </w:r>
    </w:p>
    <w:p>
      <w:pPr>
        <w:spacing w:before="500"/>
      </w:pPr>
      <w:r>
        <w:rPr>
          <w:color w:val="222222"/>
        </w:rPr>
        <w:t xml:space="preserve">1.  Name: ________________________________     Signature: ______________________     Date: ______________</w:t>
      </w:r>
    </w:p>
    <w:p>
      <w:pPr>
        <w:spacing w:before="500"/>
      </w:pPr>
      <w:r>
        <w:rPr>
          <w:color w:val="222222"/>
        </w:rPr>
        <w:t xml:space="preserve">2.  Name: ________________________________     Signature: ______________________     Date: ______________</w:t>
      </w:r>
    </w:p>
    <w:p>
      <w:pPr>
        <w:spacing w:before="500"/>
      </w:pPr>
      <w:r>
        <w:rPr>
          <w:color w:val="222222"/>
        </w:rPr>
        <w:t xml:space="preserve">3.  Name: ________________________________     Signature: ______________________     Date: ______________</w:t>
      </w:r>
    </w:p>
    <w:p>
      <w:pPr>
        <w:spacing w:before="500"/>
      </w:pPr>
      <w:r>
        <w:rPr>
          <w:color w:val="222222"/>
        </w:rPr>
        <w:t xml:space="preserve">4.  Name: ________________________________     Signature: ______________________     Date: ______________</w:t>
      </w:r>
    </w:p>
    <w:p>
      <w:pPr>
        <w:spacing w:before="500"/>
      </w:pPr>
      <w:r>
        <w:rPr>
          <w:color w:val="222222"/>
        </w:rPr>
        <w:t xml:space="preserve">5.  Name: ________________________________     Signature: ______________________     Date: ______________</w:t>
      </w:r>
    </w:p>
    <w:p>
      <w:pPr>
        <w:spacing w:before="500"/>
      </w:pPr>
      <w:r>
        <w:rPr>
          <w:color w:val="222222"/>
        </w:rPr>
        <w:t xml:space="preserve">6.  Name: ________________________________     Signature: ______________________     Date: ______________</w:t>
      </w:r>
    </w:p>
    <w:p>
      <w:pPr>
        <w:spacing w:before="500"/>
      </w:pPr>
      <w:r>
        <w:rPr>
          <w:color w:val="222222"/>
        </w:rPr>
        <w:t xml:space="preserve">7.  Name: ________________________________     Signature: ______________________     Date: ______________</w:t>
      </w:r>
    </w:p>
    <w:p>
      <w:pPr>
        <w:spacing w:before="500"/>
      </w:pPr>
      <w:r>
        <w:rPr>
          <w:b/>
          <w:bCs/>
        </w:rPr>
        <w:t xml:space="preserve">Witnessed by:</w:t>
      </w:r>
    </w:p>
    <w:p>
      <w:pPr>
        <w:spacing w:before="300"/>
      </w:pPr>
      <w:r>
        <w:t xml:space="preserve">Name: ________________________________     Capacity (e.g. Advocate): ______________________</w:t>
      </w:r>
    </w:p>
    <w:p>
      <w:pPr>
        <w:spacing w:before="200"/>
      </w:pPr>
      <w:r>
        <w:t xml:space="preserve">Signature: ________________________________     Date: 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The Jopetnah Foundation — Constitution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sz w:val="30"/>
      <w:szCs w:val="30"/>
    </w:rPr>
  </w:style>
  <w:style w:type="paragraph" w:styleId="Heading2">
    <w:name w:val="Heading 2"/>
    <w:basedOn w:val="Normal"/>
    <w:next w:val="Normal"/>
    <w:qFormat/>
    <w:rPr>
      <w:rFonts w:ascii="Cambria" w:cs="Cambria" w:eastAsia="Cambria" w:hAnsi="Cambr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7a1a6450a4b404de80874c7a8790c81ebef6a6.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2026-07-22T22:59:30.221Z</dcterms:created>
  <dcterms:modified xsi:type="dcterms:W3CDTF">2026-07-22T22:59:30.222Z</dcterms:modified>
</cp:coreProperties>
</file>

<file path=docProps/custom.xml><?xml version="1.0" encoding="utf-8"?>
<Properties xmlns="http://schemas.openxmlformats.org/officeDocument/2006/custom-properties" xmlns:vt="http://schemas.openxmlformats.org/officeDocument/2006/docPropsVTypes"/>
</file>