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jc w:val="center"/>
      </w:pP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 cy="666750"/>
                    </a:xfrm>
                    <a:prstGeom prst="rect">
                      <a:avLst/>
                    </a:prstGeom>
                  </pic:spPr>
                </pic:pic>
              </a:graphicData>
            </a:graphic>
          </wp:inline>
        </w:drawing>
      </w:r>
    </w:p>
    <w:p>
      <w:pPr>
        <w:spacing w:after="80" w:before="260"/>
        <w:jc w:val="center"/>
      </w:pPr>
      <w:r>
        <w:rPr>
          <w:rFonts w:ascii="Cambria" w:cs="Cambria" w:eastAsia="Cambria" w:hAnsi="Cambria"/>
          <w:b/>
          <w:bCs/>
          <w:color w:val="1E2761"/>
          <w:sz w:val="44"/>
          <w:szCs w:val="44"/>
        </w:rPr>
        <w:t xml:space="preserve">GLOBAL AWARENESS &amp; FUNDRAISING</w:t>
      </w:r>
    </w:p>
    <w:p>
      <w:pPr>
        <w:spacing w:after="300"/>
        <w:jc w:val="center"/>
      </w:pPr>
      <w:r>
        <w:rPr>
          <w:rFonts w:ascii="Cambria" w:cs="Cambria" w:eastAsia="Cambria" w:hAnsi="Cambria"/>
          <w:b/>
          <w:bCs/>
          <w:color w:val="B8543E"/>
          <w:sz w:val="44"/>
          <w:szCs w:val="44"/>
        </w:rPr>
        <w:t xml:space="preserve">CAMPAIGN STRATEGY</w:t>
      </w:r>
    </w:p>
    <w:p>
      <w:pPr>
        <w:spacing w:after="200"/>
        <w:jc w:val="center"/>
      </w:pPr>
      <w:r>
        <w:rPr>
          <w:b/>
          <w:bCs/>
          <w:color w:val="222222"/>
          <w:sz w:val="26"/>
          <w:szCs w:val="26"/>
        </w:rPr>
        <w:t xml:space="preserve">THE JOPETNAH FOUNDATION  ( TJF )</w:t>
      </w:r>
    </w:p>
    <w:p>
      <w:pPr>
        <w:spacing w:after="500"/>
        <w:jc w:val="center"/>
      </w:pPr>
      <w:r>
        <w:rPr>
          <w:i/>
          <w:iCs/>
          <w:color w:val="5A5A5A"/>
          <w:sz w:val="22"/>
          <w:szCs w:val="22"/>
        </w:rPr>
        <w:t xml:space="preserve">A Digital Marketing &amp; Brand Ecosystem for International Visibility, Trust, and Sustainable Fundraising</w:t>
      </w:r>
    </w:p>
    <w:p>
      <w:pPr>
        <w:spacing w:after="100"/>
        <w:jc w:val="center"/>
      </w:pPr>
      <w:r>
        <w:rPr>
          <w:color w:val="5A5A5A"/>
          <w:sz w:val="20"/>
          <w:szCs w:val="20"/>
        </w:rPr>
        <w:t xml:space="preserve">Prepared for the Board of Trustees, Founding Partners, and International Stakeholders</w:t>
      </w:r>
    </w:p>
    <w:p>
      <w:pPr>
        <w:spacing w:after="100"/>
        <w:jc w:val="center"/>
      </w:pPr>
      <w:r>
        <w:rPr>
          <w:color w:val="5A5A5A"/>
          <w:sz w:val="20"/>
          <w:szCs w:val="20"/>
        </w:rPr>
        <w:t xml:space="preserve">Kampala, Republic of Uganda  ·  2026</w:t>
      </w:r>
    </w:p>
    <w:p>
      <w:pPr>
        <w:pBdr>
          <w:top w:val="single" w:color="B8543E" w:sz="4" w:space="4"/>
          <w:bottom w:val="single" w:color="B8543E" w:sz="4" w:space="4"/>
        </w:pBdr>
        <w:shd w:fill="F1E9DD" w:val="clear"/>
        <w:spacing w:after="200" w:before="100"/>
      </w:pPr>
      <w:r>
        <w:rPr>
          <w:i/>
          <w:iCs/>
          <w:color w:val="5A3A28"/>
        </w:rPr>
        <w:t xml:space="preserve">This is a strategic framework, not a finished content archive. It sets the positioning, structure, and repeatable templates TJF's team will use to generate real content. Story examples throughout are clearly marked as illustrative templates — actual beneficiary stories, photos, and testimonials must only be used once real programs are running and real consent has been given. No content in this document should be published as though it depicts real, named individuals unless and until it does.</w:t>
      </w:r>
    </w:p>
    <w:p>
      <w:pPr>
        <w:pStyle w:val="Heading1"/>
        <w:pageBreakBefore/>
      </w:pPr>
      <w:r>
        <w:rPr>
          <w:b/>
          <w:bCs/>
          <w:color w:val="1E2761"/>
        </w:rPr>
        <w:t xml:space="preserve">Table of Contents</w:t>
      </w:r>
    </w:p>
    <w:p>
      <w:pPr>
        <w:spacing w:after="110"/>
      </w:pPr>
      <w:hyperlink w:history="1" w:anchor="1-brand-positioning">
        <w:r>
          <w:rPr>
            <w:color w:val="1E2761"/>
            <w:u w:val="single" w:color="1E2761"/>
          </w:rPr>
          <w:t xml:space="preserve">1. Brand Positioning</w:t>
        </w:r>
      </w:hyperlink>
    </w:p>
    <w:p>
      <w:pPr>
        <w:spacing w:after="110"/>
      </w:pPr>
      <w:hyperlink w:history="1" w:anchor="2-12-month-social-media-growth-strategy">
        <w:r>
          <w:rPr>
            <w:color w:val="1E2761"/>
            <w:u w:val="single" w:color="1E2761"/>
          </w:rPr>
          <w:t xml:space="preserve">2. 12-Month Social Media Growth Strategy</w:t>
        </w:r>
      </w:hyperlink>
    </w:p>
    <w:p>
      <w:pPr>
        <w:spacing w:after="110"/>
      </w:pPr>
      <w:hyperlink w:history="1" w:anchor="3-storytelling-campaign-framework">
        <w:r>
          <w:rPr>
            <w:color w:val="1E2761"/>
            <w:u w:val="single" w:color="1E2761"/>
          </w:rPr>
          <w:t xml:space="preserve">3. Storytelling Campaign Framework</w:t>
        </w:r>
      </w:hyperlink>
    </w:p>
    <w:p>
      <w:pPr>
        <w:spacing w:after="110"/>
      </w:pPr>
      <w:hyperlink w:history="1" w:anchor="4-content-library-starter-set">
        <w:r>
          <w:rPr>
            <w:color w:val="1E2761"/>
            <w:u w:val="single" w:color="1E2761"/>
          </w:rPr>
          <w:t xml:space="preserve">4. Content Library — Starter Set</w:t>
        </w:r>
      </w:hyperlink>
    </w:p>
    <w:p>
      <w:pPr>
        <w:spacing w:after="110"/>
      </w:pPr>
      <w:hyperlink w:history="1" w:anchor="5-donor-partnership-campaign-messaging">
        <w:r>
          <w:rPr>
            <w:color w:val="1E2761"/>
            <w:u w:val="single" w:color="1E2761"/>
          </w:rPr>
          <w:t xml:space="preserve">5. Donor &amp; Partnership Campaign Messaging</w:t>
        </w:r>
      </w:hyperlink>
    </w:p>
    <w:p>
      <w:pPr>
        <w:spacing w:after="110"/>
      </w:pPr>
      <w:hyperlink w:history="1" w:anchor="6-visual-branding-direction">
        <w:r>
          <w:rPr>
            <w:color w:val="1E2761"/>
            <w:u w:val="single" w:color="1E2761"/>
          </w:rPr>
          <w:t xml:space="preserve">6. Visual Branding Direction</w:t>
        </w:r>
      </w:hyperlink>
    </w:p>
    <w:p>
      <w:pPr>
        <w:spacing w:after="110"/>
      </w:pPr>
      <w:hyperlink w:history="1" w:anchor="7-ten-global-campaign-concepts">
        <w:r>
          <w:rPr>
            <w:color w:val="1E2761"/>
            <w:u w:val="single" w:color="1E2761"/>
          </w:rPr>
          <w:t xml:space="preserve">7. Ten Global Campaign Concepts</w:t>
        </w:r>
      </w:hyperlink>
    </w:p>
    <w:p>
      <w:pPr>
        <w:spacing w:after="110"/>
      </w:pPr>
      <w:hyperlink w:history="1" w:anchor="8-search-engine-online-visibility-strategy">
        <w:r>
          <w:rPr>
            <w:color w:val="1E2761"/>
            <w:u w:val="single" w:color="1E2761"/>
          </w:rPr>
          <w:t xml:space="preserve">8. Search Engine &amp; Online Visibility Strategy</w:t>
        </w:r>
      </w:hyperlink>
    </w:p>
    <w:p>
      <w:pPr>
        <w:spacing w:after="110"/>
      </w:pPr>
      <w:hyperlink w:history="1" w:anchor="9-ai-video-creation-prompts">
        <w:r>
          <w:rPr>
            <w:color w:val="1E2761"/>
            <w:u w:val="single" w:color="1E2761"/>
          </w:rPr>
          <w:t xml:space="preserve">9. AI Video Creation Prompts</w:t>
        </w:r>
      </w:hyperlink>
    </w:p>
    <w:p>
      <w:pPr>
        <w:spacing w:after="110"/>
      </w:pPr>
      <w:hyperlink w:history="1" w:anchor="10-final-objective-success-metrics">
        <w:r>
          <w:rPr>
            <w:color w:val="1E2761"/>
            <w:u w:val="single" w:color="1E2761"/>
          </w:rPr>
          <w:t xml:space="preserve">10. Final Objective &amp; Success Metrics</w:t>
        </w:r>
      </w:hyperlink>
    </w:p>
    <w:p>
      <w:pPr>
        <w:pStyle w:val="Heading1"/>
        <w:pageBreakBefore/>
        <w:pBdr>
          <w:bottom w:val="single" w:color="B8543E" w:sz="8" w:space="4"/>
        </w:pBdr>
        <w:spacing w:after="200" w:before="240"/>
      </w:pPr>
      <w:bookmarkStart w:name="1-brand-positioning" w:id="1000"/>
      <w:r>
        <w:rPr>
          <w:b/>
          <w:bCs/>
          <w:color w:val="1E2761"/>
        </w:rPr>
        <w:t xml:space="preserve">1. Brand Positioning</w:t>
      </w:r>
      <w:bookmarkEnd w:id="1000"/>
    </w:p>
    <w:p>
      <w:pPr>
        <w:pStyle w:val="Heading2"/>
        <w:spacing w:after="110" w:before="220"/>
      </w:pPr>
      <w:r>
        <w:rPr>
          <w:b/>
          <w:bCs/>
          <w:color w:val="B8543E"/>
        </w:rPr>
        <w:t xml:space="preserve">Mission Statement</w:t>
      </w:r>
    </w:p>
    <w:p>
      <w:pPr>
        <w:spacing w:after="130"/>
      </w:pPr>
      <w:r>
        <w:rPr>
          <w:b w:val="false"/>
          <w:bCs w:val="false"/>
          <w:i w:val="false"/>
          <w:iCs w:val="false"/>
          <w:color w:val="222222"/>
        </w:rPr>
        <w:t xml:space="preserve">To advance education, health, economic opportunity, and environmental resilience in underserved communities through integrated, locally-led programs — treating the whole family, not a single issue, as our unit of change.</w:t>
      </w:r>
    </w:p>
    <w:p>
      <w:pPr>
        <w:pStyle w:val="Heading2"/>
        <w:spacing w:after="110" w:before="220"/>
      </w:pPr>
      <w:r>
        <w:rPr>
          <w:b/>
          <w:bCs/>
          <w:color w:val="B8543E"/>
        </w:rPr>
        <w:t xml:space="preserve">Vision Statement</w:t>
      </w:r>
    </w:p>
    <w:p>
      <w:pPr>
        <w:spacing w:after="130"/>
      </w:pPr>
      <w:r>
        <w:rPr>
          <w:b w:val="false"/>
          <w:bCs w:val="false"/>
          <w:i w:val="false"/>
          <w:iCs w:val="false"/>
          <w:color w:val="222222"/>
        </w:rPr>
        <w:t xml:space="preserve">A world in which no family has to choose which crisis to solve first — where communities are educated, healthy, economically self-reliant, and environmentally resilient, together.</w:t>
      </w:r>
    </w:p>
    <w:p>
      <w:pPr>
        <w:pStyle w:val="Heading2"/>
        <w:spacing w:after="110" w:before="220"/>
      </w:pPr>
      <w:r>
        <w:rPr>
          <w:b/>
          <w:bCs/>
          <w:color w:val="B8543E"/>
        </w:rPr>
        <w:t xml:space="preserve">Global Tagline</w:t>
      </w:r>
    </w:p>
    <w:p>
      <w:pPr>
        <w:spacing w:after="130"/>
      </w:pPr>
      <w:r>
        <w:rPr>
          <w:b/>
          <w:bCs/>
          <w:i w:val="false"/>
          <w:iCs w:val="false"/>
          <w:color w:val="222222"/>
        </w:rPr>
        <w:t xml:space="preserve">"Building Whole Communities, One Life at a Time."</w:t>
      </w:r>
    </w:p>
    <w:p>
      <w:pPr>
        <w:spacing w:after="130"/>
      </w:pPr>
      <w:r>
        <w:rPr>
          <w:b w:val="false"/>
          <w:bCs w:val="false"/>
          <w:i w:val="false"/>
          <w:iCs w:val="false"/>
          <w:color w:val="222222"/>
        </w:rPr>
        <w:t xml:space="preserve">Secondary line for international audiences: "Empowering Communities. Transforming Lives. Creating a Sustainable Future."</w:t>
      </w:r>
    </w:p>
    <w:p>
      <w:pPr>
        <w:pStyle w:val="Heading2"/>
        <w:spacing w:after="110" w:before="220"/>
      </w:pPr>
      <w:r>
        <w:rPr>
          <w:b/>
          <w:bCs/>
          <w:color w:val="B8543E"/>
        </w:rPr>
        <w:t xml:space="preserve">Brand Personality</w:t>
      </w:r>
    </w:p>
    <w:p>
      <w:pPr>
        <w:spacing w:after="90"/>
        <w:ind w:left="431"/>
      </w:pPr>
      <w:r>
        <w:rPr>
          <w:color w:val="222222"/>
        </w:rPr>
        <w:t xml:space="preserve">•  Warm, not sentimental — we show dignity, not pity.</w:t>
      </w:r>
    </w:p>
    <w:p>
      <w:pPr>
        <w:spacing w:after="90"/>
        <w:ind w:left="431"/>
      </w:pPr>
      <w:r>
        <w:rPr>
          <w:color w:val="222222"/>
        </w:rPr>
        <w:t xml:space="preserve">•  Precise, not vague — every claim is backed by a number or a name we can stand behind.</w:t>
      </w:r>
    </w:p>
    <w:p>
      <w:pPr>
        <w:spacing w:after="90"/>
        <w:ind w:left="431"/>
      </w:pPr>
      <w:r>
        <w:rPr>
          <w:color w:val="222222"/>
        </w:rPr>
        <w:t xml:space="preserve">•  Ambitious, not grandiose — global in outlook, honest about being early-stage.</w:t>
      </w:r>
    </w:p>
    <w:p>
      <w:pPr>
        <w:spacing w:after="90"/>
        <w:ind w:left="431"/>
      </w:pPr>
      <w:r>
        <w:rPr>
          <w:color w:val="222222"/>
        </w:rPr>
        <w:t xml:space="preserve">•  Local-first — Ugandan and African leadership and voices lead the story, not external narrators.</w:t>
      </w:r>
    </w:p>
    <w:p>
      <w:pPr>
        <w:pStyle w:val="Heading2"/>
        <w:spacing w:after="110" w:before="220"/>
      </w:pPr>
      <w:r>
        <w:rPr>
          <w:b/>
          <w:bCs/>
          <w:color w:val="B8543E"/>
        </w:rPr>
        <w:t xml:space="preserve">Core Values</w:t>
      </w:r>
    </w:p>
    <w:p>
      <w:pPr>
        <w:spacing w:after="90"/>
        <w:ind w:left="431"/>
      </w:pPr>
      <w:r>
        <w:rPr>
          <w:color w:val="222222"/>
        </w:rPr>
        <w:t xml:space="preserve">•  Integrity — we say what we do and do what we say.</w:t>
      </w:r>
    </w:p>
    <w:p>
      <w:pPr>
        <w:spacing w:after="90"/>
        <w:ind w:left="431"/>
      </w:pPr>
      <w:r>
        <w:rPr>
          <w:color w:val="222222"/>
        </w:rPr>
        <w:t xml:space="preserve">•  Community Ownership — programs are led with, not delivered to, communities.</w:t>
      </w:r>
    </w:p>
    <w:p>
      <w:pPr>
        <w:spacing w:after="90"/>
        <w:ind w:left="431"/>
      </w:pPr>
      <w:r>
        <w:rPr>
          <w:color w:val="222222"/>
        </w:rPr>
        <w:t xml:space="preserve">•  Transparency — financials, governance, and outcomes are published, not just promised.</w:t>
      </w:r>
    </w:p>
    <w:p>
      <w:pPr>
        <w:spacing w:after="90"/>
        <w:ind w:left="431"/>
      </w:pPr>
      <w:r>
        <w:rPr>
          <w:color w:val="222222"/>
        </w:rPr>
        <w:t xml:space="preserve">•  Sustainability — solutions that outlast any single grant cycle.</w:t>
      </w:r>
    </w:p>
    <w:p>
      <w:pPr>
        <w:spacing w:after="90"/>
        <w:ind w:left="431"/>
      </w:pPr>
      <w:r>
        <w:rPr>
          <w:color w:val="222222"/>
        </w:rPr>
        <w:t xml:space="preserve">•  Inclusion — without regard to religion, ethnicity, gender, or political affiliation.</w:t>
      </w:r>
    </w:p>
    <w:p>
      <w:pPr>
        <w:pStyle w:val="Heading2"/>
        <w:spacing w:after="110" w:before="220"/>
      </w:pPr>
      <w:r>
        <w:rPr>
          <w:b/>
          <w:bCs/>
          <w:color w:val="B8543E"/>
        </w:rPr>
        <w:t xml:space="preserve">Impact Statement</w:t>
      </w:r>
    </w:p>
    <w:p>
      <w:pPr>
        <w:spacing w:after="130"/>
      </w:pPr>
      <w:r>
        <w:rPr>
          <w:b w:val="false"/>
          <w:bCs w:val="false"/>
          <w:i w:val="false"/>
          <w:iCs w:val="false"/>
          <w:color w:val="222222"/>
        </w:rPr>
        <w:t xml:space="preserve">Every gift to TJF is directed through one integrated model spanning education, health, livelihoods, and environment — so a single contribution can support a child's schooling, a parent's health, and a family's income at once, rather than funding one disconnected issue in isolation.</w:t>
      </w:r>
    </w:p>
    <w:p>
      <w:pPr>
        <w:pStyle w:val="Heading2"/>
        <w:spacing w:after="110" w:before="220"/>
      </w:pPr>
      <w:r>
        <w:rPr>
          <w:b/>
          <w:bCs/>
          <w:color w:val="B8543E"/>
        </w:rPr>
        <w:t xml:space="preserve">Donor Confidence Message</w:t>
      </w:r>
    </w:p>
    <w:p>
      <w:pPr>
        <w:spacing w:after="130"/>
      </w:pPr>
      <w:r>
        <w:rPr>
          <w:b w:val="false"/>
          <w:bCs w:val="false"/>
          <w:i w:val="false"/>
          <w:iCs w:val="false"/>
          <w:color w:val="222222"/>
        </w:rPr>
        <w:t xml:space="preserve">"We are in our founding stage, and we say so plainly. Our governance documents — Constitution, Board Charter, Conflict of Interest, Whistleblower, and Safeguarding policies — are published in full before we ask for a single dollar. Trust is built by what you can verify, not by what we claim."</w:t>
      </w:r>
    </w:p>
    <w:p>
      <w:pPr>
        <w:pStyle w:val="Heading1"/>
        <w:pageBreakBefore/>
        <w:pBdr>
          <w:bottom w:val="single" w:color="B8543E" w:sz="8" w:space="4"/>
        </w:pBdr>
        <w:spacing w:after="200" w:before="240"/>
      </w:pPr>
      <w:bookmarkStart w:name="2-12-month-social-media-growth-strategy" w:id="1001"/>
      <w:r>
        <w:rPr>
          <w:b/>
          <w:bCs/>
          <w:color w:val="1E2761"/>
        </w:rPr>
        <w:t xml:space="preserve">2. 12-Month Social Media Growth Strategy</w:t>
      </w:r>
      <w:bookmarkEnd w:id="1001"/>
    </w:p>
    <w:p>
      <w:pPr>
        <w:pStyle w:val="Heading2"/>
        <w:spacing w:after="110" w:before="220"/>
      </w:pPr>
      <w:r>
        <w:rPr>
          <w:b/>
          <w:bCs/>
          <w:color w:val="B8543E"/>
        </w:rPr>
        <w:t xml:space="preserve">Platform Roles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shd w:fill="1E2761" w:val="clear"/>
            <w:vAlign w:val="center"/>
          </w:tcPr>
          <w:p>
            <w:r>
              <w:rPr>
                <w:b/>
                <w:bCs/>
                <w:color w:val="FFFFFF"/>
                <w:sz w:val="19"/>
                <w:szCs w:val="19"/>
              </w:rPr>
              <w:t xml:space="preserve">Platform</w:t>
            </w:r>
          </w:p>
        </w:tc>
        <w:tc>
          <w:tcPr>
            <w:tcW w:type="dxa" w:w="3200"/>
            <w:shd w:fill="1E2761" w:val="clear"/>
            <w:vAlign w:val="center"/>
          </w:tcPr>
          <w:p>
            <w:r>
              <w:rPr>
                <w:b/>
                <w:bCs/>
                <w:color w:val="FFFFFF"/>
                <w:sz w:val="19"/>
                <w:szCs w:val="19"/>
              </w:rPr>
              <w:t xml:space="preserve">Primary Role</w:t>
            </w:r>
          </w:p>
        </w:tc>
        <w:tc>
          <w:tcPr>
            <w:tcW w:type="dxa" w:w="2100"/>
            <w:shd w:fill="1E2761" w:val="clear"/>
            <w:vAlign w:val="center"/>
          </w:tcPr>
          <w:p>
            <w:r>
              <w:rPr>
                <w:b/>
                <w:bCs/>
                <w:color w:val="FFFFFF"/>
                <w:sz w:val="19"/>
                <w:szCs w:val="19"/>
              </w:rPr>
              <w:t xml:space="preserve">Cadence</w:t>
            </w:r>
          </w:p>
        </w:tc>
        <w:tc>
          <w:tcPr>
            <w:tcW w:type="dxa" w:w="2250"/>
            <w:shd w:fill="1E2761" w:val="clear"/>
            <w:vAlign w:val="center"/>
          </w:tcPr>
          <w:p>
            <w:r>
              <w:rPr>
                <w:b/>
                <w:bCs/>
                <w:color w:val="FFFFFF"/>
                <w:sz w:val="19"/>
                <w:szCs w:val="19"/>
              </w:rPr>
              <w:t xml:space="preserve">Primary Audience</w:t>
            </w:r>
          </w:p>
        </w:tc>
      </w:tr>
      <w:tr>
        <w:tc>
          <w:tcPr>
            <w:tcW w:type="dxa" w:w="1800"/>
            <w:vAlign w:val="center"/>
          </w:tcPr>
          <w:p>
            <w:pPr>
              <w:spacing w:after="80" w:before="80"/>
            </w:pPr>
            <w:r>
              <w:rPr>
                <w:b/>
                <w:bCs/>
                <w:color w:val="222222"/>
                <w:sz w:val="19"/>
                <w:szCs w:val="19"/>
              </w:rPr>
              <w:t xml:space="preserve">Facebook</w:t>
            </w:r>
          </w:p>
        </w:tc>
        <w:tc>
          <w:tcPr>
            <w:tcW w:type="dxa" w:w="3200"/>
            <w:vAlign w:val="center"/>
          </w:tcPr>
          <w:p>
            <w:pPr>
              <w:spacing w:after="80" w:before="80"/>
            </w:pPr>
            <w:r>
              <w:rPr>
                <w:b w:val="false"/>
                <w:bCs w:val="false"/>
                <w:color w:val="222222"/>
                <w:sz w:val="19"/>
                <w:szCs w:val="19"/>
              </w:rPr>
              <w:t xml:space="preserve">Community building, event promotion, diaspora engagement</w:t>
            </w:r>
          </w:p>
        </w:tc>
        <w:tc>
          <w:tcPr>
            <w:tcW w:type="dxa" w:w="2100"/>
            <w:vAlign w:val="center"/>
          </w:tcPr>
          <w:p>
            <w:pPr>
              <w:spacing w:after="80" w:before="80"/>
            </w:pPr>
            <w:r>
              <w:rPr>
                <w:b w:val="false"/>
                <w:bCs w:val="false"/>
                <w:color w:val="222222"/>
                <w:sz w:val="19"/>
                <w:szCs w:val="19"/>
              </w:rPr>
              <w:t xml:space="preserve">4–5x/week</w:t>
            </w:r>
          </w:p>
        </w:tc>
        <w:tc>
          <w:tcPr>
            <w:tcW w:type="dxa" w:w="2250"/>
            <w:vAlign w:val="center"/>
          </w:tcPr>
          <w:p>
            <w:pPr>
              <w:spacing w:after="80" w:before="80"/>
            </w:pPr>
            <w:r>
              <w:rPr>
                <w:b w:val="false"/>
                <w:bCs w:val="false"/>
                <w:color w:val="222222"/>
                <w:sz w:val="19"/>
                <w:szCs w:val="19"/>
              </w:rPr>
              <w:t xml:space="preserve">Diaspora, general public, local community</w:t>
            </w:r>
          </w:p>
        </w:tc>
      </w:tr>
      <w:tr>
        <w:tc>
          <w:tcPr>
            <w:tcW w:type="dxa" w:w="1800"/>
            <w:shd w:fill="F1E9DD" w:val="clear"/>
            <w:vAlign w:val="center"/>
          </w:tcPr>
          <w:p>
            <w:pPr>
              <w:spacing w:after="80" w:before="80"/>
            </w:pPr>
            <w:r>
              <w:rPr>
                <w:b/>
                <w:bCs/>
                <w:color w:val="222222"/>
                <w:sz w:val="19"/>
                <w:szCs w:val="19"/>
              </w:rPr>
              <w:t xml:space="preserve">LinkedIn</w:t>
            </w:r>
          </w:p>
        </w:tc>
        <w:tc>
          <w:tcPr>
            <w:tcW w:type="dxa" w:w="3200"/>
            <w:shd w:fill="F1E9DD" w:val="clear"/>
            <w:vAlign w:val="center"/>
          </w:tcPr>
          <w:p>
            <w:pPr>
              <w:spacing w:after="80" w:before="80"/>
            </w:pPr>
            <w:r>
              <w:rPr>
                <w:b w:val="false"/>
                <w:bCs w:val="false"/>
                <w:color w:val="222222"/>
                <w:sz w:val="19"/>
                <w:szCs w:val="19"/>
              </w:rPr>
              <w:t xml:space="preserve">Institutional credibility, partnership &amp; funder outreach</w:t>
            </w:r>
          </w:p>
        </w:tc>
        <w:tc>
          <w:tcPr>
            <w:tcW w:type="dxa" w:w="2100"/>
            <w:shd w:fill="F1E9DD" w:val="clear"/>
            <w:vAlign w:val="center"/>
          </w:tcPr>
          <w:p>
            <w:pPr>
              <w:spacing w:after="80" w:before="80"/>
            </w:pPr>
            <w:r>
              <w:rPr>
                <w:b w:val="false"/>
                <w:bCs w:val="false"/>
                <w:color w:val="222222"/>
                <w:sz w:val="19"/>
                <w:szCs w:val="19"/>
              </w:rPr>
              <w:t xml:space="preserve">3x/week</w:t>
            </w:r>
          </w:p>
        </w:tc>
        <w:tc>
          <w:tcPr>
            <w:tcW w:type="dxa" w:w="2250"/>
            <w:shd w:fill="F1E9DD" w:val="clear"/>
            <w:vAlign w:val="center"/>
          </w:tcPr>
          <w:p>
            <w:pPr>
              <w:spacing w:after="80" w:before="80"/>
            </w:pPr>
            <w:r>
              <w:rPr>
                <w:b w:val="false"/>
                <w:bCs w:val="false"/>
                <w:color w:val="222222"/>
                <w:sz w:val="19"/>
                <w:szCs w:val="19"/>
              </w:rPr>
              <w:t xml:space="preserve">Funders, corporates, NGOs, board talent</w:t>
            </w:r>
          </w:p>
        </w:tc>
      </w:tr>
      <w:tr>
        <w:tc>
          <w:tcPr>
            <w:tcW w:type="dxa" w:w="1800"/>
            <w:vAlign w:val="center"/>
          </w:tcPr>
          <w:p>
            <w:pPr>
              <w:spacing w:after="80" w:before="80"/>
            </w:pPr>
            <w:r>
              <w:rPr>
                <w:b/>
                <w:bCs/>
                <w:color w:val="222222"/>
                <w:sz w:val="19"/>
                <w:szCs w:val="19"/>
              </w:rPr>
              <w:t xml:space="preserve">Instagram</w:t>
            </w:r>
          </w:p>
        </w:tc>
        <w:tc>
          <w:tcPr>
            <w:tcW w:type="dxa" w:w="3200"/>
            <w:vAlign w:val="center"/>
          </w:tcPr>
          <w:p>
            <w:pPr>
              <w:spacing w:after="80" w:before="80"/>
            </w:pPr>
            <w:r>
              <w:rPr>
                <w:b w:val="false"/>
                <w:bCs w:val="false"/>
                <w:color w:val="222222"/>
                <w:sz w:val="19"/>
                <w:szCs w:val="19"/>
              </w:rPr>
              <w:t xml:space="preserve">Visual storytelling, behind-the-scenes, youth reach</w:t>
            </w:r>
          </w:p>
        </w:tc>
        <w:tc>
          <w:tcPr>
            <w:tcW w:type="dxa" w:w="2100"/>
            <w:vAlign w:val="center"/>
          </w:tcPr>
          <w:p>
            <w:pPr>
              <w:spacing w:after="80" w:before="80"/>
            </w:pPr>
            <w:r>
              <w:rPr>
                <w:b w:val="false"/>
                <w:bCs w:val="false"/>
                <w:color w:val="222222"/>
                <w:sz w:val="19"/>
                <w:szCs w:val="19"/>
              </w:rPr>
              <w:t xml:space="preserve">5–6x/week + daily Stories</w:t>
            </w:r>
          </w:p>
        </w:tc>
        <w:tc>
          <w:tcPr>
            <w:tcW w:type="dxa" w:w="2250"/>
            <w:vAlign w:val="center"/>
          </w:tcPr>
          <w:p>
            <w:pPr>
              <w:spacing w:after="80" w:before="80"/>
            </w:pPr>
            <w:r>
              <w:rPr>
                <w:b w:val="false"/>
                <w:bCs w:val="false"/>
                <w:color w:val="222222"/>
                <w:sz w:val="19"/>
                <w:szCs w:val="19"/>
              </w:rPr>
              <w:t xml:space="preserve">Younger donors, volunteers, general public</w:t>
            </w:r>
          </w:p>
        </w:tc>
      </w:tr>
      <w:tr>
        <w:tc>
          <w:tcPr>
            <w:tcW w:type="dxa" w:w="1800"/>
            <w:shd w:fill="F1E9DD" w:val="clear"/>
            <w:vAlign w:val="center"/>
          </w:tcPr>
          <w:p>
            <w:pPr>
              <w:spacing w:after="80" w:before="80"/>
            </w:pPr>
            <w:r>
              <w:rPr>
                <w:b/>
                <w:bCs/>
                <w:color w:val="222222"/>
                <w:sz w:val="19"/>
                <w:szCs w:val="19"/>
              </w:rPr>
              <w:t xml:space="preserve">YouTube</w:t>
            </w:r>
          </w:p>
        </w:tc>
        <w:tc>
          <w:tcPr>
            <w:tcW w:type="dxa" w:w="3200"/>
            <w:shd w:fill="F1E9DD" w:val="clear"/>
            <w:vAlign w:val="center"/>
          </w:tcPr>
          <w:p>
            <w:pPr>
              <w:spacing w:after="80" w:before="80"/>
            </w:pPr>
            <w:r>
              <w:rPr>
                <w:b w:val="false"/>
                <w:bCs w:val="false"/>
                <w:color w:val="222222"/>
                <w:sz w:val="19"/>
                <w:szCs w:val="19"/>
              </w:rPr>
              <w:t xml:space="preserve">Long-form trust-building: documentaries, founder messages</w:t>
            </w:r>
          </w:p>
        </w:tc>
        <w:tc>
          <w:tcPr>
            <w:tcW w:type="dxa" w:w="2100"/>
            <w:shd w:fill="F1E9DD" w:val="clear"/>
            <w:vAlign w:val="center"/>
          </w:tcPr>
          <w:p>
            <w:pPr>
              <w:spacing w:after="80" w:before="80"/>
            </w:pPr>
            <w:r>
              <w:rPr>
                <w:b w:val="false"/>
                <w:bCs w:val="false"/>
                <w:color w:val="222222"/>
                <w:sz w:val="19"/>
                <w:szCs w:val="19"/>
              </w:rPr>
              <w:t xml:space="preserve">2x/month</w:t>
            </w:r>
          </w:p>
        </w:tc>
        <w:tc>
          <w:tcPr>
            <w:tcW w:type="dxa" w:w="2250"/>
            <w:shd w:fill="F1E9DD" w:val="clear"/>
            <w:vAlign w:val="center"/>
          </w:tcPr>
          <w:p>
            <w:pPr>
              <w:spacing w:after="80" w:before="80"/>
            </w:pPr>
            <w:r>
              <w:rPr>
                <w:b w:val="false"/>
                <w:bCs w:val="false"/>
                <w:color w:val="222222"/>
                <w:sz w:val="19"/>
                <w:szCs w:val="19"/>
              </w:rPr>
              <w:t xml:space="preserve">Major donors, institutional reviewers</w:t>
            </w:r>
          </w:p>
        </w:tc>
      </w:tr>
      <w:tr>
        <w:tc>
          <w:tcPr>
            <w:tcW w:type="dxa" w:w="1800"/>
            <w:vAlign w:val="center"/>
          </w:tcPr>
          <w:p>
            <w:pPr>
              <w:spacing w:after="80" w:before="80"/>
            </w:pPr>
            <w:r>
              <w:rPr>
                <w:b/>
                <w:bCs/>
                <w:color w:val="222222"/>
                <w:sz w:val="19"/>
                <w:szCs w:val="19"/>
              </w:rPr>
              <w:t xml:space="preserve">TikTok</w:t>
            </w:r>
          </w:p>
        </w:tc>
        <w:tc>
          <w:tcPr>
            <w:tcW w:type="dxa" w:w="3200"/>
            <w:vAlign w:val="center"/>
          </w:tcPr>
          <w:p>
            <w:pPr>
              <w:spacing w:after="80" w:before="80"/>
            </w:pPr>
            <w:r>
              <w:rPr>
                <w:b w:val="false"/>
                <w:bCs w:val="false"/>
                <w:color w:val="222222"/>
                <w:sz w:val="19"/>
                <w:szCs w:val="19"/>
              </w:rPr>
              <w:t xml:space="preserve">Reach and awareness among younger, global audiences</w:t>
            </w:r>
          </w:p>
        </w:tc>
        <w:tc>
          <w:tcPr>
            <w:tcW w:type="dxa" w:w="2100"/>
            <w:vAlign w:val="center"/>
          </w:tcPr>
          <w:p>
            <w:pPr>
              <w:spacing w:after="80" w:before="80"/>
            </w:pPr>
            <w:r>
              <w:rPr>
                <w:b w:val="false"/>
                <w:bCs w:val="false"/>
                <w:color w:val="222222"/>
                <w:sz w:val="19"/>
                <w:szCs w:val="19"/>
              </w:rPr>
              <w:t xml:space="preserve">4–5x/week</w:t>
            </w:r>
          </w:p>
        </w:tc>
        <w:tc>
          <w:tcPr>
            <w:tcW w:type="dxa" w:w="2250"/>
            <w:vAlign w:val="center"/>
          </w:tcPr>
          <w:p>
            <w:pPr>
              <w:spacing w:after="80" w:before="80"/>
            </w:pPr>
            <w:r>
              <w:rPr>
                <w:b w:val="false"/>
                <w:bCs w:val="false"/>
                <w:color w:val="222222"/>
                <w:sz w:val="19"/>
                <w:szCs w:val="19"/>
              </w:rPr>
              <w:t xml:space="preserve">Gen Z / young millennial global audience</w:t>
            </w:r>
          </w:p>
        </w:tc>
      </w:tr>
      <w:tr>
        <w:tc>
          <w:tcPr>
            <w:tcW w:type="dxa" w:w="1800"/>
            <w:shd w:fill="F1E9DD" w:val="clear"/>
            <w:vAlign w:val="center"/>
          </w:tcPr>
          <w:p>
            <w:pPr>
              <w:spacing w:after="80" w:before="80"/>
            </w:pPr>
            <w:r>
              <w:rPr>
                <w:b/>
                <w:bCs/>
                <w:color w:val="222222"/>
                <w:sz w:val="19"/>
                <w:szCs w:val="19"/>
              </w:rPr>
              <w:t xml:space="preserve">X (Twitter)</w:t>
            </w:r>
          </w:p>
        </w:tc>
        <w:tc>
          <w:tcPr>
            <w:tcW w:type="dxa" w:w="3200"/>
            <w:shd w:fill="F1E9DD" w:val="clear"/>
            <w:vAlign w:val="center"/>
          </w:tcPr>
          <w:p>
            <w:pPr>
              <w:spacing w:after="80" w:before="80"/>
            </w:pPr>
            <w:r>
              <w:rPr>
                <w:b w:val="false"/>
                <w:bCs w:val="false"/>
                <w:color w:val="222222"/>
                <w:sz w:val="19"/>
                <w:szCs w:val="19"/>
              </w:rPr>
              <w:t xml:space="preserve">Real-time updates, press, policy/sector conversation</w:t>
            </w:r>
          </w:p>
        </w:tc>
        <w:tc>
          <w:tcPr>
            <w:tcW w:type="dxa" w:w="2100"/>
            <w:shd w:fill="F1E9DD" w:val="clear"/>
            <w:vAlign w:val="center"/>
          </w:tcPr>
          <w:p>
            <w:pPr>
              <w:spacing w:after="80" w:before="80"/>
            </w:pPr>
            <w:r>
              <w:rPr>
                <w:b w:val="false"/>
                <w:bCs w:val="false"/>
                <w:color w:val="222222"/>
                <w:sz w:val="19"/>
                <w:szCs w:val="19"/>
              </w:rPr>
              <w:t xml:space="preserve">Daily</w:t>
            </w:r>
          </w:p>
        </w:tc>
        <w:tc>
          <w:tcPr>
            <w:tcW w:type="dxa" w:w="2250"/>
            <w:shd w:fill="F1E9DD" w:val="clear"/>
            <w:vAlign w:val="center"/>
          </w:tcPr>
          <w:p>
            <w:pPr>
              <w:spacing w:after="80" w:before="80"/>
            </w:pPr>
            <w:r>
              <w:rPr>
                <w:b w:val="false"/>
                <w:bCs w:val="false"/>
                <w:color w:val="222222"/>
                <w:sz w:val="19"/>
                <w:szCs w:val="19"/>
              </w:rPr>
              <w:t xml:space="preserve">Journalists, sector peers, policy audiences</w:t>
            </w:r>
          </w:p>
        </w:tc>
      </w:tr>
      <w:tr>
        <w:tc>
          <w:tcPr>
            <w:tcW w:type="dxa" w:w="1800"/>
            <w:vAlign w:val="center"/>
          </w:tcPr>
          <w:p>
            <w:pPr>
              <w:spacing w:after="80" w:before="80"/>
            </w:pPr>
            <w:r>
              <w:rPr>
                <w:b/>
                <w:bCs/>
                <w:color w:val="222222"/>
                <w:sz w:val="19"/>
                <w:szCs w:val="19"/>
              </w:rPr>
              <w:t xml:space="preserve">Website Blog</w:t>
            </w:r>
          </w:p>
        </w:tc>
        <w:tc>
          <w:tcPr>
            <w:tcW w:type="dxa" w:w="3200"/>
            <w:vAlign w:val="center"/>
          </w:tcPr>
          <w:p>
            <w:pPr>
              <w:spacing w:after="80" w:before="80"/>
            </w:pPr>
            <w:r>
              <w:rPr>
                <w:b w:val="false"/>
                <w:bCs w:val="false"/>
                <w:color w:val="222222"/>
                <w:sz w:val="19"/>
                <w:szCs w:val="19"/>
              </w:rPr>
              <w:t xml:space="preserve">SEO, long-form credibility, funder due diligence</w:t>
            </w:r>
          </w:p>
        </w:tc>
        <w:tc>
          <w:tcPr>
            <w:tcW w:type="dxa" w:w="2100"/>
            <w:vAlign w:val="center"/>
          </w:tcPr>
          <w:p>
            <w:pPr>
              <w:spacing w:after="80" w:before="80"/>
            </w:pPr>
            <w:r>
              <w:rPr>
                <w:b w:val="false"/>
                <w:bCs w:val="false"/>
                <w:color w:val="222222"/>
                <w:sz w:val="19"/>
                <w:szCs w:val="19"/>
              </w:rPr>
              <w:t xml:space="preserve">2x/month</w:t>
            </w:r>
          </w:p>
        </w:tc>
        <w:tc>
          <w:tcPr>
            <w:tcW w:type="dxa" w:w="2250"/>
            <w:vAlign w:val="center"/>
          </w:tcPr>
          <w:p>
            <w:pPr>
              <w:spacing w:after="80" w:before="80"/>
            </w:pPr>
            <w:r>
              <w:rPr>
                <w:b w:val="false"/>
                <w:bCs w:val="false"/>
                <w:color w:val="222222"/>
                <w:sz w:val="19"/>
                <w:szCs w:val="19"/>
              </w:rPr>
              <w:t xml:space="preserve">Funders, researchers, search traffic</w:t>
            </w:r>
          </w:p>
        </w:tc>
      </w:tr>
    </w:tbl>
    <w:p>
      <w:pPr>
        <w:pStyle w:val="Heading2"/>
        <w:spacing w:after="110" w:before="220"/>
      </w:pPr>
      <w:r>
        <w:rPr>
          <w:b/>
          <w:bCs/>
          <w:color w:val="B8543E"/>
        </w:rPr>
        <w:t xml:space="preserve">12-Month Theme Calendar</w:t>
      </w:r>
    </w:p>
    <w:p>
      <w:pPr>
        <w:spacing w:after="130"/>
      </w:pPr>
      <w:r>
        <w:rPr>
          <w:b w:val="false"/>
          <w:bCs w:val="false"/>
          <w:i w:val="false"/>
          <w:iCs w:val="false"/>
          <w:color w:val="222222"/>
        </w:rPr>
        <w:t xml:space="preserve">Each month pairs a global/seasonal moment with one TJF pillar, so content has a fresh angle without inventing a new strategy every four weeks.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400"/>
            <w:shd w:fill="1E2761" w:val="clear"/>
            <w:vAlign w:val="center"/>
          </w:tcPr>
          <w:p>
            <w:r>
              <w:rPr>
                <w:b/>
                <w:bCs/>
                <w:color w:val="FFFFFF"/>
                <w:sz w:val="19"/>
                <w:szCs w:val="19"/>
              </w:rPr>
              <w:t xml:space="preserve">Month</w:t>
            </w:r>
          </w:p>
        </w:tc>
        <w:tc>
          <w:tcPr>
            <w:tcW w:type="dxa" w:w="4450"/>
            <w:shd w:fill="1E2761" w:val="clear"/>
            <w:vAlign w:val="center"/>
          </w:tcPr>
          <w:p>
            <w:r>
              <w:rPr>
                <w:b/>
                <w:bCs/>
                <w:color w:val="FFFFFF"/>
                <w:sz w:val="19"/>
                <w:szCs w:val="19"/>
              </w:rPr>
              <w:t xml:space="preserve">Theme</w:t>
            </w:r>
          </w:p>
        </w:tc>
        <w:tc>
          <w:tcPr>
            <w:tcW w:type="dxa" w:w="3500"/>
            <w:shd w:fill="1E2761" w:val="clear"/>
            <w:vAlign w:val="center"/>
          </w:tcPr>
          <w:p>
            <w:r>
              <w:rPr>
                <w:b/>
                <w:bCs/>
                <w:color w:val="FFFFFF"/>
                <w:sz w:val="19"/>
                <w:szCs w:val="19"/>
              </w:rPr>
              <w:t xml:space="preserve">Tie-in</w:t>
            </w:r>
          </w:p>
        </w:tc>
      </w:tr>
      <w:tr>
        <w:tc>
          <w:tcPr>
            <w:tcW w:type="dxa" w:w="1400"/>
            <w:vAlign w:val="center"/>
          </w:tcPr>
          <w:p>
            <w:pPr>
              <w:spacing w:after="80" w:before="80"/>
            </w:pPr>
            <w:r>
              <w:rPr>
                <w:b/>
                <w:bCs/>
                <w:color w:val="222222"/>
                <w:sz w:val="19"/>
                <w:szCs w:val="19"/>
              </w:rPr>
              <w:t xml:space="preserve">January</w:t>
            </w:r>
          </w:p>
        </w:tc>
        <w:tc>
          <w:tcPr>
            <w:tcW w:type="dxa" w:w="4450"/>
            <w:vAlign w:val="center"/>
          </w:tcPr>
          <w:p>
            <w:pPr>
              <w:spacing w:after="80" w:before="80"/>
            </w:pPr>
            <w:r>
              <w:rPr>
                <w:b w:val="false"/>
                <w:bCs w:val="false"/>
                <w:color w:val="222222"/>
                <w:sz w:val="19"/>
                <w:szCs w:val="19"/>
              </w:rPr>
              <w:t xml:space="preserve">New Year, New Foundations — origin story, founding team, what TJF stands for</w:t>
            </w:r>
          </w:p>
        </w:tc>
        <w:tc>
          <w:tcPr>
            <w:tcW w:type="dxa" w:w="3500"/>
            <w:vAlign w:val="center"/>
          </w:tcPr>
          <w:p>
            <w:pPr>
              <w:spacing w:after="80" w:before="80"/>
            </w:pPr>
            <w:r>
              <w:rPr>
                <w:b w:val="false"/>
                <w:bCs w:val="false"/>
                <w:color w:val="222222"/>
                <w:sz w:val="19"/>
                <w:szCs w:val="19"/>
              </w:rPr>
              <w:t xml:space="preserve">New Year resolutions / giving intentions</w:t>
            </w:r>
          </w:p>
        </w:tc>
      </w:tr>
      <w:tr>
        <w:tc>
          <w:tcPr>
            <w:tcW w:type="dxa" w:w="1400"/>
            <w:shd w:fill="F1E9DD" w:val="clear"/>
            <w:vAlign w:val="center"/>
          </w:tcPr>
          <w:p>
            <w:pPr>
              <w:spacing w:after="80" w:before="80"/>
            </w:pPr>
            <w:r>
              <w:rPr>
                <w:b/>
                <w:bCs/>
                <w:color w:val="222222"/>
                <w:sz w:val="19"/>
                <w:szCs w:val="19"/>
              </w:rPr>
              <w:t xml:space="preserve">February</w:t>
            </w:r>
          </w:p>
        </w:tc>
        <w:tc>
          <w:tcPr>
            <w:tcW w:type="dxa" w:w="4450"/>
            <w:shd w:fill="F1E9DD" w:val="clear"/>
            <w:vAlign w:val="center"/>
          </w:tcPr>
          <w:p>
            <w:pPr>
              <w:spacing w:after="80" w:before="80"/>
            </w:pPr>
            <w:r>
              <w:rPr>
                <w:b w:val="false"/>
                <w:bCs w:val="false"/>
                <w:color w:val="222222"/>
                <w:sz w:val="19"/>
                <w:szCs w:val="19"/>
              </w:rPr>
              <w:t xml:space="preserve">Health &amp; Wellbeing Month</w:t>
            </w:r>
          </w:p>
        </w:tc>
        <w:tc>
          <w:tcPr>
            <w:tcW w:type="dxa" w:w="3500"/>
            <w:shd w:fill="F1E9DD" w:val="clear"/>
            <w:vAlign w:val="center"/>
          </w:tcPr>
          <w:p>
            <w:pPr>
              <w:spacing w:after="80" w:before="80"/>
            </w:pPr>
            <w:r>
              <w:rPr>
                <w:b w:val="false"/>
                <w:bCs w:val="false"/>
                <w:color w:val="222222"/>
                <w:sz w:val="19"/>
                <w:szCs w:val="19"/>
              </w:rPr>
              <w:t xml:space="preserve">World Cancer Day, general health awareness moments</w:t>
            </w:r>
          </w:p>
        </w:tc>
      </w:tr>
      <w:tr>
        <w:tc>
          <w:tcPr>
            <w:tcW w:type="dxa" w:w="1400"/>
            <w:vAlign w:val="center"/>
          </w:tcPr>
          <w:p>
            <w:pPr>
              <w:spacing w:after="80" w:before="80"/>
            </w:pPr>
            <w:r>
              <w:rPr>
                <w:b/>
                <w:bCs/>
                <w:color w:val="222222"/>
                <w:sz w:val="19"/>
                <w:szCs w:val="19"/>
              </w:rPr>
              <w:t xml:space="preserve">March</w:t>
            </w:r>
          </w:p>
        </w:tc>
        <w:tc>
          <w:tcPr>
            <w:tcW w:type="dxa" w:w="4450"/>
            <w:vAlign w:val="center"/>
          </w:tcPr>
          <w:p>
            <w:pPr>
              <w:spacing w:after="80" w:before="80"/>
            </w:pPr>
            <w:r>
              <w:rPr>
                <w:b w:val="false"/>
                <w:bCs w:val="false"/>
                <w:color w:val="222222"/>
                <w:sz w:val="19"/>
                <w:szCs w:val="19"/>
              </w:rPr>
              <w:t xml:space="preserve">Women &amp; Livelihoods Month</w:t>
            </w:r>
          </w:p>
        </w:tc>
        <w:tc>
          <w:tcPr>
            <w:tcW w:type="dxa" w:w="3500"/>
            <w:vAlign w:val="center"/>
          </w:tcPr>
          <w:p>
            <w:pPr>
              <w:spacing w:after="80" w:before="80"/>
            </w:pPr>
            <w:r>
              <w:rPr>
                <w:b w:val="false"/>
                <w:bCs w:val="false"/>
                <w:color w:val="222222"/>
                <w:sz w:val="19"/>
                <w:szCs w:val="19"/>
              </w:rPr>
              <w:t xml:space="preserve">International Women's Day (Mar 8)</w:t>
            </w:r>
          </w:p>
        </w:tc>
      </w:tr>
      <w:tr>
        <w:tc>
          <w:tcPr>
            <w:tcW w:type="dxa" w:w="1400"/>
            <w:shd w:fill="F1E9DD" w:val="clear"/>
            <w:vAlign w:val="center"/>
          </w:tcPr>
          <w:p>
            <w:pPr>
              <w:spacing w:after="80" w:before="80"/>
            </w:pPr>
            <w:r>
              <w:rPr>
                <w:b/>
                <w:bCs/>
                <w:color w:val="222222"/>
                <w:sz w:val="19"/>
                <w:szCs w:val="19"/>
              </w:rPr>
              <w:t xml:space="preserve">April</w:t>
            </w:r>
          </w:p>
        </w:tc>
        <w:tc>
          <w:tcPr>
            <w:tcW w:type="dxa" w:w="4450"/>
            <w:shd w:fill="F1E9DD" w:val="clear"/>
            <w:vAlign w:val="center"/>
          </w:tcPr>
          <w:p>
            <w:pPr>
              <w:spacing w:after="80" w:before="80"/>
            </w:pPr>
            <w:r>
              <w:rPr>
                <w:b w:val="false"/>
                <w:bCs w:val="false"/>
                <w:color w:val="222222"/>
                <w:sz w:val="19"/>
                <w:szCs w:val="19"/>
              </w:rPr>
              <w:t xml:space="preserve">Environment &amp; Climate-Smart Living</w:t>
            </w:r>
          </w:p>
        </w:tc>
        <w:tc>
          <w:tcPr>
            <w:tcW w:type="dxa" w:w="3500"/>
            <w:shd w:fill="F1E9DD" w:val="clear"/>
            <w:vAlign w:val="center"/>
          </w:tcPr>
          <w:p>
            <w:pPr>
              <w:spacing w:after="80" w:before="80"/>
            </w:pPr>
            <w:r>
              <w:rPr>
                <w:b w:val="false"/>
                <w:bCs w:val="false"/>
                <w:color w:val="222222"/>
                <w:sz w:val="19"/>
                <w:szCs w:val="19"/>
              </w:rPr>
              <w:t xml:space="preserve">Earth Day (Apr 22)</w:t>
            </w:r>
          </w:p>
        </w:tc>
      </w:tr>
      <w:tr>
        <w:tc>
          <w:tcPr>
            <w:tcW w:type="dxa" w:w="1400"/>
            <w:vAlign w:val="center"/>
          </w:tcPr>
          <w:p>
            <w:pPr>
              <w:spacing w:after="80" w:before="80"/>
            </w:pPr>
            <w:r>
              <w:rPr>
                <w:b/>
                <w:bCs/>
                <w:color w:val="222222"/>
                <w:sz w:val="19"/>
                <w:szCs w:val="19"/>
              </w:rPr>
              <w:t xml:space="preserve">May</w:t>
            </w:r>
          </w:p>
        </w:tc>
        <w:tc>
          <w:tcPr>
            <w:tcW w:type="dxa" w:w="4450"/>
            <w:vAlign w:val="center"/>
          </w:tcPr>
          <w:p>
            <w:pPr>
              <w:spacing w:after="80" w:before="80"/>
            </w:pPr>
            <w:r>
              <w:rPr>
                <w:b w:val="false"/>
                <w:bCs w:val="false"/>
                <w:color w:val="222222"/>
                <w:sz w:val="19"/>
                <w:szCs w:val="19"/>
              </w:rPr>
              <w:t xml:space="preserve">Education &amp; Youth Month</w:t>
            </w:r>
          </w:p>
        </w:tc>
        <w:tc>
          <w:tcPr>
            <w:tcW w:type="dxa" w:w="3500"/>
            <w:vAlign w:val="center"/>
          </w:tcPr>
          <w:p>
            <w:pPr>
              <w:spacing w:after="80" w:before="80"/>
            </w:pPr>
            <w:r>
              <w:rPr>
                <w:b w:val="false"/>
                <w:bCs w:val="false"/>
                <w:color w:val="222222"/>
                <w:sz w:val="19"/>
                <w:szCs w:val="19"/>
              </w:rPr>
              <w:t xml:space="preserve">World Day for Cultural Diversity, school-term timing</w:t>
            </w:r>
          </w:p>
        </w:tc>
      </w:tr>
      <w:tr>
        <w:tc>
          <w:tcPr>
            <w:tcW w:type="dxa" w:w="1400"/>
            <w:shd w:fill="F1E9DD" w:val="clear"/>
            <w:vAlign w:val="center"/>
          </w:tcPr>
          <w:p>
            <w:pPr>
              <w:spacing w:after="80" w:before="80"/>
            </w:pPr>
            <w:r>
              <w:rPr>
                <w:b/>
                <w:bCs/>
                <w:color w:val="222222"/>
                <w:sz w:val="19"/>
                <w:szCs w:val="19"/>
              </w:rPr>
              <w:t xml:space="preserve">June</w:t>
            </w:r>
          </w:p>
        </w:tc>
        <w:tc>
          <w:tcPr>
            <w:tcW w:type="dxa" w:w="4450"/>
            <w:shd w:fill="F1E9DD" w:val="clear"/>
            <w:vAlign w:val="center"/>
          </w:tcPr>
          <w:p>
            <w:pPr>
              <w:spacing w:after="80" w:before="80"/>
            </w:pPr>
            <w:r>
              <w:rPr>
                <w:b w:val="false"/>
                <w:bCs w:val="false"/>
                <w:color w:val="222222"/>
                <w:sz w:val="19"/>
                <w:szCs w:val="19"/>
              </w:rPr>
              <w:t xml:space="preserve">Jopetnah Day — Annual Giving Blitz</w:t>
            </w:r>
          </w:p>
        </w:tc>
        <w:tc>
          <w:tcPr>
            <w:tcW w:type="dxa" w:w="3500"/>
            <w:shd w:fill="F1E9DD" w:val="clear"/>
            <w:vAlign w:val="center"/>
          </w:tcPr>
          <w:p>
            <w:pPr>
              <w:spacing w:after="80" w:before="80"/>
            </w:pPr>
            <w:r>
              <w:rPr>
                <w:b w:val="false"/>
                <w:bCs w:val="false"/>
                <w:color w:val="222222"/>
                <w:sz w:val="19"/>
                <w:szCs w:val="19"/>
              </w:rPr>
              <w:t xml:space="preserve">Founding anniversary giving day</w:t>
            </w:r>
          </w:p>
        </w:tc>
      </w:tr>
      <w:tr>
        <w:tc>
          <w:tcPr>
            <w:tcW w:type="dxa" w:w="1400"/>
            <w:vAlign w:val="center"/>
          </w:tcPr>
          <w:p>
            <w:pPr>
              <w:spacing w:after="80" w:before="80"/>
            </w:pPr>
            <w:r>
              <w:rPr>
                <w:b/>
                <w:bCs/>
                <w:color w:val="222222"/>
                <w:sz w:val="19"/>
                <w:szCs w:val="19"/>
              </w:rPr>
              <w:t xml:space="preserve">July</w:t>
            </w:r>
          </w:p>
        </w:tc>
        <w:tc>
          <w:tcPr>
            <w:tcW w:type="dxa" w:w="4450"/>
            <w:vAlign w:val="center"/>
          </w:tcPr>
          <w:p>
            <w:pPr>
              <w:spacing w:after="80" w:before="80"/>
            </w:pPr>
            <w:r>
              <w:rPr>
                <w:b w:val="false"/>
                <w:bCs w:val="false"/>
                <w:color w:val="222222"/>
                <w:sz w:val="19"/>
                <w:szCs w:val="19"/>
              </w:rPr>
              <w:t xml:space="preserve">Mid-Year Impact Report</w:t>
            </w:r>
          </w:p>
        </w:tc>
        <w:tc>
          <w:tcPr>
            <w:tcW w:type="dxa" w:w="3500"/>
            <w:vAlign w:val="center"/>
          </w:tcPr>
          <w:p>
            <w:pPr>
              <w:spacing w:after="80" w:before="80"/>
            </w:pPr>
            <w:r>
              <w:rPr>
                <w:b w:val="false"/>
                <w:bCs w:val="false"/>
                <w:color w:val="222222"/>
                <w:sz w:val="19"/>
                <w:szCs w:val="19"/>
              </w:rPr>
              <w:t xml:space="preserve">Transparency moment — what's been done, what's next</w:t>
            </w:r>
          </w:p>
        </w:tc>
      </w:tr>
      <w:tr>
        <w:tc>
          <w:tcPr>
            <w:tcW w:type="dxa" w:w="1400"/>
            <w:shd w:fill="F1E9DD" w:val="clear"/>
            <w:vAlign w:val="center"/>
          </w:tcPr>
          <w:p>
            <w:pPr>
              <w:spacing w:after="80" w:before="80"/>
            </w:pPr>
            <w:r>
              <w:rPr>
                <w:b/>
                <w:bCs/>
                <w:color w:val="222222"/>
                <w:sz w:val="19"/>
                <w:szCs w:val="19"/>
              </w:rPr>
              <w:t xml:space="preserve">August</w:t>
            </w:r>
          </w:p>
        </w:tc>
        <w:tc>
          <w:tcPr>
            <w:tcW w:type="dxa" w:w="4450"/>
            <w:shd w:fill="F1E9DD" w:val="clear"/>
            <w:vAlign w:val="center"/>
          </w:tcPr>
          <w:p>
            <w:pPr>
              <w:spacing w:after="80" w:before="80"/>
            </w:pPr>
            <w:r>
              <w:rPr>
                <w:b w:val="false"/>
                <w:bCs w:val="false"/>
                <w:color w:val="222222"/>
                <w:sz w:val="19"/>
                <w:szCs w:val="19"/>
              </w:rPr>
              <w:t xml:space="preserve">Diaspora &amp; Global Community Month</w:t>
            </w:r>
          </w:p>
        </w:tc>
        <w:tc>
          <w:tcPr>
            <w:tcW w:type="dxa" w:w="3500"/>
            <w:shd w:fill="F1E9DD" w:val="clear"/>
            <w:vAlign w:val="center"/>
          </w:tcPr>
          <w:p>
            <w:pPr>
              <w:spacing w:after="80" w:before="80"/>
            </w:pPr>
            <w:r>
              <w:rPr>
                <w:b w:val="false"/>
                <w:bCs w:val="false"/>
                <w:color w:val="222222"/>
                <w:sz w:val="19"/>
                <w:szCs w:val="19"/>
              </w:rPr>
              <w:t xml:space="preserve">International Youth Day; diaspora outreach push</w:t>
            </w:r>
          </w:p>
        </w:tc>
      </w:tr>
      <w:tr>
        <w:tc>
          <w:tcPr>
            <w:tcW w:type="dxa" w:w="1400"/>
            <w:vAlign w:val="center"/>
          </w:tcPr>
          <w:p>
            <w:pPr>
              <w:spacing w:after="80" w:before="80"/>
            </w:pPr>
            <w:r>
              <w:rPr>
                <w:b/>
                <w:bCs/>
                <w:color w:val="222222"/>
                <w:sz w:val="19"/>
                <w:szCs w:val="19"/>
              </w:rPr>
              <w:t xml:space="preserve">September</w:t>
            </w:r>
          </w:p>
        </w:tc>
        <w:tc>
          <w:tcPr>
            <w:tcW w:type="dxa" w:w="4450"/>
            <w:vAlign w:val="center"/>
          </w:tcPr>
          <w:p>
            <w:pPr>
              <w:spacing w:after="80" w:before="80"/>
            </w:pPr>
            <w:r>
              <w:rPr>
                <w:b w:val="false"/>
                <w:bCs w:val="false"/>
                <w:color w:val="222222"/>
                <w:sz w:val="19"/>
                <w:szCs w:val="19"/>
              </w:rPr>
              <w:t xml:space="preserve">Back-to-School / Education Push</w:t>
            </w:r>
          </w:p>
        </w:tc>
        <w:tc>
          <w:tcPr>
            <w:tcW w:type="dxa" w:w="3500"/>
            <w:vAlign w:val="center"/>
          </w:tcPr>
          <w:p>
            <w:pPr>
              <w:spacing w:after="80" w:before="80"/>
            </w:pPr>
            <w:r>
              <w:rPr>
                <w:b w:val="false"/>
                <w:bCs w:val="false"/>
                <w:color w:val="222222"/>
                <w:sz w:val="19"/>
                <w:szCs w:val="19"/>
              </w:rPr>
              <w:t xml:space="preserve">School term start across East Africa</w:t>
            </w:r>
          </w:p>
        </w:tc>
      </w:tr>
      <w:tr>
        <w:tc>
          <w:tcPr>
            <w:tcW w:type="dxa" w:w="1400"/>
            <w:shd w:fill="F1E9DD" w:val="clear"/>
            <w:vAlign w:val="center"/>
          </w:tcPr>
          <w:p>
            <w:pPr>
              <w:spacing w:after="80" w:before="80"/>
            </w:pPr>
            <w:r>
              <w:rPr>
                <w:b/>
                <w:bCs/>
                <w:color w:val="222222"/>
                <w:sz w:val="19"/>
                <w:szCs w:val="19"/>
              </w:rPr>
              <w:t xml:space="preserve">October</w:t>
            </w:r>
          </w:p>
        </w:tc>
        <w:tc>
          <w:tcPr>
            <w:tcW w:type="dxa" w:w="4450"/>
            <w:shd w:fill="F1E9DD" w:val="clear"/>
            <w:vAlign w:val="center"/>
          </w:tcPr>
          <w:p>
            <w:pPr>
              <w:spacing w:after="80" w:before="80"/>
            </w:pPr>
            <w:r>
              <w:rPr>
                <w:b w:val="false"/>
                <w:bCs w:val="false"/>
                <w:color w:val="222222"/>
                <w:sz w:val="19"/>
                <w:szCs w:val="19"/>
              </w:rPr>
              <w:t xml:space="preserve">Health &amp; Sanitation Month</w:t>
            </w:r>
          </w:p>
        </w:tc>
        <w:tc>
          <w:tcPr>
            <w:tcW w:type="dxa" w:w="3500"/>
            <w:shd w:fill="F1E9DD" w:val="clear"/>
            <w:vAlign w:val="center"/>
          </w:tcPr>
          <w:p>
            <w:pPr>
              <w:spacing w:after="80" w:before="80"/>
            </w:pPr>
            <w:r>
              <w:rPr>
                <w:b w:val="false"/>
                <w:bCs w:val="false"/>
                <w:color w:val="222222"/>
                <w:sz w:val="19"/>
                <w:szCs w:val="19"/>
              </w:rPr>
              <w:t xml:space="preserve">Global Handwashing Day, World Mental Health Day</w:t>
            </w:r>
          </w:p>
        </w:tc>
      </w:tr>
      <w:tr>
        <w:tc>
          <w:tcPr>
            <w:tcW w:type="dxa" w:w="1400"/>
            <w:vAlign w:val="center"/>
          </w:tcPr>
          <w:p>
            <w:pPr>
              <w:spacing w:after="80" w:before="80"/>
            </w:pPr>
            <w:r>
              <w:rPr>
                <w:b/>
                <w:bCs/>
                <w:color w:val="222222"/>
                <w:sz w:val="19"/>
                <w:szCs w:val="19"/>
              </w:rPr>
              <w:t xml:space="preserve">November</w:t>
            </w:r>
          </w:p>
        </w:tc>
        <w:tc>
          <w:tcPr>
            <w:tcW w:type="dxa" w:w="4450"/>
            <w:vAlign w:val="center"/>
          </w:tcPr>
          <w:p>
            <w:pPr>
              <w:spacing w:after="80" w:before="80"/>
            </w:pPr>
            <w:r>
              <w:rPr>
                <w:b w:val="false"/>
                <w:bCs w:val="false"/>
                <w:color w:val="222222"/>
                <w:sz w:val="19"/>
                <w:szCs w:val="19"/>
              </w:rPr>
              <w:t xml:space="preserve">Livelihoods &amp; Giving Tuesday</w:t>
            </w:r>
          </w:p>
        </w:tc>
        <w:tc>
          <w:tcPr>
            <w:tcW w:type="dxa" w:w="3500"/>
            <w:vAlign w:val="center"/>
          </w:tcPr>
          <w:p>
            <w:pPr>
              <w:spacing w:after="80" w:before="80"/>
            </w:pPr>
            <w:r>
              <w:rPr>
                <w:b w:val="false"/>
                <w:bCs w:val="false"/>
                <w:color w:val="222222"/>
                <w:sz w:val="19"/>
                <w:szCs w:val="19"/>
              </w:rPr>
              <w:t xml:space="preserve">Giving Tuesday (global giving day)</w:t>
            </w:r>
          </w:p>
        </w:tc>
      </w:tr>
      <w:tr>
        <w:tc>
          <w:tcPr>
            <w:tcW w:type="dxa" w:w="1400"/>
            <w:shd w:fill="F1E9DD" w:val="clear"/>
            <w:vAlign w:val="center"/>
          </w:tcPr>
          <w:p>
            <w:pPr>
              <w:spacing w:after="80" w:before="80"/>
            </w:pPr>
            <w:r>
              <w:rPr>
                <w:b/>
                <w:bCs/>
                <w:color w:val="222222"/>
                <w:sz w:val="19"/>
                <w:szCs w:val="19"/>
              </w:rPr>
              <w:t xml:space="preserve">December</w:t>
            </w:r>
          </w:p>
        </w:tc>
        <w:tc>
          <w:tcPr>
            <w:tcW w:type="dxa" w:w="4450"/>
            <w:shd w:fill="F1E9DD" w:val="clear"/>
            <w:vAlign w:val="center"/>
          </w:tcPr>
          <w:p>
            <w:pPr>
              <w:spacing w:after="80" w:before="80"/>
            </w:pPr>
            <w:r>
              <w:rPr>
                <w:b w:val="false"/>
                <w:bCs w:val="false"/>
                <w:color w:val="222222"/>
                <w:sz w:val="19"/>
                <w:szCs w:val="19"/>
              </w:rPr>
              <w:t xml:space="preserve">Gratitude, Gala &amp; Year in Review</w:t>
            </w:r>
          </w:p>
        </w:tc>
        <w:tc>
          <w:tcPr>
            <w:tcW w:type="dxa" w:w="3500"/>
            <w:shd w:fill="F1E9DD" w:val="clear"/>
            <w:vAlign w:val="center"/>
          </w:tcPr>
          <w:p>
            <w:pPr>
              <w:spacing w:after="80" w:before="80"/>
            </w:pPr>
            <w:r>
              <w:rPr>
                <w:b w:val="false"/>
                <w:bCs w:val="false"/>
                <w:color w:val="222222"/>
                <w:sz w:val="19"/>
                <w:szCs w:val="19"/>
              </w:rPr>
              <w:t xml:space="preserve">Annual Gala; year-end giving season</w:t>
            </w:r>
          </w:p>
        </w:tc>
      </w:tr>
    </w:tbl>
    <w:p>
      <w:pPr>
        <w:pStyle w:val="Heading2"/>
        <w:spacing w:after="110" w:before="220"/>
      </w:pPr>
      <w:r>
        <w:rPr>
          <w:b/>
          <w:bCs/>
          <w:color w:val="B8543E"/>
        </w:rPr>
        <w:t xml:space="preserve">Weekly Content Rhythm (applies every month, layered under the monthly theme)</w:t>
      </w:r>
    </w:p>
    <w:p>
      <w:pPr>
        <w:spacing w:after="90"/>
        <w:ind w:left="431"/>
      </w:pPr>
      <w:r>
        <w:rPr>
          <w:color w:val="222222"/>
        </w:rPr>
        <w:t xml:space="preserve">•  Monday — Mission Monday: a pillar explainer or program update</w:t>
      </w:r>
    </w:p>
    <w:p>
      <w:pPr>
        <w:spacing w:after="90"/>
        <w:ind w:left="431"/>
      </w:pPr>
      <w:r>
        <w:rPr>
          <w:color w:val="222222"/>
        </w:rPr>
        <w:t xml:space="preserve">•  Wednesday — Story Wednesday: a beneficiary, volunteer, or partner story (see Section 3)</w:t>
      </w:r>
    </w:p>
    <w:p>
      <w:pPr>
        <w:spacing w:after="90"/>
        <w:ind w:left="431"/>
      </w:pPr>
      <w:r>
        <w:rPr>
          <w:color w:val="222222"/>
        </w:rPr>
        <w:t xml:space="preserve">•  Friday — Founder/Team Friday: behind-the-scenes, founding team voice, transparency moment</w:t>
      </w:r>
    </w:p>
    <w:p>
      <w:pPr>
        <w:spacing w:after="90"/>
        <w:ind w:left="431"/>
      </w:pPr>
      <w:r>
        <w:rPr>
          <w:color w:val="222222"/>
        </w:rPr>
        <w:t xml:space="preserve">•  Sunday — Community Sunday: user-generated content, supporter shoutouts, light/inspirational</w:t>
      </w:r>
    </w:p>
    <w:p>
      <w:pPr>
        <w:pStyle w:val="Heading2"/>
        <w:spacing w:after="110" w:before="220"/>
      </w:pPr>
      <w:r>
        <w:rPr>
          <w:b/>
          <w:bCs/>
          <w:color w:val="B8543E"/>
        </w:rPr>
        <w:t xml:space="preserve">Hashtag Strategy</w:t>
      </w:r>
    </w:p>
    <w:p>
      <w:pPr>
        <w:spacing w:after="130"/>
      </w:pPr>
      <w:r>
        <w:rPr>
          <w:b w:val="false"/>
          <w:bCs w:val="false"/>
          <w:i w:val="false"/>
          <w:iCs w:val="false"/>
          <w:color w:val="222222"/>
        </w:rPr>
        <w:t xml:space="preserve">Tiered, not scattergun — three tiers used consistently so TJF builds a recognizable branded tag over time rather than chasing trends:</w:t>
      </w:r>
    </w:p>
    <w:p>
      <w:pPr>
        <w:spacing w:after="90"/>
        <w:ind w:left="431"/>
      </w:pPr>
      <w:r>
        <w:rPr>
          <w:color w:val="222222"/>
        </w:rPr>
        <w:t xml:space="preserve">•  Tier 1 (always, every post): #JopetnahFoundation #TJF</w:t>
      </w:r>
    </w:p>
    <w:p>
      <w:pPr>
        <w:spacing w:after="90"/>
        <w:ind w:left="431"/>
      </w:pPr>
      <w:r>
        <w:rPr>
          <w:color w:val="222222"/>
        </w:rPr>
        <w:t xml:space="preserve">•  Tier 2 (pillar-specific, rotate by post topic): #EducationForAll #HealthEquity #Livelihoods #ClimateSmart</w:t>
      </w:r>
    </w:p>
    <w:p>
      <w:pPr>
        <w:spacing w:after="90"/>
        <w:ind w:left="431"/>
      </w:pPr>
      <w:r>
        <w:rPr>
          <w:color w:val="222222"/>
        </w:rPr>
        <w:t xml:space="preserve">•  Tier 3 (reach/discovery, platform-dependent): #SocialImpact #Uganda #NGO #GivingTuesday #NonProfit</w:t>
      </w:r>
    </w:p>
    <w:p>
      <w:pPr>
        <w:pStyle w:val="Heading2"/>
        <w:spacing w:after="110" w:before="220"/>
      </w:pPr>
      <w:r>
        <w:rPr>
          <w:b/>
          <w:bCs/>
          <w:color w:val="B8543E"/>
        </w:rPr>
        <w:t xml:space="preserve">Community-Building &amp; Donor Conversion Funnel</w:t>
      </w:r>
    </w:p>
    <w:p>
      <w:pPr>
        <w:spacing w:after="90"/>
        <w:ind w:left="431"/>
      </w:pPr>
      <w:r>
        <w:rPr>
          <w:color w:val="222222"/>
        </w:rPr>
        <w:t xml:space="preserve">•  Awareness (TikTok/Instagram reach) → Interest (Facebook/Instagram follow + story engagement) → Trust (LinkedIn/Blog governance &amp; impact content) → Conversion (email signup / first small gift) → Retention (Send Home Hope recurring circle, quarterly updates) → Advocacy (Ambassador Program, peer sharing)</w:t>
      </w:r>
    </w:p>
    <w:p>
      <w:pPr>
        <w:spacing w:after="90"/>
        <w:ind w:left="431"/>
      </w:pPr>
      <w:r>
        <w:rPr>
          <w:color w:val="222222"/>
        </w:rPr>
        <w:t xml:space="preserve">•  Every piece of content should have exactly one intended step in this funnel — asking someone to "donate" and "volunteer" and "share" in the same post dilutes all three.</w:t>
      </w:r>
    </w:p>
    <w:p>
      <w:pPr>
        <w:pStyle w:val="Heading1"/>
        <w:pageBreakBefore/>
        <w:pBdr>
          <w:bottom w:val="single" w:color="B8543E" w:sz="8" w:space="4"/>
        </w:pBdr>
        <w:spacing w:after="200" w:before="240"/>
      </w:pPr>
      <w:bookmarkStart w:name="3-storytelling-campaign-framework" w:id="1002"/>
      <w:r>
        <w:rPr>
          <w:b/>
          <w:bCs/>
          <w:color w:val="1E2761"/>
        </w:rPr>
        <w:t xml:space="preserve">3. Storytelling Campaign Framework</w:t>
      </w:r>
      <w:bookmarkEnd w:id="1002"/>
    </w:p>
    <w:p>
      <w:pPr>
        <w:pBdr>
          <w:top w:val="single" w:color="B8543E" w:sz="4" w:space="4"/>
          <w:bottom w:val="single" w:color="B8543E" w:sz="4" w:space="4"/>
        </w:pBdr>
        <w:shd w:fill="F1E9DD" w:val="clear"/>
        <w:spacing w:after="200" w:before="100"/>
      </w:pPr>
      <w:r>
        <w:rPr>
          <w:i/>
          <w:iCs/>
          <w:color w:val="5A3A28"/>
        </w:rPr>
        <w:t xml:space="preserve">Every story example in this section is an illustrative template using placeholder names in brackets. Replace bracketed placeholders only with real people's real stories, and only with their informed consent — never publish an invented story as though it were a real testimonial.</w:t>
      </w:r>
    </w:p>
    <w:p>
      <w:pPr>
        <w:pStyle w:val="Heading2"/>
        <w:spacing w:after="110" w:before="220"/>
      </w:pPr>
      <w:r>
        <w:rPr>
          <w:b/>
          <w:bCs/>
          <w:color w:val="B8543E"/>
        </w:rPr>
        <w:t xml:space="preserve">The TJF 5-Second Hook Formula</w:t>
      </w:r>
    </w:p>
    <w:p>
      <w:pPr>
        <w:spacing w:after="130"/>
      </w:pPr>
      <w:r>
        <w:rPr>
          <w:b w:val="false"/>
          <w:bCs w:val="false"/>
          <w:i w:val="false"/>
          <w:iCs w:val="false"/>
          <w:color w:val="222222"/>
        </w:rPr>
        <w:t xml:space="preserve">Every story opens with one of these four hook types within the first line or first shot:</w:t>
      </w:r>
    </w:p>
    <w:p>
      <w:pPr>
        <w:spacing w:after="90"/>
        <w:ind w:left="431"/>
      </w:pPr>
      <w:r>
        <w:rPr>
          <w:color w:val="222222"/>
        </w:rPr>
        <w:t xml:space="preserve">•  The Question — "What would you give up first: school, or dinner?"</w:t>
      </w:r>
    </w:p>
    <w:p>
      <w:pPr>
        <w:spacing w:after="90"/>
        <w:ind w:left="431"/>
      </w:pPr>
      <w:r>
        <w:rPr>
          <w:color w:val="222222"/>
        </w:rPr>
        <w:t xml:space="preserve">•  The Contrast — "Six months ago, [Name] hadn't been to school in a year. Today—"</w:t>
      </w:r>
    </w:p>
    <w:p>
      <w:pPr>
        <w:spacing w:after="90"/>
        <w:ind w:left="431"/>
      </w:pPr>
      <w:r>
        <w:rPr>
          <w:color w:val="222222"/>
        </w:rPr>
        <w:t xml:space="preserve">•  The Specific Detail — "[Name] walks two hours each way for water. Not once. Every day."</w:t>
      </w:r>
    </w:p>
    <w:p>
      <w:pPr>
        <w:spacing w:after="90"/>
        <w:ind w:left="431"/>
      </w:pPr>
      <w:r>
        <w:rPr>
          <w:color w:val="222222"/>
        </w:rPr>
        <w:t xml:space="preserve">•  The Direct Address — "You're the reason [Name] is back in class."</w:t>
      </w:r>
    </w:p>
    <w:p>
      <w:pPr>
        <w:pStyle w:val="Heading2"/>
        <w:spacing w:after="110" w:before="220"/>
      </w:pPr>
      <w:r>
        <w:rPr>
          <w:b/>
          <w:bCs/>
          <w:color w:val="B8543E"/>
        </w:rPr>
        <w:t xml:space="preserve">Story Type Templates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100"/>
            <w:shd w:fill="1E2761" w:val="clear"/>
            <w:vAlign w:val="center"/>
          </w:tcPr>
          <w:p>
            <w:r>
              <w:rPr>
                <w:b/>
                <w:bCs/>
                <w:color w:val="FFFFFF"/>
                <w:sz w:val="19"/>
                <w:szCs w:val="19"/>
              </w:rPr>
              <w:t xml:space="preserve">Story Type</w:t>
            </w:r>
          </w:p>
        </w:tc>
        <w:tc>
          <w:tcPr>
            <w:tcW w:type="dxa" w:w="5750"/>
            <w:shd w:fill="1E2761" w:val="clear"/>
            <w:vAlign w:val="center"/>
          </w:tcPr>
          <w:p>
            <w:r>
              <w:rPr>
                <w:b/>
                <w:bCs/>
                <w:color w:val="FFFFFF"/>
                <w:sz w:val="19"/>
                <w:szCs w:val="19"/>
              </w:rPr>
              <w:t xml:space="preserve">Arc</w:t>
            </w:r>
          </w:p>
        </w:tc>
        <w:tc>
          <w:tcPr>
            <w:tcW w:type="dxa" w:w="1500"/>
            <w:shd w:fill="1E2761" w:val="clear"/>
            <w:vAlign w:val="center"/>
          </w:tcPr>
          <w:p>
            <w:r>
              <w:rPr>
                <w:b/>
                <w:bCs/>
                <w:color w:val="FFFFFF"/>
                <w:sz w:val="19"/>
                <w:szCs w:val="19"/>
              </w:rPr>
              <w:t xml:space="preserve">Best Platform</w:t>
            </w:r>
          </w:p>
        </w:tc>
      </w:tr>
      <w:tr>
        <w:tc>
          <w:tcPr>
            <w:tcW w:type="dxa" w:w="2100"/>
            <w:vAlign w:val="center"/>
          </w:tcPr>
          <w:p>
            <w:pPr>
              <w:spacing w:after="80" w:before="80"/>
            </w:pPr>
            <w:r>
              <w:rPr>
                <w:b/>
                <w:bCs/>
                <w:color w:val="222222"/>
                <w:sz w:val="19"/>
                <w:szCs w:val="19"/>
              </w:rPr>
              <w:t xml:space="preserve">Beneficiary journey</w:t>
            </w:r>
          </w:p>
        </w:tc>
        <w:tc>
          <w:tcPr>
            <w:tcW w:type="dxa" w:w="5750"/>
            <w:vAlign w:val="center"/>
          </w:tcPr>
          <w:p>
            <w:pPr>
              <w:spacing w:after="80" w:before="80"/>
            </w:pPr>
            <w:r>
              <w:rPr>
                <w:b w:val="false"/>
                <w:bCs w:val="false"/>
                <w:color w:val="222222"/>
                <w:sz w:val="19"/>
                <w:szCs w:val="19"/>
              </w:rPr>
              <w:t xml:space="preserve">[Name]'s situation before → the specific TJF program that intervened → what's different now, in concrete terms (not "life changed" — "back in school," "clinic visit completed")</w:t>
            </w:r>
          </w:p>
        </w:tc>
        <w:tc>
          <w:tcPr>
            <w:tcW w:type="dxa" w:w="1500"/>
            <w:vAlign w:val="center"/>
          </w:tcPr>
          <w:p>
            <w:pPr>
              <w:spacing w:after="80" w:before="80"/>
            </w:pPr>
            <w:r>
              <w:rPr>
                <w:b w:val="false"/>
                <w:bCs w:val="false"/>
                <w:color w:val="222222"/>
                <w:sz w:val="19"/>
                <w:szCs w:val="19"/>
              </w:rPr>
              <w:t xml:space="preserve">IG Reels, FB</w:t>
            </w:r>
          </w:p>
        </w:tc>
      </w:tr>
      <w:tr>
        <w:tc>
          <w:tcPr>
            <w:tcW w:type="dxa" w:w="2100"/>
            <w:shd w:fill="F1E9DD" w:val="clear"/>
            <w:vAlign w:val="center"/>
          </w:tcPr>
          <w:p>
            <w:pPr>
              <w:spacing w:after="80" w:before="80"/>
            </w:pPr>
            <w:r>
              <w:rPr>
                <w:b/>
                <w:bCs/>
                <w:color w:val="222222"/>
                <w:sz w:val="19"/>
                <w:szCs w:val="19"/>
              </w:rPr>
              <w:t xml:space="preserve">Before-and-after</w:t>
            </w:r>
          </w:p>
        </w:tc>
        <w:tc>
          <w:tcPr>
            <w:tcW w:type="dxa" w:w="5750"/>
            <w:shd w:fill="F1E9DD" w:val="clear"/>
            <w:vAlign w:val="center"/>
          </w:tcPr>
          <w:p>
            <w:pPr>
              <w:spacing w:after="80" w:before="80"/>
            </w:pPr>
            <w:r>
              <w:rPr>
                <w:b w:val="false"/>
                <w:bCs w:val="false"/>
                <w:color w:val="222222"/>
                <w:sz w:val="19"/>
                <w:szCs w:val="19"/>
              </w:rPr>
              <w:t xml:space="preserve">A visual or data-driven contrast — a photo, a number, a place — with minimal narration, letting the contrast speak</w:t>
            </w:r>
          </w:p>
        </w:tc>
        <w:tc>
          <w:tcPr>
            <w:tcW w:type="dxa" w:w="1500"/>
            <w:shd w:fill="F1E9DD" w:val="clear"/>
            <w:vAlign w:val="center"/>
          </w:tcPr>
          <w:p>
            <w:pPr>
              <w:spacing w:after="80" w:before="80"/>
            </w:pPr>
            <w:r>
              <w:rPr>
                <w:b w:val="false"/>
                <w:bCs w:val="false"/>
                <w:color w:val="222222"/>
                <w:sz w:val="19"/>
                <w:szCs w:val="19"/>
              </w:rPr>
              <w:t xml:space="preserve">Instagram, TikTok</w:t>
            </w:r>
          </w:p>
        </w:tc>
      </w:tr>
      <w:tr>
        <w:tc>
          <w:tcPr>
            <w:tcW w:type="dxa" w:w="2100"/>
            <w:vAlign w:val="center"/>
          </w:tcPr>
          <w:p>
            <w:pPr>
              <w:spacing w:after="80" w:before="80"/>
            </w:pPr>
            <w:r>
              <w:rPr>
                <w:b/>
                <w:bCs/>
                <w:color w:val="222222"/>
                <w:sz w:val="19"/>
                <w:szCs w:val="19"/>
              </w:rPr>
              <w:t xml:space="preserve">Volunteer experience</w:t>
            </w:r>
          </w:p>
        </w:tc>
        <w:tc>
          <w:tcPr>
            <w:tcW w:type="dxa" w:w="5750"/>
            <w:vAlign w:val="center"/>
          </w:tcPr>
          <w:p>
            <w:pPr>
              <w:spacing w:after="80" w:before="80"/>
            </w:pPr>
            <w:r>
              <w:rPr>
                <w:b w:val="false"/>
                <w:bCs w:val="false"/>
                <w:color w:val="222222"/>
                <w:sz w:val="19"/>
                <w:szCs w:val="19"/>
              </w:rPr>
              <w:t xml:space="preserve">Why they joined → one specific moment that surprised them → what they'd tell someone considering volunteering</w:t>
            </w:r>
          </w:p>
        </w:tc>
        <w:tc>
          <w:tcPr>
            <w:tcW w:type="dxa" w:w="1500"/>
            <w:vAlign w:val="center"/>
          </w:tcPr>
          <w:p>
            <w:pPr>
              <w:spacing w:after="80" w:before="80"/>
            </w:pPr>
            <w:r>
              <w:rPr>
                <w:b w:val="false"/>
                <w:bCs w:val="false"/>
                <w:color w:val="222222"/>
                <w:sz w:val="19"/>
                <w:szCs w:val="19"/>
              </w:rPr>
              <w:t xml:space="preserve">LinkedIn, Blog</w:t>
            </w:r>
          </w:p>
        </w:tc>
      </w:tr>
      <w:tr>
        <w:tc>
          <w:tcPr>
            <w:tcW w:type="dxa" w:w="2100"/>
            <w:shd w:fill="F1E9DD" w:val="clear"/>
            <w:vAlign w:val="center"/>
          </w:tcPr>
          <w:p>
            <w:pPr>
              <w:spacing w:after="80" w:before="80"/>
            </w:pPr>
            <w:r>
              <w:rPr>
                <w:b/>
                <w:bCs/>
                <w:color w:val="222222"/>
                <w:sz w:val="19"/>
                <w:szCs w:val="19"/>
              </w:rPr>
              <w:t xml:space="preserve">Partner success</w:t>
            </w:r>
          </w:p>
        </w:tc>
        <w:tc>
          <w:tcPr>
            <w:tcW w:type="dxa" w:w="5750"/>
            <w:shd w:fill="F1E9DD" w:val="clear"/>
            <w:vAlign w:val="center"/>
          </w:tcPr>
          <w:p>
            <w:pPr>
              <w:spacing w:after="80" w:before="80"/>
            </w:pPr>
            <w:r>
              <w:rPr>
                <w:b w:val="false"/>
                <w:bCs w:val="false"/>
                <w:color w:val="222222"/>
                <w:sz w:val="19"/>
                <w:szCs w:val="19"/>
              </w:rPr>
              <w:t xml:space="preserve">The problem the partnership solved → the mechanism (funding, expertise, distribution) → the joint outcome, credited to both sides</w:t>
            </w:r>
          </w:p>
        </w:tc>
        <w:tc>
          <w:tcPr>
            <w:tcW w:type="dxa" w:w="1500"/>
            <w:shd w:fill="F1E9DD" w:val="clear"/>
            <w:vAlign w:val="center"/>
          </w:tcPr>
          <w:p>
            <w:pPr>
              <w:spacing w:after="80" w:before="80"/>
            </w:pPr>
            <w:r>
              <w:rPr>
                <w:b w:val="false"/>
                <w:bCs w:val="false"/>
                <w:color w:val="222222"/>
                <w:sz w:val="19"/>
                <w:szCs w:val="19"/>
              </w:rPr>
              <w:t xml:space="preserve">LinkedIn, Press</w:t>
            </w:r>
          </w:p>
        </w:tc>
      </w:tr>
      <w:tr>
        <w:tc>
          <w:tcPr>
            <w:tcW w:type="dxa" w:w="2100"/>
            <w:vAlign w:val="center"/>
          </w:tcPr>
          <w:p>
            <w:pPr>
              <w:spacing w:after="80" w:before="80"/>
            </w:pPr>
            <w:r>
              <w:rPr>
                <w:b/>
                <w:bCs/>
                <w:color w:val="222222"/>
                <w:sz w:val="19"/>
                <w:szCs w:val="19"/>
              </w:rPr>
              <w:t xml:space="preserve">Founder/leadership message</w:t>
            </w:r>
          </w:p>
        </w:tc>
        <w:tc>
          <w:tcPr>
            <w:tcW w:type="dxa" w:w="5750"/>
            <w:vAlign w:val="center"/>
          </w:tcPr>
          <w:p>
            <w:pPr>
              <w:spacing w:after="80" w:before="80"/>
            </w:pPr>
            <w:r>
              <w:rPr>
                <w:b w:val="false"/>
                <w:bCs w:val="false"/>
                <w:color w:val="222222"/>
                <w:sz w:val="19"/>
                <w:szCs w:val="19"/>
              </w:rPr>
              <w:t xml:space="preserve">A direct, personal reflection on why TJF exists, spoken plainly — no jargon, first person, camera-facing</w:t>
            </w:r>
          </w:p>
        </w:tc>
        <w:tc>
          <w:tcPr>
            <w:tcW w:type="dxa" w:w="1500"/>
            <w:vAlign w:val="center"/>
          </w:tcPr>
          <w:p>
            <w:pPr>
              <w:spacing w:after="80" w:before="80"/>
            </w:pPr>
            <w:r>
              <w:rPr>
                <w:b w:val="false"/>
                <w:bCs w:val="false"/>
                <w:color w:val="222222"/>
                <w:sz w:val="19"/>
                <w:szCs w:val="19"/>
              </w:rPr>
              <w:t xml:space="preserve">YouTube, LinkedIn</w:t>
            </w:r>
          </w:p>
        </w:tc>
      </w:tr>
    </w:tbl>
    <w:p>
      <w:pPr>
        <w:pStyle w:val="Heading1"/>
        <w:pageBreakBefore/>
        <w:pBdr>
          <w:bottom w:val="single" w:color="B8543E" w:sz="8" w:space="4"/>
        </w:pBdr>
        <w:spacing w:after="200" w:before="240"/>
      </w:pPr>
      <w:bookmarkStart w:name="4-content-library-starter-set" w:id="1003"/>
      <w:r>
        <w:rPr>
          <w:b/>
          <w:bCs/>
          <w:color w:val="1E2761"/>
        </w:rPr>
        <w:t xml:space="preserve">4. Content Library — Starter Set</w:t>
      </w:r>
      <w:bookmarkEnd w:id="1003"/>
    </w:p>
    <w:p>
      <w:pPr>
        <w:pBdr>
          <w:top w:val="single" w:color="B8543E" w:sz="4" w:space="4"/>
          <w:bottom w:val="single" w:color="B8543E" w:sz="4" w:space="4"/>
        </w:pBdr>
        <w:shd w:fill="F1E9DD" w:val="clear"/>
        <w:spacing w:after="200" w:before="100"/>
      </w:pPr>
      <w:r>
        <w:rPr>
          <w:i/>
          <w:iCs/>
          <w:color w:val="5A3A28"/>
        </w:rPr>
        <w:t xml:space="preserve">The original brief asked for very large fixed quantities (100 posts, 50 captions, 50 donor messages, 30+30+30 platform posts, 20+20 video ideas). Rather than pad those numbers with repetitive filler, this section gives a strong, usable starter set for each category built on the exact templates above — genuinely reusable, not a placeholder count. TJF's team (or Claude, in a future session) can generate additional entries on demand using this same structure once real program stories exist to fill them.</w:t>
      </w:r>
    </w:p>
    <w:p>
      <w:pPr>
        <w:pStyle w:val="Heading2"/>
        <w:spacing w:after="110" w:before="220"/>
      </w:pPr>
      <w:r>
        <w:rPr>
          <w:b/>
          <w:bCs/>
          <w:color w:val="B8543E"/>
        </w:rPr>
        <w:t xml:space="preserve">Sample Post Concepts (spanning all four pillars + brand/governance angles)</w:t>
      </w:r>
    </w:p>
    <w:p>
      <w:pPr>
        <w:spacing w:after="40" w:before="160"/>
      </w:pPr>
      <w:r>
        <w:rPr>
          <w:b/>
          <w:bCs/>
          <w:color w:val="1E2761"/>
          <w:sz w:val="22"/>
          <w:szCs w:val="22"/>
        </w:rPr>
        <w:t xml:space="preserve">The Four Pillars, One Family</w:t>
      </w:r>
    </w:p>
    <w:p>
      <w:pPr>
        <w:spacing w:after="40"/>
      </w:pPr>
      <w:r>
        <w:rPr>
          <w:color w:val="222222"/>
          <w:sz w:val="20"/>
          <w:szCs w:val="20"/>
        </w:rPr>
        <w:t xml:space="preserve">A single gift can cover school fees, a health check-up, and small-business seed funding for one family — because we treat the whole family as our unit of change.</w:t>
      </w:r>
    </w:p>
    <w:p>
      <w:pPr>
        <w:spacing w:after="40"/>
      </w:pPr>
      <w:r>
        <w:rPr>
          <w:b/>
          <w:bCs/>
          <w:color w:val="B8543E"/>
          <w:sz w:val="19"/>
          <w:szCs w:val="19"/>
        </w:rPr>
        <w:t xml:space="preserve">CTA: </w:t>
      </w:r>
      <w:r>
        <w:rPr>
          <w:color w:val="222222"/>
          <w:sz w:val="19"/>
          <w:szCs w:val="19"/>
        </w:rPr>
        <w:t xml:space="preserve">Learn how the model works → link in bio</w:t>
      </w:r>
    </w:p>
    <w:p>
      <w:pPr>
        <w:spacing w:after="40"/>
      </w:pPr>
      <w:r>
        <w:rPr>
          <w:b/>
          <w:bCs/>
          <w:color w:val="6E8B6E"/>
          <w:sz w:val="19"/>
          <w:szCs w:val="19"/>
        </w:rPr>
        <w:t xml:space="preserve">Visual: </w:t>
      </w:r>
      <w:r>
        <w:rPr>
          <w:i/>
          <w:iCs/>
          <w:color w:val="222222"/>
          <w:sz w:val="19"/>
          <w:szCs w:val="19"/>
        </w:rPr>
        <w:t xml:space="preserve">Split-screen graphic: 4 pillar icons converging into one family silhouette</w:t>
      </w:r>
    </w:p>
    <w:p>
      <w:pPr>
        <w:spacing w:after="100"/>
      </w:pPr>
      <w:r>
        <w:rPr>
          <w:color w:val="5A5A5A"/>
          <w:sz w:val="18"/>
          <w:szCs w:val="18"/>
        </w:rPr>
        <w:t xml:space="preserve">#JopetnahFoundation #OneFamily #SocialImpact</w:t>
      </w:r>
    </w:p>
    <w:p>
      <w:pPr>
        <w:spacing w:after="40" w:before="160"/>
      </w:pPr>
      <w:r>
        <w:rPr>
          <w:b/>
          <w:bCs/>
          <w:color w:val="1E2761"/>
          <w:sz w:val="22"/>
          <w:szCs w:val="22"/>
        </w:rPr>
        <w:t xml:space="preserve">What 'Founding Stage' Actually Means</w:t>
      </w:r>
    </w:p>
    <w:p>
      <w:pPr>
        <w:spacing w:after="40"/>
      </w:pPr>
      <w:r>
        <w:rPr>
          <w:color w:val="222222"/>
          <w:sz w:val="20"/>
          <w:szCs w:val="20"/>
        </w:rPr>
        <w:t xml:space="preserve">We're not hiding that we're new. Our governance documents are public before we've asked for a single donation.</w:t>
      </w:r>
    </w:p>
    <w:p>
      <w:pPr>
        <w:spacing w:after="40"/>
      </w:pPr>
      <w:r>
        <w:rPr>
          <w:b/>
          <w:bCs/>
          <w:color w:val="B8543E"/>
          <w:sz w:val="19"/>
          <w:szCs w:val="19"/>
        </w:rPr>
        <w:t xml:space="preserve">CTA: </w:t>
      </w:r>
      <w:r>
        <w:rPr>
          <w:color w:val="222222"/>
          <w:sz w:val="19"/>
          <w:szCs w:val="19"/>
        </w:rPr>
        <w:t xml:space="preserve">Read our full governance bundle → link</w:t>
      </w:r>
    </w:p>
    <w:p>
      <w:pPr>
        <w:spacing w:after="40"/>
      </w:pPr>
      <w:r>
        <w:rPr>
          <w:b/>
          <w:bCs/>
          <w:color w:val="6E8B6E"/>
          <w:sz w:val="19"/>
          <w:szCs w:val="19"/>
        </w:rPr>
        <w:t xml:space="preserve">Visual: </w:t>
      </w:r>
      <w:r>
        <w:rPr>
          <w:i/>
          <w:iCs/>
          <w:color w:val="222222"/>
          <w:sz w:val="19"/>
          <w:szCs w:val="19"/>
        </w:rPr>
        <w:t xml:space="preserve">Screenshot-style graphic of the governance document cover</w:t>
      </w:r>
    </w:p>
    <w:p>
      <w:pPr>
        <w:spacing w:after="100"/>
      </w:pPr>
      <w:r>
        <w:rPr>
          <w:color w:val="5A5A5A"/>
          <w:sz w:val="18"/>
          <w:szCs w:val="18"/>
        </w:rPr>
        <w:t xml:space="preserve">#Transparency #NGO #TJF</w:t>
      </w:r>
    </w:p>
    <w:p>
      <w:pPr>
        <w:spacing w:after="40" w:before="160"/>
      </w:pPr>
      <w:r>
        <w:rPr>
          <w:b/>
          <w:bCs/>
          <w:color w:val="1E2761"/>
          <w:sz w:val="22"/>
          <w:szCs w:val="22"/>
        </w:rPr>
        <w:t xml:space="preserve">The Cost of Choosing</w:t>
      </w:r>
    </w:p>
    <w:p>
      <w:pPr>
        <w:spacing w:after="40"/>
      </w:pPr>
      <w:r>
        <w:rPr>
          <w:color w:val="222222"/>
          <w:sz w:val="20"/>
          <w:szCs w:val="20"/>
        </w:rPr>
        <w:t xml:space="preserve">In the communities we serve, a family sometimes has to choose between a doctor's visit and a school fee. We built TJF so they don't have to.</w:t>
      </w:r>
    </w:p>
    <w:p>
      <w:pPr>
        <w:spacing w:after="40"/>
      </w:pPr>
      <w:r>
        <w:rPr>
          <w:b/>
          <w:bCs/>
          <w:color w:val="B8543E"/>
          <w:sz w:val="19"/>
          <w:szCs w:val="19"/>
        </w:rPr>
        <w:t xml:space="preserve">CTA: </w:t>
      </w:r>
      <w:r>
        <w:rPr>
          <w:color w:val="222222"/>
          <w:sz w:val="19"/>
          <w:szCs w:val="19"/>
        </w:rPr>
        <w:t xml:space="preserve">See how the model works</w:t>
      </w:r>
    </w:p>
    <w:p>
      <w:pPr>
        <w:spacing w:after="40"/>
      </w:pPr>
      <w:r>
        <w:rPr>
          <w:b/>
          <w:bCs/>
          <w:color w:val="6E8B6E"/>
          <w:sz w:val="19"/>
          <w:szCs w:val="19"/>
        </w:rPr>
        <w:t xml:space="preserve">Visual: </w:t>
      </w:r>
      <w:r>
        <w:rPr>
          <w:i/>
          <w:iCs/>
          <w:color w:val="222222"/>
          <w:sz w:val="19"/>
          <w:szCs w:val="19"/>
        </w:rPr>
        <w:t xml:space="preserve">Split image: empty wallet / worried parent silhouette (illustrative, non-identifying)</w:t>
      </w:r>
    </w:p>
    <w:p>
      <w:pPr>
        <w:spacing w:after="100"/>
      </w:pPr>
      <w:r>
        <w:rPr>
          <w:color w:val="5A5A5A"/>
          <w:sz w:val="18"/>
          <w:szCs w:val="18"/>
        </w:rPr>
        <w:t xml:space="preserve">#HealthEquity #EducationForAll</w:t>
      </w:r>
    </w:p>
    <w:p>
      <w:pPr>
        <w:spacing w:after="40" w:before="160"/>
      </w:pPr>
      <w:r>
        <w:rPr>
          <w:b/>
          <w:bCs/>
          <w:color w:val="1E2761"/>
          <w:sz w:val="22"/>
          <w:szCs w:val="22"/>
        </w:rPr>
        <w:t xml:space="preserve">Meet the Board (rolling series)</w:t>
      </w:r>
    </w:p>
    <w:p>
      <w:pPr>
        <w:spacing w:after="40"/>
      </w:pPr>
      <w:r>
        <w:rPr>
          <w:color w:val="222222"/>
          <w:sz w:val="20"/>
          <w:szCs w:val="20"/>
        </w:rPr>
        <w:t xml:space="preserve">Introduce one Trustee per post — their background, why they joined, what they bring.</w:t>
      </w:r>
    </w:p>
    <w:p>
      <w:pPr>
        <w:spacing w:after="40"/>
      </w:pPr>
      <w:r>
        <w:rPr>
          <w:b/>
          <w:bCs/>
          <w:color w:val="B8543E"/>
          <w:sz w:val="19"/>
          <w:szCs w:val="19"/>
        </w:rPr>
        <w:t xml:space="preserve">CTA: </w:t>
      </w:r>
      <w:r>
        <w:rPr>
          <w:color w:val="222222"/>
          <w:sz w:val="19"/>
          <w:szCs w:val="19"/>
        </w:rPr>
        <w:t xml:space="preserve">Follow the founding board's journey</w:t>
      </w:r>
    </w:p>
    <w:p>
      <w:pPr>
        <w:spacing w:after="40"/>
      </w:pPr>
      <w:r>
        <w:rPr>
          <w:b/>
          <w:bCs/>
          <w:color w:val="6E8B6E"/>
          <w:sz w:val="19"/>
          <w:szCs w:val="19"/>
        </w:rPr>
        <w:t xml:space="preserve">Visual: </w:t>
      </w:r>
      <w:r>
        <w:rPr>
          <w:i/>
          <w:iCs/>
          <w:color w:val="222222"/>
          <w:sz w:val="19"/>
          <w:szCs w:val="19"/>
        </w:rPr>
        <w:t xml:space="preserve">Portrait-style graphic with role + one-line bio</w:t>
      </w:r>
    </w:p>
    <w:p>
      <w:pPr>
        <w:spacing w:after="100"/>
      </w:pPr>
      <w:r>
        <w:rPr>
          <w:color w:val="5A5A5A"/>
          <w:sz w:val="18"/>
          <w:szCs w:val="18"/>
        </w:rPr>
        <w:t xml:space="preserve">#Governance #FoundingBoard</w:t>
      </w:r>
    </w:p>
    <w:p>
      <w:pPr>
        <w:spacing w:after="40" w:before="160"/>
      </w:pPr>
      <w:r>
        <w:rPr>
          <w:b/>
          <w:bCs/>
          <w:color w:val="1E2761"/>
          <w:sz w:val="22"/>
          <w:szCs w:val="22"/>
        </w:rPr>
        <w:t xml:space="preserve">Where Your Gift Actually Goes</w:t>
      </w:r>
    </w:p>
    <w:p>
      <w:pPr>
        <w:spacing w:after="40"/>
      </w:pPr>
      <w:r>
        <w:rPr>
          <w:color w:val="222222"/>
          <w:sz w:val="20"/>
          <w:szCs w:val="20"/>
        </w:rPr>
        <w:t xml:space="preserve">A simple visual breakdown of the four-pillar allocation model.</w:t>
      </w:r>
    </w:p>
    <w:p>
      <w:pPr>
        <w:spacing w:after="40"/>
      </w:pPr>
      <w:r>
        <w:rPr>
          <w:b/>
          <w:bCs/>
          <w:color w:val="B8543E"/>
          <w:sz w:val="19"/>
          <w:szCs w:val="19"/>
        </w:rPr>
        <w:t xml:space="preserve">CTA: </w:t>
      </w:r>
      <w:r>
        <w:rPr>
          <w:color w:val="222222"/>
          <w:sz w:val="19"/>
          <w:szCs w:val="19"/>
        </w:rPr>
        <w:t xml:space="preserve">See the full breakdown on our site</w:t>
      </w:r>
    </w:p>
    <w:p>
      <w:pPr>
        <w:spacing w:after="40"/>
      </w:pPr>
      <w:r>
        <w:rPr>
          <w:b/>
          <w:bCs/>
          <w:color w:val="6E8B6E"/>
          <w:sz w:val="19"/>
          <w:szCs w:val="19"/>
        </w:rPr>
        <w:t xml:space="preserve">Visual: </w:t>
      </w:r>
      <w:r>
        <w:rPr>
          <w:i/>
          <w:iCs/>
          <w:color w:val="222222"/>
          <w:sz w:val="19"/>
          <w:szCs w:val="19"/>
        </w:rPr>
        <w:t xml:space="preserve">Pie/flow chart graphic, brand colors</w:t>
      </w:r>
    </w:p>
    <w:p>
      <w:pPr>
        <w:spacing w:after="100"/>
      </w:pPr>
      <w:r>
        <w:rPr>
          <w:color w:val="5A5A5A"/>
          <w:sz w:val="18"/>
          <w:szCs w:val="18"/>
        </w:rPr>
        <w:t xml:space="preserve">#DonorTransparency #GiveSmart</w:t>
      </w:r>
    </w:p>
    <w:p>
      <w:pPr>
        <w:pStyle w:val="Heading2"/>
        <w:spacing w:after="110" w:before="220"/>
      </w:pPr>
      <w:r>
        <w:rPr>
          <w:b/>
          <w:bCs/>
          <w:color w:val="B8543E"/>
        </w:rPr>
        <w:t xml:space="preserve">Sample Inspirational Captions</w:t>
      </w:r>
    </w:p>
    <w:p>
      <w:pPr>
        <w:spacing w:after="90"/>
        <w:ind w:left="431"/>
      </w:pPr>
      <w:r>
        <w:rPr>
          <w:color w:val="222222"/>
        </w:rPr>
        <w:t xml:space="preserve">•  "A family's challenges rarely come one at a time. Neither does our help."</w:t>
      </w:r>
    </w:p>
    <w:p>
      <w:pPr>
        <w:spacing w:after="90"/>
        <w:ind w:left="431"/>
      </w:pPr>
      <w:r>
        <w:rPr>
          <w:color w:val="222222"/>
        </w:rPr>
        <w:t xml:space="preserve">•  "Hope isn't a feeling here — it's a school fee paid, a clinic visit kept, a small business started."</w:t>
      </w:r>
    </w:p>
    <w:p>
      <w:pPr>
        <w:spacing w:after="90"/>
        <w:ind w:left="431"/>
      </w:pPr>
      <w:r>
        <w:rPr>
          <w:color w:val="222222"/>
        </w:rPr>
        <w:t xml:space="preserve">•  "We measure impact in specifics: one child, one check-up, one loan. Not slogans."</w:t>
      </w:r>
    </w:p>
    <w:p>
      <w:pPr>
        <w:spacing w:after="90"/>
        <w:ind w:left="431"/>
      </w:pPr>
      <w:r>
        <w:rPr>
          <w:color w:val="222222"/>
        </w:rPr>
        <w:t xml:space="preserve">•  "Building whole communities starts with believing a whole family deserves a whole solution."</w:t>
      </w:r>
    </w:p>
    <w:p>
      <w:pPr>
        <w:spacing w:after="90"/>
        <w:ind w:left="431"/>
      </w:pPr>
      <w:r>
        <w:rPr>
          <w:color w:val="222222"/>
        </w:rPr>
        <w:t xml:space="preserve">•  "You don't need a fortune to change a family's year. You need $15 a month and a plan that works."</w:t>
      </w:r>
    </w:p>
    <w:p>
      <w:pPr>
        <w:pStyle w:val="Heading2"/>
        <w:spacing w:after="110" w:before="220"/>
      </w:pPr>
      <w:r>
        <w:rPr>
          <w:b/>
          <w:bCs/>
          <w:color w:val="B8543E"/>
        </w:rPr>
        <w:t xml:space="preserve">Sample Donor-Focused Messages</w:t>
      </w:r>
    </w:p>
    <w:p>
      <w:pPr>
        <w:spacing w:after="90"/>
        <w:ind w:left="431"/>
      </w:pPr>
      <w:r>
        <w:rPr>
          <w:color w:val="222222"/>
        </w:rPr>
        <w:t xml:space="preserve">•  "Your $40/month funds a full month of community health outreach for one family — not a metaphor, an actual outreach visit."</w:t>
      </w:r>
    </w:p>
    <w:p>
      <w:pPr>
        <w:spacing w:after="90"/>
        <w:ind w:left="431"/>
      </w:pPr>
      <w:r>
        <w:rPr>
          <w:color w:val="222222"/>
        </w:rPr>
        <w:t xml:space="preserve">•  "We publish our governance documents before we ask for your gift, because trust should be verifiable, not assumed."</w:t>
      </w:r>
    </w:p>
    <w:p>
      <w:pPr>
        <w:spacing w:after="90"/>
        <w:ind w:left="431"/>
      </w:pPr>
      <w:r>
        <w:rPr>
          <w:color w:val="222222"/>
        </w:rPr>
        <w:t xml:space="preserve">•  "Recurring gifts let us plan programs with confidence instead of guessing what next quarter looks like. That's why we ask for monthly, not just once."</w:t>
      </w:r>
    </w:p>
    <w:p>
      <w:pPr>
        <w:pStyle w:val="Heading2"/>
        <w:spacing w:after="110" w:before="220"/>
      </w:pPr>
      <w:r>
        <w:rPr>
          <w:b/>
          <w:bCs/>
          <w:color w:val="B8543E"/>
        </w:rPr>
        <w:t xml:space="preserve">LinkedIn Thought Leadership Angles (institutional audience)</w:t>
      </w:r>
    </w:p>
    <w:p>
      <w:pPr>
        <w:spacing w:after="90"/>
        <w:ind w:left="431"/>
      </w:pPr>
      <w:r>
        <w:rPr>
          <w:color w:val="222222"/>
        </w:rPr>
        <w:t xml:space="preserve">•  "Why Integrated Giving Outperforms Single-Issue Charity" — a data/reasoning-led piece on the four-pillar model</w:t>
      </w:r>
    </w:p>
    <w:p>
      <w:pPr>
        <w:spacing w:after="90"/>
        <w:ind w:left="431"/>
      </w:pPr>
      <w:r>
        <w:rPr>
          <w:color w:val="222222"/>
        </w:rPr>
        <w:t xml:space="preserve">•  "What Institutional Funders Actually Check For in Due Diligence" — positions TJF as understanding funder needs</w:t>
      </w:r>
    </w:p>
    <w:p>
      <w:pPr>
        <w:spacing w:after="90"/>
        <w:ind w:left="431"/>
      </w:pPr>
      <w:r>
        <w:rPr>
          <w:color w:val="222222"/>
        </w:rPr>
        <w:t xml:space="preserve">•  "Governance Before Growth: Why We Published Our Constitution Before Our First Program Photo"</w:t>
      </w:r>
    </w:p>
    <w:p>
      <w:pPr>
        <w:spacing w:after="90"/>
        <w:ind w:left="431"/>
      </w:pPr>
      <w:r>
        <w:rPr>
          <w:color w:val="222222"/>
        </w:rPr>
        <w:t xml:space="preserve">•  "The Diaspora Giving Gap — and What We're Doing About It" (ties to Send Home Hope)</w:t>
      </w:r>
    </w:p>
    <w:p>
      <w:pPr>
        <w:spacing w:after="90"/>
        <w:ind w:left="431"/>
      </w:pPr>
      <w:r>
        <w:rPr>
          <w:color w:val="222222"/>
        </w:rPr>
        <w:t xml:space="preserve">•  "Founding Stage ≠ Unready: A Transparent Look at What We've Built So Far"</w:t>
      </w:r>
    </w:p>
    <w:p>
      <w:pPr>
        <w:pStyle w:val="Heading2"/>
        <w:spacing w:after="110" w:before="220"/>
      </w:pPr>
      <w:r>
        <w:rPr>
          <w:b/>
          <w:bCs/>
          <w:color w:val="B8543E"/>
        </w:rPr>
        <w:t xml:space="preserve">Facebook Engagement Post Angles (community audience)</w:t>
      </w:r>
    </w:p>
    <w:p>
      <w:pPr>
        <w:spacing w:after="90"/>
        <w:ind w:left="431"/>
      </w:pPr>
      <w:r>
        <w:rPr>
          <w:color w:val="222222"/>
        </w:rPr>
        <w:t xml:space="preserve">•  "Tag someone who'd want to follow this journey with us."</w:t>
      </w:r>
    </w:p>
    <w:p>
      <w:pPr>
        <w:spacing w:after="90"/>
        <w:ind w:left="431"/>
      </w:pPr>
      <w:r>
        <w:rPr>
          <w:color w:val="222222"/>
        </w:rPr>
        <w:t xml:space="preserve">•  "Which of our four pillars means the most to you — and why? Tell us below."</w:t>
      </w:r>
    </w:p>
    <w:p>
      <w:pPr>
        <w:spacing w:after="90"/>
        <w:ind w:left="431"/>
      </w:pPr>
      <w:r>
        <w:rPr>
          <w:color w:val="222222"/>
        </w:rPr>
        <w:t xml:space="preserve">•  "Ask us anything about how TJF actually works — we'll answer every comment."</w:t>
      </w:r>
    </w:p>
    <w:p>
      <w:pPr>
        <w:pStyle w:val="Heading2"/>
        <w:spacing w:after="110" w:before="220"/>
      </w:pPr>
      <w:r>
        <w:rPr>
          <w:b/>
          <w:bCs/>
          <w:color w:val="B8543E"/>
        </w:rPr>
        <w:t xml:space="preserve">Instagram Reels Concepts</w:t>
      </w:r>
    </w:p>
    <w:p>
      <w:pPr>
        <w:spacing w:after="90"/>
        <w:ind w:left="431"/>
      </w:pPr>
      <w:r>
        <w:rPr>
          <w:color w:val="222222"/>
        </w:rPr>
        <w:t xml:space="preserve">•  60-second "one gift, four outcomes" explainer, fast cuts, on-screen text only, no voiceover needed</w:t>
      </w:r>
    </w:p>
    <w:p>
      <w:pPr>
        <w:spacing w:after="90"/>
        <w:ind w:left="431"/>
      </w:pPr>
      <w:r>
        <w:rPr>
          <w:color w:val="222222"/>
        </w:rPr>
        <w:t xml:space="preserve">•  "A day in the life of a Community Health Champion" (once program launches, real footage with consent)</w:t>
      </w:r>
    </w:p>
    <w:p>
      <w:pPr>
        <w:spacing w:after="90"/>
        <w:ind w:left="431"/>
      </w:pPr>
      <w:r>
        <w:rPr>
          <w:color w:val="222222"/>
        </w:rPr>
        <w:t xml:space="preserve">•  Founder walks through the four pillars using four physical objects on a table (school book, stethoscope, coin, plant)</w:t>
      </w:r>
    </w:p>
    <w:p>
      <w:pPr>
        <w:pStyle w:val="Heading2"/>
        <w:spacing w:after="110" w:before="220"/>
      </w:pPr>
      <w:r>
        <w:rPr>
          <w:b/>
          <w:bCs/>
          <w:color w:val="B8543E"/>
        </w:rPr>
        <w:t xml:space="preserve">YouTube Video Ideas</w:t>
      </w:r>
    </w:p>
    <w:p>
      <w:pPr>
        <w:spacing w:after="90"/>
        <w:ind w:left="431"/>
      </w:pPr>
      <w:r>
        <w:rPr>
          <w:color w:val="222222"/>
        </w:rPr>
        <w:t xml:space="preserve">•  "Why We Built TJF" — 4–6 minute founder documentary-style piece</w:t>
      </w:r>
    </w:p>
    <w:p>
      <w:pPr>
        <w:spacing w:after="90"/>
        <w:ind w:left="431"/>
      </w:pPr>
      <w:r>
        <w:rPr>
          <w:color w:val="222222"/>
        </w:rPr>
        <w:t xml:space="preserve">•  "Inside Our Governance: A Transparency Walkthrough" — screen-recording style tour of the published governance bundle</w:t>
      </w:r>
    </w:p>
    <w:p>
      <w:pPr>
        <w:spacing w:after="90"/>
        <w:ind w:left="431"/>
      </w:pPr>
      <w:r>
        <w:rPr>
          <w:color w:val="222222"/>
        </w:rPr>
        <w:t xml:space="preserve">•  Quarterly "State of TJF" update video — metrics, milestones, what's next</w:t>
      </w:r>
    </w:p>
    <w:p>
      <w:pPr>
        <w:pStyle w:val="Heading2"/>
        <w:spacing w:after="110" w:before="220"/>
      </w:pPr>
      <w:r>
        <w:rPr>
          <w:b/>
          <w:bCs/>
          <w:color w:val="B8543E"/>
        </w:rPr>
        <w:t xml:space="preserve">TikTok Campaign Ideas</w:t>
      </w:r>
    </w:p>
    <w:p>
      <w:pPr>
        <w:spacing w:after="90"/>
        <w:ind w:left="431"/>
      </w:pPr>
      <w:r>
        <w:rPr>
          <w:color w:val="222222"/>
        </w:rPr>
        <w:t xml:space="preserve">•  "Explain TJF in 15 seconds" challenge — founding team and early supporters each do their own version</w:t>
      </w:r>
    </w:p>
    <w:p>
      <w:pPr>
        <w:spacing w:after="90"/>
        <w:ind w:left="431"/>
      </w:pPr>
      <w:r>
        <w:rPr>
          <w:color w:val="222222"/>
        </w:rPr>
        <w:t xml:space="preserve">•  Myth vs. fact quick-cut series: "Myth: charities need to pick one cause. Fact: we picked four, on purpose."</w:t>
      </w:r>
    </w:p>
    <w:p>
      <w:pPr>
        <w:pStyle w:val="Heading1"/>
        <w:pageBreakBefore/>
        <w:pBdr>
          <w:bottom w:val="single" w:color="B8543E" w:sz="8" w:space="4"/>
        </w:pBdr>
        <w:spacing w:after="200" w:before="240"/>
      </w:pPr>
      <w:bookmarkStart w:name="5-donor-partnership-campaign-messaging" w:id="1004"/>
      <w:r>
        <w:rPr>
          <w:b/>
          <w:bCs/>
          <w:color w:val="1E2761"/>
        </w:rPr>
        <w:t xml:space="preserve">5. Donor &amp; Partnership Campaign Messaging</w:t>
      </w:r>
      <w:bookmarkEnd w:id="1004"/>
    </w:p>
    <w:p>
      <w:pPr>
        <w:pStyle w:val="Heading2"/>
        <w:spacing w:after="110" w:before="220"/>
      </w:pPr>
      <w:r>
        <w:rPr>
          <w:b/>
          <w:bCs/>
          <w:color w:val="B8543E"/>
        </w:rPr>
        <w:t xml:space="preserve">International Donor Appeal</w:t>
      </w:r>
    </w:p>
    <w:p>
      <w:pPr>
        <w:spacing w:after="130"/>
      </w:pPr>
      <w:r>
        <w:rPr>
          <w:b w:val="false"/>
          <w:bCs w:val="false"/>
          <w:i w:val="false"/>
          <w:iCs w:val="false"/>
          <w:color w:val="222222"/>
        </w:rPr>
        <w:t xml:space="preserve">"Somewhere right now, a family is choosing between a school fee and a doctor's visit. The Jopetnah Foundation exists so that choice disappears. We fund education, health, livelihoods, and environment together — because that's how families actually live. Join us at the founding stage, when your gift shapes not just a program, but the model itself."</w:t>
      </w:r>
    </w:p>
    <w:p>
      <w:pPr>
        <w:pStyle w:val="Heading2"/>
        <w:spacing w:after="110" w:before="220"/>
      </w:pPr>
      <w:r>
        <w:rPr>
          <w:b/>
          <w:bCs/>
          <w:color w:val="B8543E"/>
        </w:rPr>
        <w:t xml:space="preserve">Corporate Partnership Proposal Message</w:t>
      </w:r>
    </w:p>
    <w:p>
      <w:pPr>
        <w:spacing w:after="130"/>
      </w:pPr>
      <w:r>
        <w:rPr>
          <w:b w:val="false"/>
          <w:bCs w:val="false"/>
          <w:i w:val="false"/>
          <w:iCs w:val="false"/>
          <w:color w:val="222222"/>
        </w:rPr>
        <w:t xml:space="preserve">"Your company's CSR goals and TJF's four-pillar model were built for each other. Adopt a Pillar lets you fund and co-brand one specific program — Education, Health, Livelihoods, or Environment — with clear, reportable metrics your stakeholders can see. We're building our founding partner roster now; early partners get founding recognition that renews each year."</w:t>
      </w:r>
    </w:p>
    <w:p>
      <w:pPr>
        <w:pStyle w:val="Heading2"/>
        <w:spacing w:after="110" w:before="220"/>
      </w:pPr>
      <w:r>
        <w:rPr>
          <w:b/>
          <w:bCs/>
          <w:color w:val="B8543E"/>
        </w:rPr>
        <w:t xml:space="preserve">Foundation &amp; Institutional Partnership Invitation</w:t>
      </w:r>
    </w:p>
    <w:p>
      <w:pPr>
        <w:spacing w:after="130"/>
      </w:pPr>
      <w:r>
        <w:rPr>
          <w:b w:val="false"/>
          <w:bCs w:val="false"/>
          <w:i w:val="false"/>
          <w:iCs w:val="false"/>
          <w:color w:val="222222"/>
        </w:rPr>
        <w:t xml:space="preserve">"We're seeking institutional partners who value integrated, measurable, locally-led development. TJF's governance framework — Constitution, Board Charter, Conflict of Interest, Whistleblower, and Safeguarding policies — is published and available for review before any funding conversation begins."</w:t>
      </w:r>
    </w:p>
    <w:p>
      <w:pPr>
        <w:pStyle w:val="Heading2"/>
        <w:spacing w:after="110" w:before="220"/>
      </w:pPr>
      <w:r>
        <w:rPr>
          <w:b/>
          <w:bCs/>
          <w:color w:val="B8543E"/>
        </w:rPr>
        <w:t xml:space="preserve">NGO Collaboration Message</w:t>
      </w:r>
    </w:p>
    <w:p>
      <w:pPr>
        <w:spacing w:after="130"/>
      </w:pPr>
      <w:r>
        <w:rPr>
          <w:b w:val="false"/>
          <w:bCs w:val="false"/>
          <w:i w:val="false"/>
          <w:iCs w:val="false"/>
          <w:color w:val="222222"/>
        </w:rPr>
        <w:t xml:space="preserve">"If your organization works in education, health, livelihoods, or environment in Uganda or East Africa, TJF's integrated model may complement your single-pillar work. We're open to consortium partnerships, referral relationships, and shared program delivery."</w:t>
      </w:r>
    </w:p>
    <w:p>
      <w:pPr>
        <w:pStyle w:val="Heading2"/>
        <w:spacing w:after="110" w:before="220"/>
      </w:pPr>
      <w:r>
        <w:rPr>
          <w:b/>
          <w:bCs/>
          <w:color w:val="B8543E"/>
        </w:rPr>
        <w:t xml:space="preserve">Volunteer Recruitment Campaign</w:t>
      </w:r>
    </w:p>
    <w:p>
      <w:pPr>
        <w:spacing w:after="130"/>
      </w:pPr>
      <w:r>
        <w:rPr>
          <w:b w:val="false"/>
          <w:bCs w:val="false"/>
          <w:i w:val="false"/>
          <w:iCs w:val="false"/>
          <w:color w:val="222222"/>
        </w:rPr>
        <w:t xml:space="preserve">"We need people who believe governance and heart aren't opposites. Join TJF as a founding volunteer — help build the systems, tell the stories, and shape the culture of an organization from its very first year."</w:t>
      </w:r>
    </w:p>
    <w:p>
      <w:pPr>
        <w:pStyle w:val="Heading2"/>
        <w:spacing w:after="110" w:before="220"/>
      </w:pPr>
      <w:r>
        <w:rPr>
          <w:b/>
          <w:bCs/>
          <w:color w:val="B8543E"/>
        </w:rPr>
        <w:t xml:space="preserve">Monthly Giving Campaign (Send Home Hope)</w:t>
      </w:r>
    </w:p>
    <w:p>
      <w:pPr>
        <w:spacing w:after="130"/>
      </w:pPr>
      <w:r>
        <w:rPr>
          <w:b w:val="false"/>
          <w:bCs w:val="false"/>
          <w:i w:val="false"/>
          <w:iCs w:val="false"/>
          <w:color w:val="222222"/>
        </w:rPr>
        <w:t xml:space="preserve">"$15 a month. That's the entry point to the Send Home Hope Giving Circle — built for diaspora supporters who want their giving to be consistent, not occasional. Quarterly reports show exactly where it went."</w:t>
      </w:r>
    </w:p>
    <w:p>
      <w:pPr>
        <w:pStyle w:val="Heading2"/>
        <w:spacing w:after="110" w:before="220"/>
      </w:pPr>
      <w:r>
        <w:rPr>
          <w:b/>
          <w:bCs/>
          <w:color w:val="B8543E"/>
        </w:rPr>
        <w:t xml:space="preserve">Global Ambassador Program Concept</w:t>
      </w:r>
    </w:p>
    <w:p>
      <w:pPr>
        <w:spacing w:after="130"/>
      </w:pPr>
      <w:r>
        <w:rPr>
          <w:b w:val="false"/>
          <w:bCs w:val="false"/>
          <w:i w:val="false"/>
          <w:iCs w:val="false"/>
          <w:color w:val="222222"/>
        </w:rPr>
        <w:t xml:space="preserve">Recruit respected community, diaspora, and sector figures as unpaid Ambassadors who fundraise through their own networks, receive early updates, and are publicly recognized — the highest-trust distribution channel available to a founding-stage foundation.</w:t>
      </w:r>
    </w:p>
    <w:p>
      <w:pPr>
        <w:pStyle w:val="Heading1"/>
        <w:pageBreakBefore/>
        <w:pBdr>
          <w:bottom w:val="single" w:color="B8543E" w:sz="8" w:space="4"/>
        </w:pBdr>
        <w:spacing w:after="200" w:before="240"/>
      </w:pPr>
      <w:bookmarkStart w:name="6-visual-branding-direction" w:id="1005"/>
      <w:r>
        <w:rPr>
          <w:b/>
          <w:bCs/>
          <w:color w:val="1E2761"/>
        </w:rPr>
        <w:t xml:space="preserve">6. Visual Branding Direction</w:t>
      </w:r>
      <w:bookmarkEnd w:id="1005"/>
    </w:p>
    <w:p>
      <w:pPr>
        <w:pStyle w:val="Heading2"/>
        <w:spacing w:after="110" w:before="220"/>
      </w:pPr>
      <w:r>
        <w:rPr>
          <w:b/>
          <w:bCs/>
          <w:color w:val="B8543E"/>
        </w:rPr>
        <w:t xml:space="preserve">Logo Usage</w:t>
      </w:r>
    </w:p>
    <w:p>
      <w:pPr>
        <w:spacing w:after="90"/>
        <w:ind w:left="431"/>
      </w:pPr>
      <w:r>
        <w:rPr>
          <w:color w:val="222222"/>
        </w:rPr>
        <w:t xml:space="preserve">•  Full-color mark on light backgrounds; reversed cream mark on dark navy/brown backgrounds — never recolor the four pillar leaves individually outside official brand assets</w:t>
      </w:r>
    </w:p>
    <w:p>
      <w:pPr>
        <w:spacing w:after="90"/>
        <w:ind w:left="431"/>
      </w:pPr>
      <w:r>
        <w:rPr>
          <w:color w:val="222222"/>
        </w:rPr>
        <w:t xml:space="preserve">•  Minimum clear space: at least the height of the mark itself on all sides</w:t>
      </w:r>
    </w:p>
    <w:p>
      <w:pPr>
        <w:pStyle w:val="Heading2"/>
        <w:spacing w:after="110" w:before="220"/>
      </w:pPr>
      <w:r>
        <w:rPr>
          <w:b/>
          <w:bCs/>
          <w:color w:val="B8543E"/>
        </w:rPr>
        <w:t xml:space="preserve">Social Banners &amp; Campaign Posters</w:t>
      </w:r>
    </w:p>
    <w:p>
      <w:pPr>
        <w:spacing w:after="90"/>
        <w:ind w:left="431"/>
      </w:pPr>
      <w:r>
        <w:rPr>
          <w:color w:val="222222"/>
        </w:rPr>
        <w:t xml:space="preserve">•  Consistent palette across every asset: navy #1E2761, terracotta #C4623C, gold #D8A63D, sage #7C9473, sand #F1E9DD — no off-palette colors introduced per campaign</w:t>
      </w:r>
    </w:p>
    <w:p>
      <w:pPr>
        <w:spacing w:after="90"/>
        <w:ind w:left="431"/>
      </w:pPr>
      <w:r>
        <w:rPr>
          <w:color w:val="222222"/>
        </w:rPr>
        <w:t xml:space="preserve">•  Typography: Fraunces (serif, headlines) + Work Sans (body) + IBM Plex Mono (eyebrows/labels) — matches the website and governance documents exactly</w:t>
      </w:r>
    </w:p>
    <w:p>
      <w:pPr>
        <w:pStyle w:val="Heading2"/>
        <w:spacing w:after="110" w:before="220"/>
      </w:pPr>
      <w:r>
        <w:rPr>
          <w:b/>
          <w:bCs/>
          <w:color w:val="B8543E"/>
        </w:rPr>
        <w:t xml:space="preserve">Donation Graphics &amp; Impact Reports</w:t>
      </w:r>
    </w:p>
    <w:p>
      <w:pPr>
        <w:spacing w:after="90"/>
        <w:ind w:left="431"/>
      </w:pPr>
      <w:r>
        <w:rPr>
          <w:color w:val="222222"/>
        </w:rPr>
        <w:t xml:space="preserve">•  Every donation graphic states a concrete unit of impact ("$40 = one month of outreach"), never an abstract phrase alone</w:t>
      </w:r>
    </w:p>
    <w:p>
      <w:pPr>
        <w:spacing w:after="90"/>
        <w:ind w:left="431"/>
      </w:pPr>
      <w:r>
        <w:rPr>
          <w:color w:val="222222"/>
        </w:rPr>
        <w:t xml:space="preserve">•  Impact reports use real, verified numbers only — if a metric isn't yet measurable, say "not yet tracked" rather than omit or estimate</w:t>
      </w:r>
    </w:p>
    <w:p>
      <w:pPr>
        <w:pStyle w:val="Heading2"/>
        <w:spacing w:after="110" w:before="220"/>
      </w:pPr>
      <w:r>
        <w:rPr>
          <w:b/>
          <w:bCs/>
          <w:color w:val="B8543E"/>
        </w:rPr>
        <w:t xml:space="preserve">Video Storytelling Style</w:t>
      </w:r>
    </w:p>
    <w:p>
      <w:pPr>
        <w:spacing w:after="90"/>
        <w:ind w:left="431"/>
      </w:pPr>
      <w:r>
        <w:rPr>
          <w:color w:val="222222"/>
        </w:rPr>
        <w:t xml:space="preserve">•  Documentary-realist, natural light, minimal narration, on-screen text over voiceover where possible</w:t>
      </w:r>
    </w:p>
    <w:p>
      <w:pPr>
        <w:spacing w:after="90"/>
        <w:ind w:left="431"/>
      </w:pPr>
      <w:r>
        <w:rPr>
          <w:color w:val="222222"/>
        </w:rPr>
        <w:t xml:space="preserve">•  No stock-footage-style African imagery clichés — every shot should be specific, not generic "poverty imagery"</w:t>
      </w:r>
    </w:p>
    <w:p>
      <w:pPr>
        <w:pStyle w:val="Heading2"/>
        <w:spacing w:after="110" w:before="220"/>
      </w:pPr>
      <w:r>
        <w:rPr>
          <w:b/>
          <w:bCs/>
          <w:color w:val="B8543E"/>
        </w:rPr>
        <w:t xml:space="preserve">Subject Matter Guidance</w:t>
      </w:r>
    </w:p>
    <w:p>
      <w:pPr>
        <w:spacing w:after="130"/>
      </w:pPr>
      <w:r>
        <w:rPr>
          <w:b w:val="false"/>
          <w:bCs w:val="false"/>
          <w:i w:val="false"/>
          <w:iCs w:val="false"/>
          <w:color w:val="222222"/>
        </w:rPr>
        <w:t xml:space="preserve">Diverse, dignified representation across all four pillars: education, healthcare, women's livelihoods, youth development, environmental work, and community life — always with informed consent, never staged distress.</w:t>
      </w:r>
    </w:p>
    <w:p>
      <w:pPr>
        <w:pStyle w:val="Heading1"/>
        <w:pageBreakBefore/>
        <w:pBdr>
          <w:bottom w:val="single" w:color="B8543E" w:sz="8" w:space="4"/>
        </w:pBdr>
        <w:spacing w:after="200" w:before="240"/>
      </w:pPr>
      <w:bookmarkStart w:name="7-ten-global-campaign-concepts" w:id="1006"/>
      <w:r>
        <w:rPr>
          <w:b/>
          <w:bCs/>
          <w:color w:val="1E2761"/>
        </w:rPr>
        <w:t xml:space="preserve">7. Ten Global Campaign Concepts</w:t>
      </w:r>
      <w:bookmarkEnd w:id="1006"/>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350"/>
            <w:shd w:fill="1E2761" w:val="clear"/>
            <w:vAlign w:val="center"/>
          </w:tcPr>
          <w:p>
            <w:r>
              <w:rPr>
                <w:b/>
                <w:bCs/>
                <w:color w:val="FFFFFF"/>
                <w:sz w:val="19"/>
                <w:szCs w:val="19"/>
              </w:rPr>
              <w:t xml:space="preserve">One Family, One Gift</w:t>
            </w:r>
          </w:p>
        </w:tc>
      </w:tr>
      <w:tr>
        <w:tc>
          <w:tcPr>
            <w:tcW w:type="dxa" w:w="2000"/>
            <w:shd w:fill="F1E9DD" w:val="clear"/>
            <w:vAlign w:val="center"/>
          </w:tcPr>
          <w:p>
            <w:pPr>
              <w:spacing w:after="80" w:before="80"/>
            </w:pPr>
            <w:r>
              <w:rPr>
                <w:b/>
                <w:bCs/>
                <w:color w:val="222222"/>
                <w:sz w:val="19"/>
                <w:szCs w:val="19"/>
              </w:rPr>
              <w:t xml:space="preserve">Purpose</w:t>
            </w:r>
          </w:p>
        </w:tc>
        <w:tc>
          <w:tcPr>
            <w:tcW w:type="dxa" w:w="7350"/>
            <w:shd w:fill="F1E9DD" w:val="clear"/>
            <w:vAlign w:val="center"/>
          </w:tcPr>
          <w:p>
            <w:pPr>
              <w:spacing w:after="80" w:before="80"/>
            </w:pPr>
            <w:r>
              <w:rPr>
                <w:b w:val="false"/>
                <w:bCs w:val="false"/>
                <w:color w:val="222222"/>
                <w:sz w:val="19"/>
                <w:szCs w:val="19"/>
              </w:rPr>
              <w:t xml:space="preserve">Flagship brand campaign</w:t>
            </w:r>
          </w:p>
        </w:tc>
      </w:tr>
      <w:tr>
        <w:tc>
          <w:tcPr>
            <w:tcW w:type="dxa" w:w="2000"/>
            <w:vAlign w:val="center"/>
          </w:tcPr>
          <w:p>
            <w:pPr>
              <w:spacing w:after="80" w:before="80"/>
            </w:pPr>
            <w:r>
              <w:rPr>
                <w:b/>
                <w:bCs/>
                <w:color w:val="222222"/>
                <w:sz w:val="19"/>
                <w:szCs w:val="19"/>
              </w:rPr>
              <w:t xml:space="preserve">Audience</w:t>
            </w:r>
          </w:p>
        </w:tc>
        <w:tc>
          <w:tcPr>
            <w:tcW w:type="dxa" w:w="7350"/>
            <w:vAlign w:val="center"/>
          </w:tcPr>
          <w:p>
            <w:pPr>
              <w:spacing w:after="80" w:before="80"/>
            </w:pPr>
            <w:r>
              <w:rPr>
                <w:b w:val="false"/>
                <w:bCs w:val="false"/>
                <w:color w:val="222222"/>
                <w:sz w:val="19"/>
                <w:szCs w:val="19"/>
              </w:rPr>
              <w:t xml:space="preserve">Individual donors, diaspora</w:t>
            </w:r>
          </w:p>
        </w:tc>
      </w:tr>
      <w:tr>
        <w:tc>
          <w:tcPr>
            <w:tcW w:type="dxa" w:w="2000"/>
            <w:shd w:fill="F1E9DD" w:val="clear"/>
            <w:vAlign w:val="center"/>
          </w:tcPr>
          <w:p>
            <w:pPr>
              <w:spacing w:after="80" w:before="80"/>
            </w:pPr>
            <w:r>
              <w:rPr>
                <w:b/>
                <w:bCs/>
                <w:color w:val="222222"/>
                <w:sz w:val="19"/>
                <w:szCs w:val="19"/>
              </w:rPr>
              <w:t xml:space="preserve">Social Strategy</w:t>
            </w:r>
          </w:p>
        </w:tc>
        <w:tc>
          <w:tcPr>
            <w:tcW w:type="dxa" w:w="7350"/>
            <w:shd w:fill="F1E9DD" w:val="clear"/>
            <w:vAlign w:val="center"/>
          </w:tcPr>
          <w:p>
            <w:pPr>
              <w:spacing w:after="80" w:before="80"/>
            </w:pPr>
            <w:r>
              <w:rPr>
                <w:b w:val="false"/>
                <w:bCs w:val="false"/>
                <w:color w:val="222222"/>
                <w:sz w:val="19"/>
                <w:szCs w:val="19"/>
              </w:rPr>
              <w:t xml:space="preserve">Cross-platform explainer content + testimonials</w:t>
            </w:r>
          </w:p>
        </w:tc>
      </w:tr>
      <w:tr>
        <w:tc>
          <w:tcPr>
            <w:tcW w:type="dxa" w:w="2000"/>
            <w:vAlign w:val="center"/>
          </w:tcPr>
          <w:p>
            <w:pPr>
              <w:spacing w:after="80" w:before="80"/>
            </w:pPr>
            <w:r>
              <w:rPr>
                <w:b/>
                <w:bCs/>
                <w:color w:val="222222"/>
                <w:sz w:val="19"/>
                <w:szCs w:val="19"/>
              </w:rPr>
              <w:t xml:space="preserve">Storytelling Angle</w:t>
            </w:r>
          </w:p>
        </w:tc>
        <w:tc>
          <w:tcPr>
            <w:tcW w:type="dxa" w:w="7350"/>
            <w:vAlign w:val="center"/>
          </w:tcPr>
          <w:p>
            <w:pPr>
              <w:spacing w:after="80" w:before="80"/>
            </w:pPr>
            <w:r>
              <w:rPr>
                <w:b w:val="false"/>
                <w:bCs w:val="false"/>
                <w:color w:val="222222"/>
                <w:sz w:val="19"/>
                <w:szCs w:val="19"/>
              </w:rPr>
              <w:t xml:space="preserve">The bundled-gift story: one gift, four outcomes</w:t>
            </w:r>
          </w:p>
        </w:tc>
      </w:tr>
      <w:tr>
        <w:tc>
          <w:tcPr>
            <w:tcW w:type="dxa" w:w="2000"/>
            <w:shd w:fill="F1E9DD" w:val="clear"/>
            <w:vAlign w:val="center"/>
          </w:tcPr>
          <w:p>
            <w:pPr>
              <w:spacing w:after="80" w:before="80"/>
            </w:pPr>
            <w:r>
              <w:rPr>
                <w:b/>
                <w:bCs/>
                <w:color w:val="222222"/>
                <w:sz w:val="19"/>
                <w:szCs w:val="19"/>
              </w:rPr>
              <w:t xml:space="preserve">Partnership Angle</w:t>
            </w:r>
          </w:p>
        </w:tc>
        <w:tc>
          <w:tcPr>
            <w:tcW w:type="dxa" w:w="7350"/>
            <w:shd w:fill="F1E9DD" w:val="clear"/>
            <w:vAlign w:val="center"/>
          </w:tcPr>
          <w:p>
            <w:pPr>
              <w:spacing w:after="80" w:before="80"/>
            </w:pPr>
            <w:r>
              <w:rPr>
                <w:b w:val="false"/>
                <w:bCs w:val="false"/>
                <w:color w:val="222222"/>
                <w:sz w:val="19"/>
                <w:szCs w:val="19"/>
              </w:rPr>
              <w:t xml:space="preserve">Adopt-a-Family corporate tier</w:t>
            </w:r>
          </w:p>
        </w:tc>
      </w:tr>
      <w:tr>
        <w:tc>
          <w:tcPr>
            <w:tcW w:type="dxa" w:w="2000"/>
            <w:vAlign w:val="center"/>
          </w:tcPr>
          <w:p>
            <w:pPr>
              <w:spacing w:after="80" w:before="80"/>
            </w:pPr>
            <w:r>
              <w:rPr>
                <w:b/>
                <w:bCs/>
                <w:color w:val="222222"/>
                <w:sz w:val="19"/>
                <w:szCs w:val="19"/>
              </w:rPr>
              <w:t xml:space="preserve">Donation Strategy</w:t>
            </w:r>
          </w:p>
        </w:tc>
        <w:tc>
          <w:tcPr>
            <w:tcW w:type="dxa" w:w="7350"/>
            <w:vAlign w:val="center"/>
          </w:tcPr>
          <w:p>
            <w:pPr>
              <w:spacing w:after="80" w:before="80"/>
            </w:pPr>
            <w:r>
              <w:rPr>
                <w:b w:val="false"/>
                <w:bCs w:val="false"/>
                <w:color w:val="222222"/>
                <w:sz w:val="19"/>
                <w:szCs w:val="19"/>
              </w:rPr>
              <w:t xml:space="preserve">Recurring monthly gift, tiered</w:t>
            </w:r>
          </w:p>
        </w:tc>
      </w:tr>
    </w:tbl>
    <w:p>
      <w:pPr>
        <w:spacing w:after="24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350"/>
            <w:shd w:fill="1E2761" w:val="clear"/>
            <w:vAlign w:val="center"/>
          </w:tcPr>
          <w:p>
            <w:r>
              <w:rPr>
                <w:b/>
                <w:bCs/>
                <w:color w:val="FFFFFF"/>
                <w:sz w:val="19"/>
                <w:szCs w:val="19"/>
              </w:rPr>
              <w:t xml:space="preserve">Hope Without Borders</w:t>
            </w:r>
          </w:p>
        </w:tc>
      </w:tr>
      <w:tr>
        <w:tc>
          <w:tcPr>
            <w:tcW w:type="dxa" w:w="2000"/>
            <w:shd w:fill="F1E9DD" w:val="clear"/>
            <w:vAlign w:val="center"/>
          </w:tcPr>
          <w:p>
            <w:pPr>
              <w:spacing w:after="80" w:before="80"/>
            </w:pPr>
            <w:r>
              <w:rPr>
                <w:b/>
                <w:bCs/>
                <w:color w:val="222222"/>
                <w:sz w:val="19"/>
                <w:szCs w:val="19"/>
              </w:rPr>
              <w:t xml:space="preserve">Purpose</w:t>
            </w:r>
          </w:p>
        </w:tc>
        <w:tc>
          <w:tcPr>
            <w:tcW w:type="dxa" w:w="7350"/>
            <w:shd w:fill="F1E9DD" w:val="clear"/>
            <w:vAlign w:val="center"/>
          </w:tcPr>
          <w:p>
            <w:pPr>
              <w:spacing w:after="80" w:before="80"/>
            </w:pPr>
            <w:r>
              <w:rPr>
                <w:b w:val="false"/>
                <w:bCs w:val="false"/>
                <w:color w:val="222222"/>
                <w:sz w:val="19"/>
                <w:szCs w:val="19"/>
              </w:rPr>
              <w:t xml:space="preserve">Diaspora-focused giving circle launch</w:t>
            </w:r>
          </w:p>
        </w:tc>
      </w:tr>
      <w:tr>
        <w:tc>
          <w:tcPr>
            <w:tcW w:type="dxa" w:w="2000"/>
            <w:vAlign w:val="center"/>
          </w:tcPr>
          <w:p>
            <w:pPr>
              <w:spacing w:after="80" w:before="80"/>
            </w:pPr>
            <w:r>
              <w:rPr>
                <w:b/>
                <w:bCs/>
                <w:color w:val="222222"/>
                <w:sz w:val="19"/>
                <w:szCs w:val="19"/>
              </w:rPr>
              <w:t xml:space="preserve">Audience</w:t>
            </w:r>
          </w:p>
        </w:tc>
        <w:tc>
          <w:tcPr>
            <w:tcW w:type="dxa" w:w="7350"/>
            <w:vAlign w:val="center"/>
          </w:tcPr>
          <w:p>
            <w:pPr>
              <w:spacing w:after="80" w:before="80"/>
            </w:pPr>
            <w:r>
              <w:rPr>
                <w:b w:val="false"/>
                <w:bCs w:val="false"/>
                <w:color w:val="222222"/>
                <w:sz w:val="19"/>
                <w:szCs w:val="19"/>
              </w:rPr>
              <w:t xml:space="preserve">Global diaspora communities</w:t>
            </w:r>
          </w:p>
        </w:tc>
      </w:tr>
      <w:tr>
        <w:tc>
          <w:tcPr>
            <w:tcW w:type="dxa" w:w="2000"/>
            <w:shd w:fill="F1E9DD" w:val="clear"/>
            <w:vAlign w:val="center"/>
          </w:tcPr>
          <w:p>
            <w:pPr>
              <w:spacing w:after="80" w:before="80"/>
            </w:pPr>
            <w:r>
              <w:rPr>
                <w:b/>
                <w:bCs/>
                <w:color w:val="222222"/>
                <w:sz w:val="19"/>
                <w:szCs w:val="19"/>
              </w:rPr>
              <w:t xml:space="preserve">Social Strategy</w:t>
            </w:r>
          </w:p>
        </w:tc>
        <w:tc>
          <w:tcPr>
            <w:tcW w:type="dxa" w:w="7350"/>
            <w:shd w:fill="F1E9DD" w:val="clear"/>
            <w:vAlign w:val="center"/>
          </w:tcPr>
          <w:p>
            <w:pPr>
              <w:spacing w:after="80" w:before="80"/>
            </w:pPr>
            <w:r>
              <w:rPr>
                <w:b w:val="false"/>
                <w:bCs w:val="false"/>
                <w:color w:val="222222"/>
                <w:sz w:val="19"/>
                <w:szCs w:val="19"/>
              </w:rPr>
              <w:t xml:space="preserve">WhatsApp/Facebook diaspora groups, remittance-partner tie-ins</w:t>
            </w:r>
          </w:p>
        </w:tc>
      </w:tr>
      <w:tr>
        <w:tc>
          <w:tcPr>
            <w:tcW w:type="dxa" w:w="2000"/>
            <w:vAlign w:val="center"/>
          </w:tcPr>
          <w:p>
            <w:pPr>
              <w:spacing w:after="80" w:before="80"/>
            </w:pPr>
            <w:r>
              <w:rPr>
                <w:b/>
                <w:bCs/>
                <w:color w:val="222222"/>
                <w:sz w:val="19"/>
                <w:szCs w:val="19"/>
              </w:rPr>
              <w:t xml:space="preserve">Storytelling Angle</w:t>
            </w:r>
          </w:p>
        </w:tc>
        <w:tc>
          <w:tcPr>
            <w:tcW w:type="dxa" w:w="7350"/>
            <w:vAlign w:val="center"/>
          </w:tcPr>
          <w:p>
            <w:pPr>
              <w:spacing w:after="80" w:before="80"/>
            </w:pPr>
            <w:r>
              <w:rPr>
                <w:b w:val="false"/>
                <w:bCs w:val="false"/>
                <w:color w:val="222222"/>
                <w:sz w:val="19"/>
                <w:szCs w:val="19"/>
              </w:rPr>
              <w:t xml:space="preserve">"Home is never as far as it feels"</w:t>
            </w:r>
          </w:p>
        </w:tc>
      </w:tr>
      <w:tr>
        <w:tc>
          <w:tcPr>
            <w:tcW w:type="dxa" w:w="2000"/>
            <w:shd w:fill="F1E9DD" w:val="clear"/>
            <w:vAlign w:val="center"/>
          </w:tcPr>
          <w:p>
            <w:pPr>
              <w:spacing w:after="80" w:before="80"/>
            </w:pPr>
            <w:r>
              <w:rPr>
                <w:b/>
                <w:bCs/>
                <w:color w:val="222222"/>
                <w:sz w:val="19"/>
                <w:szCs w:val="19"/>
              </w:rPr>
              <w:t xml:space="preserve">Partnership Angle</w:t>
            </w:r>
          </w:p>
        </w:tc>
        <w:tc>
          <w:tcPr>
            <w:tcW w:type="dxa" w:w="7350"/>
            <w:shd w:fill="F1E9DD" w:val="clear"/>
            <w:vAlign w:val="center"/>
          </w:tcPr>
          <w:p>
            <w:pPr>
              <w:spacing w:after="80" w:before="80"/>
            </w:pPr>
            <w:r>
              <w:rPr>
                <w:b w:val="false"/>
                <w:bCs w:val="false"/>
                <w:color w:val="222222"/>
                <w:sz w:val="19"/>
                <w:szCs w:val="19"/>
              </w:rPr>
              <w:t xml:space="preserve">Diaspora association partnerships</w:t>
            </w:r>
          </w:p>
        </w:tc>
      </w:tr>
      <w:tr>
        <w:tc>
          <w:tcPr>
            <w:tcW w:type="dxa" w:w="2000"/>
            <w:vAlign w:val="center"/>
          </w:tcPr>
          <w:p>
            <w:pPr>
              <w:spacing w:after="80" w:before="80"/>
            </w:pPr>
            <w:r>
              <w:rPr>
                <w:b/>
                <w:bCs/>
                <w:color w:val="222222"/>
                <w:sz w:val="19"/>
                <w:szCs w:val="19"/>
              </w:rPr>
              <w:t xml:space="preserve">Donation Strategy</w:t>
            </w:r>
          </w:p>
        </w:tc>
        <w:tc>
          <w:tcPr>
            <w:tcW w:type="dxa" w:w="7350"/>
            <w:vAlign w:val="center"/>
          </w:tcPr>
          <w:p>
            <w:pPr>
              <w:spacing w:after="80" w:before="80"/>
            </w:pPr>
            <w:r>
              <w:rPr>
                <w:b w:val="false"/>
                <w:bCs w:val="false"/>
                <w:color w:val="222222"/>
                <w:sz w:val="19"/>
                <w:szCs w:val="19"/>
              </w:rPr>
              <w:t xml:space="preserve">Send Home Hope recurring tiers</w:t>
            </w:r>
          </w:p>
        </w:tc>
      </w:tr>
    </w:tbl>
    <w:p>
      <w:pPr>
        <w:spacing w:after="24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350"/>
            <w:shd w:fill="1E2761" w:val="clear"/>
            <w:vAlign w:val="center"/>
          </w:tcPr>
          <w:p>
            <w:r>
              <w:rPr>
                <w:b/>
                <w:bCs/>
                <w:color w:val="FFFFFF"/>
                <w:sz w:val="19"/>
                <w:szCs w:val="19"/>
              </w:rPr>
              <w:t xml:space="preserve">1000 Dreams Campaign</w:t>
            </w:r>
          </w:p>
        </w:tc>
      </w:tr>
      <w:tr>
        <w:tc>
          <w:tcPr>
            <w:tcW w:type="dxa" w:w="2000"/>
            <w:shd w:fill="F1E9DD" w:val="clear"/>
            <w:vAlign w:val="center"/>
          </w:tcPr>
          <w:p>
            <w:pPr>
              <w:spacing w:after="80" w:before="80"/>
            </w:pPr>
            <w:r>
              <w:rPr>
                <w:b/>
                <w:bCs/>
                <w:color w:val="222222"/>
                <w:sz w:val="19"/>
                <w:szCs w:val="19"/>
              </w:rPr>
              <w:t xml:space="preserve">Purpose</w:t>
            </w:r>
          </w:p>
        </w:tc>
        <w:tc>
          <w:tcPr>
            <w:tcW w:type="dxa" w:w="7350"/>
            <w:shd w:fill="F1E9DD" w:val="clear"/>
            <w:vAlign w:val="center"/>
          </w:tcPr>
          <w:p>
            <w:pPr>
              <w:spacing w:after="80" w:before="80"/>
            </w:pPr>
            <w:r>
              <w:rPr>
                <w:b w:val="false"/>
                <w:bCs w:val="false"/>
                <w:color w:val="222222"/>
                <w:sz w:val="19"/>
                <w:szCs w:val="19"/>
              </w:rPr>
              <w:t xml:space="preserve">Education scholarship drive</w:t>
            </w:r>
          </w:p>
        </w:tc>
      </w:tr>
      <w:tr>
        <w:tc>
          <w:tcPr>
            <w:tcW w:type="dxa" w:w="2000"/>
            <w:vAlign w:val="center"/>
          </w:tcPr>
          <w:p>
            <w:pPr>
              <w:spacing w:after="80" w:before="80"/>
            </w:pPr>
            <w:r>
              <w:rPr>
                <w:b/>
                <w:bCs/>
                <w:color w:val="222222"/>
                <w:sz w:val="19"/>
                <w:szCs w:val="19"/>
              </w:rPr>
              <w:t xml:space="preserve">Audience</w:t>
            </w:r>
          </w:p>
        </w:tc>
        <w:tc>
          <w:tcPr>
            <w:tcW w:type="dxa" w:w="7350"/>
            <w:vAlign w:val="center"/>
          </w:tcPr>
          <w:p>
            <w:pPr>
              <w:spacing w:after="80" w:before="80"/>
            </w:pPr>
            <w:r>
              <w:rPr>
                <w:b w:val="false"/>
                <w:bCs w:val="false"/>
                <w:color w:val="222222"/>
                <w:sz w:val="19"/>
                <w:szCs w:val="19"/>
              </w:rPr>
              <w:t xml:space="preserve">Individual &amp; corporate donors</w:t>
            </w:r>
          </w:p>
        </w:tc>
      </w:tr>
      <w:tr>
        <w:tc>
          <w:tcPr>
            <w:tcW w:type="dxa" w:w="2000"/>
            <w:shd w:fill="F1E9DD" w:val="clear"/>
            <w:vAlign w:val="center"/>
          </w:tcPr>
          <w:p>
            <w:pPr>
              <w:spacing w:after="80" w:before="80"/>
            </w:pPr>
            <w:r>
              <w:rPr>
                <w:b/>
                <w:bCs/>
                <w:color w:val="222222"/>
                <w:sz w:val="19"/>
                <w:szCs w:val="19"/>
              </w:rPr>
              <w:t xml:space="preserve">Social Strategy</w:t>
            </w:r>
          </w:p>
        </w:tc>
        <w:tc>
          <w:tcPr>
            <w:tcW w:type="dxa" w:w="7350"/>
            <w:shd w:fill="F1E9DD" w:val="clear"/>
            <w:vAlign w:val="center"/>
          </w:tcPr>
          <w:p>
            <w:pPr>
              <w:spacing w:after="80" w:before="80"/>
            </w:pPr>
            <w:r>
              <w:rPr>
                <w:b w:val="false"/>
                <w:bCs w:val="false"/>
                <w:color w:val="222222"/>
                <w:sz w:val="19"/>
                <w:szCs w:val="19"/>
              </w:rPr>
              <w:t xml:space="preserve">Sponsor-a-Student storytelling series</w:t>
            </w:r>
          </w:p>
        </w:tc>
      </w:tr>
      <w:tr>
        <w:tc>
          <w:tcPr>
            <w:tcW w:type="dxa" w:w="2000"/>
            <w:vAlign w:val="center"/>
          </w:tcPr>
          <w:p>
            <w:pPr>
              <w:spacing w:after="80" w:before="80"/>
            </w:pPr>
            <w:r>
              <w:rPr>
                <w:b/>
                <w:bCs/>
                <w:color w:val="222222"/>
                <w:sz w:val="19"/>
                <w:szCs w:val="19"/>
              </w:rPr>
              <w:t xml:space="preserve">Storytelling Angle</w:t>
            </w:r>
          </w:p>
        </w:tc>
        <w:tc>
          <w:tcPr>
            <w:tcW w:type="dxa" w:w="7350"/>
            <w:vAlign w:val="center"/>
          </w:tcPr>
          <w:p>
            <w:pPr>
              <w:spacing w:after="80" w:before="80"/>
            </w:pPr>
            <w:r>
              <w:rPr>
                <w:b w:val="false"/>
                <w:bCs w:val="false"/>
                <w:color w:val="222222"/>
                <w:sz w:val="19"/>
                <w:szCs w:val="19"/>
              </w:rPr>
              <w:t xml:space="preserve">Individual student journeys (consented, once real)</w:t>
            </w:r>
          </w:p>
        </w:tc>
      </w:tr>
      <w:tr>
        <w:tc>
          <w:tcPr>
            <w:tcW w:type="dxa" w:w="2000"/>
            <w:shd w:fill="F1E9DD" w:val="clear"/>
            <w:vAlign w:val="center"/>
          </w:tcPr>
          <w:p>
            <w:pPr>
              <w:spacing w:after="80" w:before="80"/>
            </w:pPr>
            <w:r>
              <w:rPr>
                <w:b/>
                <w:bCs/>
                <w:color w:val="222222"/>
                <w:sz w:val="19"/>
                <w:szCs w:val="19"/>
              </w:rPr>
              <w:t xml:space="preserve">Partnership Angle</w:t>
            </w:r>
          </w:p>
        </w:tc>
        <w:tc>
          <w:tcPr>
            <w:tcW w:type="dxa" w:w="7350"/>
            <w:shd w:fill="F1E9DD" w:val="clear"/>
            <w:vAlign w:val="center"/>
          </w:tcPr>
          <w:p>
            <w:pPr>
              <w:spacing w:after="80" w:before="80"/>
            </w:pPr>
            <w:r>
              <w:rPr>
                <w:b w:val="false"/>
                <w:bCs w:val="false"/>
                <w:color w:val="222222"/>
                <w:sz w:val="19"/>
                <w:szCs w:val="19"/>
              </w:rPr>
              <w:t xml:space="preserve">Corporate scholarship sponsorship</w:t>
            </w:r>
          </w:p>
        </w:tc>
      </w:tr>
      <w:tr>
        <w:tc>
          <w:tcPr>
            <w:tcW w:type="dxa" w:w="2000"/>
            <w:vAlign w:val="center"/>
          </w:tcPr>
          <w:p>
            <w:pPr>
              <w:spacing w:after="80" w:before="80"/>
            </w:pPr>
            <w:r>
              <w:rPr>
                <w:b/>
                <w:bCs/>
                <w:color w:val="222222"/>
                <w:sz w:val="19"/>
                <w:szCs w:val="19"/>
              </w:rPr>
              <w:t xml:space="preserve">Donation Strategy</w:t>
            </w:r>
          </w:p>
        </w:tc>
        <w:tc>
          <w:tcPr>
            <w:tcW w:type="dxa" w:w="7350"/>
            <w:vAlign w:val="center"/>
          </w:tcPr>
          <w:p>
            <w:pPr>
              <w:spacing w:after="80" w:before="80"/>
            </w:pPr>
            <w:r>
              <w:rPr>
                <w:b w:val="false"/>
                <w:bCs w:val="false"/>
                <w:color w:val="222222"/>
                <w:sz w:val="19"/>
                <w:szCs w:val="19"/>
              </w:rPr>
              <w:t xml:space="preserve">One-time + recurring sponsorship</w:t>
            </w:r>
          </w:p>
        </w:tc>
      </w:tr>
    </w:tbl>
    <w:p>
      <w:pPr>
        <w:spacing w:after="24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350"/>
            <w:shd w:fill="1E2761" w:val="clear"/>
            <w:vAlign w:val="center"/>
          </w:tcPr>
          <w:p>
            <w:r>
              <w:rPr>
                <w:b/>
                <w:bCs/>
                <w:color w:val="FFFFFF"/>
                <w:sz w:val="19"/>
                <w:szCs w:val="19"/>
              </w:rPr>
              <w:t xml:space="preserve">Building Futures Together</w:t>
            </w:r>
          </w:p>
        </w:tc>
      </w:tr>
      <w:tr>
        <w:tc>
          <w:tcPr>
            <w:tcW w:type="dxa" w:w="2000"/>
            <w:shd w:fill="F1E9DD" w:val="clear"/>
            <w:vAlign w:val="center"/>
          </w:tcPr>
          <w:p>
            <w:pPr>
              <w:spacing w:after="80" w:before="80"/>
            </w:pPr>
            <w:r>
              <w:rPr>
                <w:b/>
                <w:bCs/>
                <w:color w:val="222222"/>
                <w:sz w:val="19"/>
                <w:szCs w:val="19"/>
              </w:rPr>
              <w:t xml:space="preserve">Purpose</w:t>
            </w:r>
          </w:p>
        </w:tc>
        <w:tc>
          <w:tcPr>
            <w:tcW w:type="dxa" w:w="7350"/>
            <w:shd w:fill="F1E9DD" w:val="clear"/>
            <w:vAlign w:val="center"/>
          </w:tcPr>
          <w:p>
            <w:pPr>
              <w:spacing w:after="80" w:before="80"/>
            </w:pPr>
            <w:r>
              <w:rPr>
                <w:b w:val="false"/>
                <w:bCs w:val="false"/>
                <w:color w:val="222222"/>
                <w:sz w:val="19"/>
                <w:szCs w:val="19"/>
              </w:rPr>
              <w:t xml:space="preserve">Annual Gala + major-donor cultivation</w:t>
            </w:r>
          </w:p>
        </w:tc>
      </w:tr>
      <w:tr>
        <w:tc>
          <w:tcPr>
            <w:tcW w:type="dxa" w:w="2000"/>
            <w:vAlign w:val="center"/>
          </w:tcPr>
          <w:p>
            <w:pPr>
              <w:spacing w:after="80" w:before="80"/>
            </w:pPr>
            <w:r>
              <w:rPr>
                <w:b/>
                <w:bCs/>
                <w:color w:val="222222"/>
                <w:sz w:val="19"/>
                <w:szCs w:val="19"/>
              </w:rPr>
              <w:t xml:space="preserve">Audience</w:t>
            </w:r>
          </w:p>
        </w:tc>
        <w:tc>
          <w:tcPr>
            <w:tcW w:type="dxa" w:w="7350"/>
            <w:vAlign w:val="center"/>
          </w:tcPr>
          <w:p>
            <w:pPr>
              <w:spacing w:after="80" w:before="80"/>
            </w:pPr>
            <w:r>
              <w:rPr>
                <w:b w:val="false"/>
                <w:bCs w:val="false"/>
                <w:color w:val="222222"/>
                <w:sz w:val="19"/>
                <w:szCs w:val="19"/>
              </w:rPr>
              <w:t xml:space="preserve">Major donors, corporate sponsors</w:t>
            </w:r>
          </w:p>
        </w:tc>
      </w:tr>
      <w:tr>
        <w:tc>
          <w:tcPr>
            <w:tcW w:type="dxa" w:w="2000"/>
            <w:shd w:fill="F1E9DD" w:val="clear"/>
            <w:vAlign w:val="center"/>
          </w:tcPr>
          <w:p>
            <w:pPr>
              <w:spacing w:after="80" w:before="80"/>
            </w:pPr>
            <w:r>
              <w:rPr>
                <w:b/>
                <w:bCs/>
                <w:color w:val="222222"/>
                <w:sz w:val="19"/>
                <w:szCs w:val="19"/>
              </w:rPr>
              <w:t xml:space="preserve">Social Strategy</w:t>
            </w:r>
          </w:p>
        </w:tc>
        <w:tc>
          <w:tcPr>
            <w:tcW w:type="dxa" w:w="7350"/>
            <w:shd w:fill="F1E9DD" w:val="clear"/>
            <w:vAlign w:val="center"/>
          </w:tcPr>
          <w:p>
            <w:pPr>
              <w:spacing w:after="80" w:before="80"/>
            </w:pPr>
            <w:r>
              <w:rPr>
                <w:b w:val="false"/>
                <w:bCs w:val="false"/>
                <w:color w:val="222222"/>
                <w:sz w:val="19"/>
                <w:szCs w:val="19"/>
              </w:rPr>
              <w:t xml:space="preserve">Save-the-date sequence, live-event content</w:t>
            </w:r>
          </w:p>
        </w:tc>
      </w:tr>
      <w:tr>
        <w:tc>
          <w:tcPr>
            <w:tcW w:type="dxa" w:w="2000"/>
            <w:vAlign w:val="center"/>
          </w:tcPr>
          <w:p>
            <w:pPr>
              <w:spacing w:after="80" w:before="80"/>
            </w:pPr>
            <w:r>
              <w:rPr>
                <w:b/>
                <w:bCs/>
                <w:color w:val="222222"/>
                <w:sz w:val="19"/>
                <w:szCs w:val="19"/>
              </w:rPr>
              <w:t xml:space="preserve">Storytelling Angle</w:t>
            </w:r>
          </w:p>
        </w:tc>
        <w:tc>
          <w:tcPr>
            <w:tcW w:type="dxa" w:w="7350"/>
            <w:vAlign w:val="center"/>
          </w:tcPr>
          <w:p>
            <w:pPr>
              <w:spacing w:after="80" w:before="80"/>
            </w:pPr>
            <w:r>
              <w:rPr>
                <w:b w:val="false"/>
                <w:bCs w:val="false"/>
                <w:color w:val="222222"/>
                <w:sz w:val="19"/>
                <w:szCs w:val="19"/>
              </w:rPr>
              <w:t xml:space="preserve">Mission-moment beneficiary story at the gala</w:t>
            </w:r>
          </w:p>
        </w:tc>
      </w:tr>
      <w:tr>
        <w:tc>
          <w:tcPr>
            <w:tcW w:type="dxa" w:w="2000"/>
            <w:shd w:fill="F1E9DD" w:val="clear"/>
            <w:vAlign w:val="center"/>
          </w:tcPr>
          <w:p>
            <w:pPr>
              <w:spacing w:after="80" w:before="80"/>
            </w:pPr>
            <w:r>
              <w:rPr>
                <w:b/>
                <w:bCs/>
                <w:color w:val="222222"/>
                <w:sz w:val="19"/>
                <w:szCs w:val="19"/>
              </w:rPr>
              <w:t xml:space="preserve">Partnership Angle</w:t>
            </w:r>
          </w:p>
        </w:tc>
        <w:tc>
          <w:tcPr>
            <w:tcW w:type="dxa" w:w="7350"/>
            <w:shd w:fill="F1E9DD" w:val="clear"/>
            <w:vAlign w:val="center"/>
          </w:tcPr>
          <w:p>
            <w:pPr>
              <w:spacing w:after="80" w:before="80"/>
            </w:pPr>
            <w:r>
              <w:rPr>
                <w:b w:val="false"/>
                <w:bCs w:val="false"/>
                <w:color w:val="222222"/>
                <w:sz w:val="19"/>
                <w:szCs w:val="19"/>
              </w:rPr>
              <w:t xml:space="preserve">Presenting/Gold/Silver sponsorship tiers</w:t>
            </w:r>
          </w:p>
        </w:tc>
      </w:tr>
      <w:tr>
        <w:tc>
          <w:tcPr>
            <w:tcW w:type="dxa" w:w="2000"/>
            <w:vAlign w:val="center"/>
          </w:tcPr>
          <w:p>
            <w:pPr>
              <w:spacing w:after="80" w:before="80"/>
            </w:pPr>
            <w:r>
              <w:rPr>
                <w:b/>
                <w:bCs/>
                <w:color w:val="222222"/>
                <w:sz w:val="19"/>
                <w:szCs w:val="19"/>
              </w:rPr>
              <w:t xml:space="preserve">Donation Strategy</w:t>
            </w:r>
          </w:p>
        </w:tc>
        <w:tc>
          <w:tcPr>
            <w:tcW w:type="dxa" w:w="7350"/>
            <w:vAlign w:val="center"/>
          </w:tcPr>
          <w:p>
            <w:pPr>
              <w:spacing w:after="80" w:before="80"/>
            </w:pPr>
            <w:r>
              <w:rPr>
                <w:b w:val="false"/>
                <w:bCs w:val="false"/>
                <w:color w:val="222222"/>
                <w:sz w:val="19"/>
                <w:szCs w:val="19"/>
              </w:rPr>
              <w:t xml:space="preserve">Fund-a-need live pledge moment</w:t>
            </w:r>
          </w:p>
        </w:tc>
      </w:tr>
    </w:tbl>
    <w:p>
      <w:pPr>
        <w:spacing w:after="24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350"/>
            <w:shd w:fill="1E2761" w:val="clear"/>
            <w:vAlign w:val="center"/>
          </w:tcPr>
          <w:p>
            <w:r>
              <w:rPr>
                <w:b/>
                <w:bCs/>
                <w:color w:val="FFFFFF"/>
                <w:sz w:val="19"/>
                <w:szCs w:val="19"/>
              </w:rPr>
              <w:t xml:space="preserve">A Hand That Helps</w:t>
            </w:r>
          </w:p>
        </w:tc>
      </w:tr>
      <w:tr>
        <w:tc>
          <w:tcPr>
            <w:tcW w:type="dxa" w:w="2000"/>
            <w:shd w:fill="F1E9DD" w:val="clear"/>
            <w:vAlign w:val="center"/>
          </w:tcPr>
          <w:p>
            <w:pPr>
              <w:spacing w:after="80" w:before="80"/>
            </w:pPr>
            <w:r>
              <w:rPr>
                <w:b/>
                <w:bCs/>
                <w:color w:val="222222"/>
                <w:sz w:val="19"/>
                <w:szCs w:val="19"/>
              </w:rPr>
              <w:t xml:space="preserve">Purpose</w:t>
            </w:r>
          </w:p>
        </w:tc>
        <w:tc>
          <w:tcPr>
            <w:tcW w:type="dxa" w:w="7350"/>
            <w:shd w:fill="F1E9DD" w:val="clear"/>
            <w:vAlign w:val="center"/>
          </w:tcPr>
          <w:p>
            <w:pPr>
              <w:spacing w:after="80" w:before="80"/>
            </w:pPr>
            <w:r>
              <w:rPr>
                <w:b w:val="false"/>
                <w:bCs w:val="false"/>
                <w:color w:val="222222"/>
                <w:sz w:val="19"/>
                <w:szCs w:val="19"/>
              </w:rPr>
              <w:t xml:space="preserve">Livelihoods micro-grant awareness</w:t>
            </w:r>
          </w:p>
        </w:tc>
      </w:tr>
      <w:tr>
        <w:tc>
          <w:tcPr>
            <w:tcW w:type="dxa" w:w="2000"/>
            <w:vAlign w:val="center"/>
          </w:tcPr>
          <w:p>
            <w:pPr>
              <w:spacing w:after="80" w:before="80"/>
            </w:pPr>
            <w:r>
              <w:rPr>
                <w:b/>
                <w:bCs/>
                <w:color w:val="222222"/>
                <w:sz w:val="19"/>
                <w:szCs w:val="19"/>
              </w:rPr>
              <w:t xml:space="preserve">Audience</w:t>
            </w:r>
          </w:p>
        </w:tc>
        <w:tc>
          <w:tcPr>
            <w:tcW w:type="dxa" w:w="7350"/>
            <w:vAlign w:val="center"/>
          </w:tcPr>
          <w:p>
            <w:pPr>
              <w:spacing w:after="80" w:before="80"/>
            </w:pPr>
            <w:r>
              <w:rPr>
                <w:b w:val="false"/>
                <w:bCs w:val="false"/>
                <w:color w:val="222222"/>
                <w:sz w:val="19"/>
                <w:szCs w:val="19"/>
              </w:rPr>
              <w:t xml:space="preserve">Corporate CSR, impact investors</w:t>
            </w:r>
          </w:p>
        </w:tc>
      </w:tr>
      <w:tr>
        <w:tc>
          <w:tcPr>
            <w:tcW w:type="dxa" w:w="2000"/>
            <w:shd w:fill="F1E9DD" w:val="clear"/>
            <w:vAlign w:val="center"/>
          </w:tcPr>
          <w:p>
            <w:pPr>
              <w:spacing w:after="80" w:before="80"/>
            </w:pPr>
            <w:r>
              <w:rPr>
                <w:b/>
                <w:bCs/>
                <w:color w:val="222222"/>
                <w:sz w:val="19"/>
                <w:szCs w:val="19"/>
              </w:rPr>
              <w:t xml:space="preserve">Social Strategy</w:t>
            </w:r>
          </w:p>
        </w:tc>
        <w:tc>
          <w:tcPr>
            <w:tcW w:type="dxa" w:w="7350"/>
            <w:shd w:fill="F1E9DD" w:val="clear"/>
            <w:vAlign w:val="center"/>
          </w:tcPr>
          <w:p>
            <w:pPr>
              <w:spacing w:after="80" w:before="80"/>
            </w:pPr>
            <w:r>
              <w:rPr>
                <w:b w:val="false"/>
                <w:bCs w:val="false"/>
                <w:color w:val="222222"/>
                <w:sz w:val="19"/>
                <w:szCs w:val="19"/>
              </w:rPr>
              <w:t xml:space="preserve">Before/after micro-enterprise stories</w:t>
            </w:r>
          </w:p>
        </w:tc>
      </w:tr>
      <w:tr>
        <w:tc>
          <w:tcPr>
            <w:tcW w:type="dxa" w:w="2000"/>
            <w:vAlign w:val="center"/>
          </w:tcPr>
          <w:p>
            <w:pPr>
              <w:spacing w:after="80" w:before="80"/>
            </w:pPr>
            <w:r>
              <w:rPr>
                <w:b/>
                <w:bCs/>
                <w:color w:val="222222"/>
                <w:sz w:val="19"/>
                <w:szCs w:val="19"/>
              </w:rPr>
              <w:t xml:space="preserve">Storytelling Angle</w:t>
            </w:r>
          </w:p>
        </w:tc>
        <w:tc>
          <w:tcPr>
            <w:tcW w:type="dxa" w:w="7350"/>
            <w:vAlign w:val="center"/>
          </w:tcPr>
          <w:p>
            <w:pPr>
              <w:spacing w:after="80" w:before="80"/>
            </w:pPr>
            <w:r>
              <w:rPr>
                <w:b w:val="false"/>
                <w:bCs w:val="false"/>
                <w:color w:val="222222"/>
                <w:sz w:val="19"/>
                <w:szCs w:val="19"/>
              </w:rPr>
              <w:t xml:space="preserve">Small business transformation arc</w:t>
            </w:r>
          </w:p>
        </w:tc>
      </w:tr>
      <w:tr>
        <w:tc>
          <w:tcPr>
            <w:tcW w:type="dxa" w:w="2000"/>
            <w:shd w:fill="F1E9DD" w:val="clear"/>
            <w:vAlign w:val="center"/>
          </w:tcPr>
          <w:p>
            <w:pPr>
              <w:spacing w:after="80" w:before="80"/>
            </w:pPr>
            <w:r>
              <w:rPr>
                <w:b/>
                <w:bCs/>
                <w:color w:val="222222"/>
                <w:sz w:val="19"/>
                <w:szCs w:val="19"/>
              </w:rPr>
              <w:t xml:space="preserve">Partnership Angle</w:t>
            </w:r>
          </w:p>
        </w:tc>
        <w:tc>
          <w:tcPr>
            <w:tcW w:type="dxa" w:w="7350"/>
            <w:shd w:fill="F1E9DD" w:val="clear"/>
            <w:vAlign w:val="center"/>
          </w:tcPr>
          <w:p>
            <w:pPr>
              <w:spacing w:after="80" w:before="80"/>
            </w:pPr>
            <w:r>
              <w:rPr>
                <w:b w:val="false"/>
                <w:bCs w:val="false"/>
                <w:color w:val="222222"/>
                <w:sz w:val="19"/>
                <w:szCs w:val="19"/>
              </w:rPr>
              <w:t xml:space="preserve">Adopt-a-Program (Livelihoods) sponsorship</w:t>
            </w:r>
          </w:p>
        </w:tc>
      </w:tr>
      <w:tr>
        <w:tc>
          <w:tcPr>
            <w:tcW w:type="dxa" w:w="2000"/>
            <w:vAlign w:val="center"/>
          </w:tcPr>
          <w:p>
            <w:pPr>
              <w:spacing w:after="80" w:before="80"/>
            </w:pPr>
            <w:r>
              <w:rPr>
                <w:b/>
                <w:bCs/>
                <w:color w:val="222222"/>
                <w:sz w:val="19"/>
                <w:szCs w:val="19"/>
              </w:rPr>
              <w:t xml:space="preserve">Donation Strategy</w:t>
            </w:r>
          </w:p>
        </w:tc>
        <w:tc>
          <w:tcPr>
            <w:tcW w:type="dxa" w:w="7350"/>
            <w:vAlign w:val="center"/>
          </w:tcPr>
          <w:p>
            <w:pPr>
              <w:spacing w:after="80" w:before="80"/>
            </w:pPr>
            <w:r>
              <w:rPr>
                <w:b w:val="false"/>
                <w:bCs w:val="false"/>
                <w:color w:val="222222"/>
                <w:sz w:val="19"/>
                <w:szCs w:val="19"/>
              </w:rPr>
              <w:t xml:space="preserve">Micro-grant matching campaign</w:t>
            </w:r>
          </w:p>
        </w:tc>
      </w:tr>
    </w:tbl>
    <w:p>
      <w:pPr>
        <w:spacing w:after="24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350"/>
            <w:shd w:fill="1E2761" w:val="clear"/>
            <w:vAlign w:val="center"/>
          </w:tcPr>
          <w:p>
            <w:r>
              <w:rPr>
                <w:b/>
                <w:bCs/>
                <w:color w:val="FFFFFF"/>
                <w:sz w:val="19"/>
                <w:szCs w:val="19"/>
              </w:rPr>
              <w:t xml:space="preserve">Jopetnah Day</w:t>
            </w:r>
          </w:p>
        </w:tc>
      </w:tr>
      <w:tr>
        <w:tc>
          <w:tcPr>
            <w:tcW w:type="dxa" w:w="2000"/>
            <w:shd w:fill="F1E9DD" w:val="clear"/>
            <w:vAlign w:val="center"/>
          </w:tcPr>
          <w:p>
            <w:pPr>
              <w:spacing w:after="80" w:before="80"/>
            </w:pPr>
            <w:r>
              <w:rPr>
                <w:b/>
                <w:bCs/>
                <w:color w:val="222222"/>
                <w:sz w:val="19"/>
                <w:szCs w:val="19"/>
              </w:rPr>
              <w:t xml:space="preserve">Purpose</w:t>
            </w:r>
          </w:p>
        </w:tc>
        <w:tc>
          <w:tcPr>
            <w:tcW w:type="dxa" w:w="7350"/>
            <w:shd w:fill="F1E9DD" w:val="clear"/>
            <w:vAlign w:val="center"/>
          </w:tcPr>
          <w:p>
            <w:pPr>
              <w:spacing w:after="80" w:before="80"/>
            </w:pPr>
            <w:r>
              <w:rPr>
                <w:b w:val="false"/>
                <w:bCs w:val="false"/>
                <w:color w:val="222222"/>
                <w:sz w:val="19"/>
                <w:szCs w:val="19"/>
              </w:rPr>
              <w:t xml:space="preserve">Annual 48-hour giving blitz</w:t>
            </w:r>
          </w:p>
        </w:tc>
      </w:tr>
      <w:tr>
        <w:tc>
          <w:tcPr>
            <w:tcW w:type="dxa" w:w="2000"/>
            <w:vAlign w:val="center"/>
          </w:tcPr>
          <w:p>
            <w:pPr>
              <w:spacing w:after="80" w:before="80"/>
            </w:pPr>
            <w:r>
              <w:rPr>
                <w:b/>
                <w:bCs/>
                <w:color w:val="222222"/>
                <w:sz w:val="19"/>
                <w:szCs w:val="19"/>
              </w:rPr>
              <w:t xml:space="preserve">Audience</w:t>
            </w:r>
          </w:p>
        </w:tc>
        <w:tc>
          <w:tcPr>
            <w:tcW w:type="dxa" w:w="7350"/>
            <w:vAlign w:val="center"/>
          </w:tcPr>
          <w:p>
            <w:pPr>
              <w:spacing w:after="80" w:before="80"/>
            </w:pPr>
            <w:r>
              <w:rPr>
                <w:b w:val="false"/>
                <w:bCs w:val="false"/>
                <w:color w:val="222222"/>
                <w:sz w:val="19"/>
                <w:szCs w:val="19"/>
              </w:rPr>
              <w:t xml:space="preserve">Individuals, diaspora, general public</w:t>
            </w:r>
          </w:p>
        </w:tc>
      </w:tr>
      <w:tr>
        <w:tc>
          <w:tcPr>
            <w:tcW w:type="dxa" w:w="2000"/>
            <w:shd w:fill="F1E9DD" w:val="clear"/>
            <w:vAlign w:val="center"/>
          </w:tcPr>
          <w:p>
            <w:pPr>
              <w:spacing w:after="80" w:before="80"/>
            </w:pPr>
            <w:r>
              <w:rPr>
                <w:b/>
                <w:bCs/>
                <w:color w:val="222222"/>
                <w:sz w:val="19"/>
                <w:szCs w:val="19"/>
              </w:rPr>
              <w:t xml:space="preserve">Social Strategy</w:t>
            </w:r>
          </w:p>
        </w:tc>
        <w:tc>
          <w:tcPr>
            <w:tcW w:type="dxa" w:w="7350"/>
            <w:shd w:fill="F1E9DD" w:val="clear"/>
            <w:vAlign w:val="center"/>
          </w:tcPr>
          <w:p>
            <w:pPr>
              <w:spacing w:after="80" w:before="80"/>
            </w:pPr>
            <w:r>
              <w:rPr>
                <w:b w:val="false"/>
                <w:bCs w:val="false"/>
                <w:color w:val="222222"/>
                <w:sz w:val="19"/>
                <w:szCs w:val="19"/>
              </w:rPr>
              <w:t xml:space="preserve">Hourly content cadence, matching-gift countdown</w:t>
            </w:r>
          </w:p>
        </w:tc>
      </w:tr>
      <w:tr>
        <w:tc>
          <w:tcPr>
            <w:tcW w:type="dxa" w:w="2000"/>
            <w:vAlign w:val="center"/>
          </w:tcPr>
          <w:p>
            <w:pPr>
              <w:spacing w:after="80" w:before="80"/>
            </w:pPr>
            <w:r>
              <w:rPr>
                <w:b/>
                <w:bCs/>
                <w:color w:val="222222"/>
                <w:sz w:val="19"/>
                <w:szCs w:val="19"/>
              </w:rPr>
              <w:t xml:space="preserve">Storytelling Angle</w:t>
            </w:r>
          </w:p>
        </w:tc>
        <w:tc>
          <w:tcPr>
            <w:tcW w:type="dxa" w:w="7350"/>
            <w:vAlign w:val="center"/>
          </w:tcPr>
          <w:p>
            <w:pPr>
              <w:spacing w:after="80" w:before="80"/>
            </w:pPr>
            <w:r>
              <w:rPr>
                <w:b w:val="false"/>
                <w:bCs w:val="false"/>
                <w:color w:val="222222"/>
                <w:sz w:val="19"/>
                <w:szCs w:val="19"/>
              </w:rPr>
              <w:t xml:space="preserve">Urgency + real-time community momentum</w:t>
            </w:r>
          </w:p>
        </w:tc>
      </w:tr>
      <w:tr>
        <w:tc>
          <w:tcPr>
            <w:tcW w:type="dxa" w:w="2000"/>
            <w:shd w:fill="F1E9DD" w:val="clear"/>
            <w:vAlign w:val="center"/>
          </w:tcPr>
          <w:p>
            <w:pPr>
              <w:spacing w:after="80" w:before="80"/>
            </w:pPr>
            <w:r>
              <w:rPr>
                <w:b/>
                <w:bCs/>
                <w:color w:val="222222"/>
                <w:sz w:val="19"/>
                <w:szCs w:val="19"/>
              </w:rPr>
              <w:t xml:space="preserve">Partnership Angle</w:t>
            </w:r>
          </w:p>
        </w:tc>
        <w:tc>
          <w:tcPr>
            <w:tcW w:type="dxa" w:w="7350"/>
            <w:shd w:fill="F1E9DD" w:val="clear"/>
            <w:vAlign w:val="center"/>
          </w:tcPr>
          <w:p>
            <w:pPr>
              <w:spacing w:after="80" w:before="80"/>
            </w:pPr>
            <w:r>
              <w:rPr>
                <w:b w:val="false"/>
                <w:bCs w:val="false"/>
                <w:color w:val="222222"/>
                <w:sz w:val="19"/>
                <w:szCs w:val="19"/>
              </w:rPr>
              <w:t xml:space="preserve">Matching-gift corporate sponsor</w:t>
            </w:r>
          </w:p>
        </w:tc>
      </w:tr>
      <w:tr>
        <w:tc>
          <w:tcPr>
            <w:tcW w:type="dxa" w:w="2000"/>
            <w:vAlign w:val="center"/>
          </w:tcPr>
          <w:p>
            <w:pPr>
              <w:spacing w:after="80" w:before="80"/>
            </w:pPr>
            <w:r>
              <w:rPr>
                <w:b/>
                <w:bCs/>
                <w:color w:val="222222"/>
                <w:sz w:val="19"/>
                <w:szCs w:val="19"/>
              </w:rPr>
              <w:t xml:space="preserve">Donation Strategy</w:t>
            </w:r>
          </w:p>
        </w:tc>
        <w:tc>
          <w:tcPr>
            <w:tcW w:type="dxa" w:w="7350"/>
            <w:vAlign w:val="center"/>
          </w:tcPr>
          <w:p>
            <w:pPr>
              <w:spacing w:after="80" w:before="80"/>
            </w:pPr>
            <w:r>
              <w:rPr>
                <w:b w:val="false"/>
                <w:bCs w:val="false"/>
                <w:color w:val="222222"/>
                <w:sz w:val="19"/>
                <w:szCs w:val="19"/>
              </w:rPr>
              <w:t xml:space="preserve">48-hour giving-day matched donations</w:t>
            </w:r>
          </w:p>
        </w:tc>
      </w:tr>
    </w:tbl>
    <w:p>
      <w:pPr>
        <w:spacing w:after="24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350"/>
            <w:shd w:fill="1E2761" w:val="clear"/>
            <w:vAlign w:val="center"/>
          </w:tcPr>
          <w:p>
            <w:r>
              <w:rPr>
                <w:b/>
                <w:bCs/>
                <w:color w:val="FFFFFF"/>
                <w:sz w:val="19"/>
                <w:szCs w:val="19"/>
              </w:rPr>
              <w:t xml:space="preserve">Whole Family Health</w:t>
            </w:r>
          </w:p>
        </w:tc>
      </w:tr>
      <w:tr>
        <w:tc>
          <w:tcPr>
            <w:tcW w:type="dxa" w:w="2000"/>
            <w:shd w:fill="F1E9DD" w:val="clear"/>
            <w:vAlign w:val="center"/>
          </w:tcPr>
          <w:p>
            <w:pPr>
              <w:spacing w:after="80" w:before="80"/>
            </w:pPr>
            <w:r>
              <w:rPr>
                <w:b/>
                <w:bCs/>
                <w:color w:val="222222"/>
                <w:sz w:val="19"/>
                <w:szCs w:val="19"/>
              </w:rPr>
              <w:t xml:space="preserve">Purpose</w:t>
            </w:r>
          </w:p>
        </w:tc>
        <w:tc>
          <w:tcPr>
            <w:tcW w:type="dxa" w:w="7350"/>
            <w:shd w:fill="F1E9DD" w:val="clear"/>
            <w:vAlign w:val="center"/>
          </w:tcPr>
          <w:p>
            <w:pPr>
              <w:spacing w:after="80" w:before="80"/>
            </w:pPr>
            <w:r>
              <w:rPr>
                <w:b w:val="false"/>
                <w:bCs w:val="false"/>
                <w:color w:val="222222"/>
                <w:sz w:val="19"/>
                <w:szCs w:val="19"/>
              </w:rPr>
              <w:t xml:space="preserve">Health pillar awareness campaign</w:t>
            </w:r>
          </w:p>
        </w:tc>
      </w:tr>
      <w:tr>
        <w:tc>
          <w:tcPr>
            <w:tcW w:type="dxa" w:w="2000"/>
            <w:vAlign w:val="center"/>
          </w:tcPr>
          <w:p>
            <w:pPr>
              <w:spacing w:after="80" w:before="80"/>
            </w:pPr>
            <w:r>
              <w:rPr>
                <w:b/>
                <w:bCs/>
                <w:color w:val="222222"/>
                <w:sz w:val="19"/>
                <w:szCs w:val="19"/>
              </w:rPr>
              <w:t xml:space="preserve">Audience</w:t>
            </w:r>
          </w:p>
        </w:tc>
        <w:tc>
          <w:tcPr>
            <w:tcW w:type="dxa" w:w="7350"/>
            <w:vAlign w:val="center"/>
          </w:tcPr>
          <w:p>
            <w:pPr>
              <w:spacing w:after="80" w:before="80"/>
            </w:pPr>
            <w:r>
              <w:rPr>
                <w:b w:val="false"/>
                <w:bCs w:val="false"/>
                <w:color w:val="222222"/>
                <w:sz w:val="19"/>
                <w:szCs w:val="19"/>
              </w:rPr>
              <w:t xml:space="preserve">Health-focused donors, health corporates</w:t>
            </w:r>
          </w:p>
        </w:tc>
      </w:tr>
      <w:tr>
        <w:tc>
          <w:tcPr>
            <w:tcW w:type="dxa" w:w="2000"/>
            <w:shd w:fill="F1E9DD" w:val="clear"/>
            <w:vAlign w:val="center"/>
          </w:tcPr>
          <w:p>
            <w:pPr>
              <w:spacing w:after="80" w:before="80"/>
            </w:pPr>
            <w:r>
              <w:rPr>
                <w:b/>
                <w:bCs/>
                <w:color w:val="222222"/>
                <w:sz w:val="19"/>
                <w:szCs w:val="19"/>
              </w:rPr>
              <w:t xml:space="preserve">Social Strategy</w:t>
            </w:r>
          </w:p>
        </w:tc>
        <w:tc>
          <w:tcPr>
            <w:tcW w:type="dxa" w:w="7350"/>
            <w:shd w:fill="F1E9DD" w:val="clear"/>
            <w:vAlign w:val="center"/>
          </w:tcPr>
          <w:p>
            <w:pPr>
              <w:spacing w:after="80" w:before="80"/>
            </w:pPr>
            <w:r>
              <w:rPr>
                <w:b w:val="false"/>
                <w:bCs w:val="false"/>
                <w:color w:val="222222"/>
                <w:sz w:val="19"/>
                <w:szCs w:val="19"/>
              </w:rPr>
              <w:t xml:space="preserve">Mobile clinic explainer content, health worker spotlights</w:t>
            </w:r>
          </w:p>
        </w:tc>
      </w:tr>
      <w:tr>
        <w:tc>
          <w:tcPr>
            <w:tcW w:type="dxa" w:w="2000"/>
            <w:vAlign w:val="center"/>
          </w:tcPr>
          <w:p>
            <w:pPr>
              <w:spacing w:after="80" w:before="80"/>
            </w:pPr>
            <w:r>
              <w:rPr>
                <w:b/>
                <w:bCs/>
                <w:color w:val="222222"/>
                <w:sz w:val="19"/>
                <w:szCs w:val="19"/>
              </w:rPr>
              <w:t xml:space="preserve">Storytelling Angle</w:t>
            </w:r>
          </w:p>
        </w:tc>
        <w:tc>
          <w:tcPr>
            <w:tcW w:type="dxa" w:w="7350"/>
            <w:vAlign w:val="center"/>
          </w:tcPr>
          <w:p>
            <w:pPr>
              <w:spacing w:after="80" w:before="80"/>
            </w:pPr>
            <w:r>
              <w:rPr>
                <w:b w:val="false"/>
                <w:bCs w:val="false"/>
                <w:color w:val="222222"/>
                <w:sz w:val="19"/>
                <w:szCs w:val="19"/>
              </w:rPr>
              <w:t xml:space="preserve">Community Health Champion journey</w:t>
            </w:r>
          </w:p>
        </w:tc>
      </w:tr>
      <w:tr>
        <w:tc>
          <w:tcPr>
            <w:tcW w:type="dxa" w:w="2000"/>
            <w:shd w:fill="F1E9DD" w:val="clear"/>
            <w:vAlign w:val="center"/>
          </w:tcPr>
          <w:p>
            <w:pPr>
              <w:spacing w:after="80" w:before="80"/>
            </w:pPr>
            <w:r>
              <w:rPr>
                <w:b/>
                <w:bCs/>
                <w:color w:val="222222"/>
                <w:sz w:val="19"/>
                <w:szCs w:val="19"/>
              </w:rPr>
              <w:t xml:space="preserve">Partnership Angle</w:t>
            </w:r>
          </w:p>
        </w:tc>
        <w:tc>
          <w:tcPr>
            <w:tcW w:type="dxa" w:w="7350"/>
            <w:shd w:fill="F1E9DD" w:val="clear"/>
            <w:vAlign w:val="center"/>
          </w:tcPr>
          <w:p>
            <w:pPr>
              <w:spacing w:after="80" w:before="80"/>
            </w:pPr>
            <w:r>
              <w:rPr>
                <w:b w:val="false"/>
                <w:bCs w:val="false"/>
                <w:color w:val="222222"/>
                <w:sz w:val="19"/>
                <w:szCs w:val="19"/>
              </w:rPr>
              <w:t xml:space="preserve">Healthcare corporate CSR partnership</w:t>
            </w:r>
          </w:p>
        </w:tc>
      </w:tr>
      <w:tr>
        <w:tc>
          <w:tcPr>
            <w:tcW w:type="dxa" w:w="2000"/>
            <w:vAlign w:val="center"/>
          </w:tcPr>
          <w:p>
            <w:pPr>
              <w:spacing w:after="80" w:before="80"/>
            </w:pPr>
            <w:r>
              <w:rPr>
                <w:b/>
                <w:bCs/>
                <w:color w:val="222222"/>
                <w:sz w:val="19"/>
                <w:szCs w:val="19"/>
              </w:rPr>
              <w:t xml:space="preserve">Donation Strategy</w:t>
            </w:r>
          </w:p>
        </w:tc>
        <w:tc>
          <w:tcPr>
            <w:tcW w:type="dxa" w:w="7350"/>
            <w:vAlign w:val="center"/>
          </w:tcPr>
          <w:p>
            <w:pPr>
              <w:spacing w:after="80" w:before="80"/>
            </w:pPr>
            <w:r>
              <w:rPr>
                <w:b w:val="false"/>
                <w:bCs w:val="false"/>
                <w:color w:val="222222"/>
                <w:sz w:val="19"/>
                <w:szCs w:val="19"/>
              </w:rPr>
              <w:t xml:space="preserve">$100/month Champion tier</w:t>
            </w:r>
          </w:p>
        </w:tc>
      </w:tr>
    </w:tbl>
    <w:p>
      <w:pPr>
        <w:spacing w:after="24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350"/>
            <w:shd w:fill="1E2761" w:val="clear"/>
            <w:vAlign w:val="center"/>
          </w:tcPr>
          <w:p>
            <w:r>
              <w:rPr>
                <w:b/>
                <w:bCs/>
                <w:color w:val="FFFFFF"/>
                <w:sz w:val="19"/>
                <w:szCs w:val="19"/>
              </w:rPr>
              <w:t xml:space="preserve">Roots &amp; Resilience</w:t>
            </w:r>
          </w:p>
        </w:tc>
      </w:tr>
      <w:tr>
        <w:tc>
          <w:tcPr>
            <w:tcW w:type="dxa" w:w="2000"/>
            <w:shd w:fill="F1E9DD" w:val="clear"/>
            <w:vAlign w:val="center"/>
          </w:tcPr>
          <w:p>
            <w:pPr>
              <w:spacing w:after="80" w:before="80"/>
            </w:pPr>
            <w:r>
              <w:rPr>
                <w:b/>
                <w:bCs/>
                <w:color w:val="222222"/>
                <w:sz w:val="19"/>
                <w:szCs w:val="19"/>
              </w:rPr>
              <w:t xml:space="preserve">Purpose</w:t>
            </w:r>
          </w:p>
        </w:tc>
        <w:tc>
          <w:tcPr>
            <w:tcW w:type="dxa" w:w="7350"/>
            <w:shd w:fill="F1E9DD" w:val="clear"/>
            <w:vAlign w:val="center"/>
          </w:tcPr>
          <w:p>
            <w:pPr>
              <w:spacing w:after="80" w:before="80"/>
            </w:pPr>
            <w:r>
              <w:rPr>
                <w:b w:val="false"/>
                <w:bCs w:val="false"/>
                <w:color w:val="222222"/>
                <w:sz w:val="19"/>
                <w:szCs w:val="19"/>
              </w:rPr>
              <w:t xml:space="preserve">Environment pillar awareness campaign</w:t>
            </w:r>
          </w:p>
        </w:tc>
      </w:tr>
      <w:tr>
        <w:tc>
          <w:tcPr>
            <w:tcW w:type="dxa" w:w="2000"/>
            <w:vAlign w:val="center"/>
          </w:tcPr>
          <w:p>
            <w:pPr>
              <w:spacing w:after="80" w:before="80"/>
            </w:pPr>
            <w:r>
              <w:rPr>
                <w:b/>
                <w:bCs/>
                <w:color w:val="222222"/>
                <w:sz w:val="19"/>
                <w:szCs w:val="19"/>
              </w:rPr>
              <w:t xml:space="preserve">Audience</w:t>
            </w:r>
          </w:p>
        </w:tc>
        <w:tc>
          <w:tcPr>
            <w:tcW w:type="dxa" w:w="7350"/>
            <w:vAlign w:val="center"/>
          </w:tcPr>
          <w:p>
            <w:pPr>
              <w:spacing w:after="80" w:before="80"/>
            </w:pPr>
            <w:r>
              <w:rPr>
                <w:b w:val="false"/>
                <w:bCs w:val="false"/>
                <w:color w:val="222222"/>
                <w:sz w:val="19"/>
                <w:szCs w:val="19"/>
              </w:rPr>
              <w:t xml:space="preserve">Environmental/climate-focused funders</w:t>
            </w:r>
          </w:p>
        </w:tc>
      </w:tr>
      <w:tr>
        <w:tc>
          <w:tcPr>
            <w:tcW w:type="dxa" w:w="2000"/>
            <w:shd w:fill="F1E9DD" w:val="clear"/>
            <w:vAlign w:val="center"/>
          </w:tcPr>
          <w:p>
            <w:pPr>
              <w:spacing w:after="80" w:before="80"/>
            </w:pPr>
            <w:r>
              <w:rPr>
                <w:b/>
                <w:bCs/>
                <w:color w:val="222222"/>
                <w:sz w:val="19"/>
                <w:szCs w:val="19"/>
              </w:rPr>
              <w:t xml:space="preserve">Social Strategy</w:t>
            </w:r>
          </w:p>
        </w:tc>
        <w:tc>
          <w:tcPr>
            <w:tcW w:type="dxa" w:w="7350"/>
            <w:shd w:fill="F1E9DD" w:val="clear"/>
            <w:vAlign w:val="center"/>
          </w:tcPr>
          <w:p>
            <w:pPr>
              <w:spacing w:after="80" w:before="80"/>
            </w:pPr>
            <w:r>
              <w:rPr>
                <w:b w:val="false"/>
                <w:bCs w:val="false"/>
                <w:color w:val="222222"/>
                <w:sz w:val="19"/>
                <w:szCs w:val="19"/>
              </w:rPr>
              <w:t xml:space="preserve">Water access &amp; climate-smart farming visuals</w:t>
            </w:r>
          </w:p>
        </w:tc>
      </w:tr>
      <w:tr>
        <w:tc>
          <w:tcPr>
            <w:tcW w:type="dxa" w:w="2000"/>
            <w:vAlign w:val="center"/>
          </w:tcPr>
          <w:p>
            <w:pPr>
              <w:spacing w:after="80" w:before="80"/>
            </w:pPr>
            <w:r>
              <w:rPr>
                <w:b/>
                <w:bCs/>
                <w:color w:val="222222"/>
                <w:sz w:val="19"/>
                <w:szCs w:val="19"/>
              </w:rPr>
              <w:t xml:space="preserve">Storytelling Angle</w:t>
            </w:r>
          </w:p>
        </w:tc>
        <w:tc>
          <w:tcPr>
            <w:tcW w:type="dxa" w:w="7350"/>
            <w:vAlign w:val="center"/>
          </w:tcPr>
          <w:p>
            <w:pPr>
              <w:spacing w:after="80" w:before="80"/>
            </w:pPr>
            <w:r>
              <w:rPr>
                <w:b w:val="false"/>
                <w:bCs w:val="false"/>
                <w:color w:val="222222"/>
                <w:sz w:val="19"/>
                <w:szCs w:val="19"/>
              </w:rPr>
              <w:t xml:space="preserve">Land and water as the foundation of everything else</w:t>
            </w:r>
          </w:p>
        </w:tc>
      </w:tr>
      <w:tr>
        <w:tc>
          <w:tcPr>
            <w:tcW w:type="dxa" w:w="2000"/>
            <w:shd w:fill="F1E9DD" w:val="clear"/>
            <w:vAlign w:val="center"/>
          </w:tcPr>
          <w:p>
            <w:pPr>
              <w:spacing w:after="80" w:before="80"/>
            </w:pPr>
            <w:r>
              <w:rPr>
                <w:b/>
                <w:bCs/>
                <w:color w:val="222222"/>
                <w:sz w:val="19"/>
                <w:szCs w:val="19"/>
              </w:rPr>
              <w:t xml:space="preserve">Partnership Angle</w:t>
            </w:r>
          </w:p>
        </w:tc>
        <w:tc>
          <w:tcPr>
            <w:tcW w:type="dxa" w:w="7350"/>
            <w:shd w:fill="F1E9DD" w:val="clear"/>
            <w:vAlign w:val="center"/>
          </w:tcPr>
          <w:p>
            <w:pPr>
              <w:spacing w:after="80" w:before="80"/>
            </w:pPr>
            <w:r>
              <w:rPr>
                <w:b w:val="false"/>
                <w:bCs w:val="false"/>
                <w:color w:val="222222"/>
                <w:sz w:val="19"/>
                <w:szCs w:val="19"/>
              </w:rPr>
              <w:t xml:space="preserve">Environmental foundation grants</w:t>
            </w:r>
          </w:p>
        </w:tc>
      </w:tr>
      <w:tr>
        <w:tc>
          <w:tcPr>
            <w:tcW w:type="dxa" w:w="2000"/>
            <w:vAlign w:val="center"/>
          </w:tcPr>
          <w:p>
            <w:pPr>
              <w:spacing w:after="80" w:before="80"/>
            </w:pPr>
            <w:r>
              <w:rPr>
                <w:b/>
                <w:bCs/>
                <w:color w:val="222222"/>
                <w:sz w:val="19"/>
                <w:szCs w:val="19"/>
              </w:rPr>
              <w:t xml:space="preserve">Donation Strategy</w:t>
            </w:r>
          </w:p>
        </w:tc>
        <w:tc>
          <w:tcPr>
            <w:tcW w:type="dxa" w:w="7350"/>
            <w:vAlign w:val="center"/>
          </w:tcPr>
          <w:p>
            <w:pPr>
              <w:spacing w:after="80" w:before="80"/>
            </w:pPr>
            <w:r>
              <w:rPr>
                <w:b w:val="false"/>
                <w:bCs w:val="false"/>
                <w:color w:val="222222"/>
                <w:sz w:val="19"/>
                <w:szCs w:val="19"/>
              </w:rPr>
              <w:t xml:space="preserve">Water &amp; Sanitation project funding</w:t>
            </w:r>
          </w:p>
        </w:tc>
      </w:tr>
    </w:tbl>
    <w:p>
      <w:pPr>
        <w:spacing w:after="24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350"/>
            <w:shd w:fill="1E2761" w:val="clear"/>
            <w:vAlign w:val="center"/>
          </w:tcPr>
          <w:p>
            <w:r>
              <w:rPr>
                <w:b/>
                <w:bCs/>
                <w:color w:val="FFFFFF"/>
                <w:sz w:val="19"/>
                <w:szCs w:val="19"/>
              </w:rPr>
              <w:t xml:space="preserve">The Governance Difference</w:t>
            </w:r>
          </w:p>
        </w:tc>
      </w:tr>
      <w:tr>
        <w:tc>
          <w:tcPr>
            <w:tcW w:type="dxa" w:w="2000"/>
            <w:shd w:fill="F1E9DD" w:val="clear"/>
            <w:vAlign w:val="center"/>
          </w:tcPr>
          <w:p>
            <w:pPr>
              <w:spacing w:after="80" w:before="80"/>
            </w:pPr>
            <w:r>
              <w:rPr>
                <w:b/>
                <w:bCs/>
                <w:color w:val="222222"/>
                <w:sz w:val="19"/>
                <w:szCs w:val="19"/>
              </w:rPr>
              <w:t xml:space="preserve">Purpose</w:t>
            </w:r>
          </w:p>
        </w:tc>
        <w:tc>
          <w:tcPr>
            <w:tcW w:type="dxa" w:w="7350"/>
            <w:shd w:fill="F1E9DD" w:val="clear"/>
            <w:vAlign w:val="center"/>
          </w:tcPr>
          <w:p>
            <w:pPr>
              <w:spacing w:after="80" w:before="80"/>
            </w:pPr>
            <w:r>
              <w:rPr>
                <w:b w:val="false"/>
                <w:bCs w:val="false"/>
                <w:color w:val="222222"/>
                <w:sz w:val="19"/>
                <w:szCs w:val="19"/>
              </w:rPr>
              <w:t xml:space="preserve">Institutional trust-building campaign</w:t>
            </w:r>
          </w:p>
        </w:tc>
      </w:tr>
      <w:tr>
        <w:tc>
          <w:tcPr>
            <w:tcW w:type="dxa" w:w="2000"/>
            <w:vAlign w:val="center"/>
          </w:tcPr>
          <w:p>
            <w:pPr>
              <w:spacing w:after="80" w:before="80"/>
            </w:pPr>
            <w:r>
              <w:rPr>
                <w:b/>
                <w:bCs/>
                <w:color w:val="222222"/>
                <w:sz w:val="19"/>
                <w:szCs w:val="19"/>
              </w:rPr>
              <w:t xml:space="preserve">Audience</w:t>
            </w:r>
          </w:p>
        </w:tc>
        <w:tc>
          <w:tcPr>
            <w:tcW w:type="dxa" w:w="7350"/>
            <w:vAlign w:val="center"/>
          </w:tcPr>
          <w:p>
            <w:pPr>
              <w:spacing w:after="80" w:before="80"/>
            </w:pPr>
            <w:r>
              <w:rPr>
                <w:b w:val="false"/>
                <w:bCs w:val="false"/>
                <w:color w:val="222222"/>
                <w:sz w:val="19"/>
                <w:szCs w:val="19"/>
              </w:rPr>
              <w:t xml:space="preserve">Institutional funders, NGOs, government</w:t>
            </w:r>
          </w:p>
        </w:tc>
      </w:tr>
      <w:tr>
        <w:tc>
          <w:tcPr>
            <w:tcW w:type="dxa" w:w="2000"/>
            <w:shd w:fill="F1E9DD" w:val="clear"/>
            <w:vAlign w:val="center"/>
          </w:tcPr>
          <w:p>
            <w:pPr>
              <w:spacing w:after="80" w:before="80"/>
            </w:pPr>
            <w:r>
              <w:rPr>
                <w:b/>
                <w:bCs/>
                <w:color w:val="222222"/>
                <w:sz w:val="19"/>
                <w:szCs w:val="19"/>
              </w:rPr>
              <w:t xml:space="preserve">Social Strategy</w:t>
            </w:r>
          </w:p>
        </w:tc>
        <w:tc>
          <w:tcPr>
            <w:tcW w:type="dxa" w:w="7350"/>
            <w:shd w:fill="F1E9DD" w:val="clear"/>
            <w:vAlign w:val="center"/>
          </w:tcPr>
          <w:p>
            <w:pPr>
              <w:spacing w:after="80" w:before="80"/>
            </w:pPr>
            <w:r>
              <w:rPr>
                <w:b w:val="false"/>
                <w:bCs w:val="false"/>
                <w:color w:val="222222"/>
                <w:sz w:val="19"/>
                <w:szCs w:val="19"/>
              </w:rPr>
              <w:t xml:space="preserve">LinkedIn thought leadership + governance bundle promotion</w:t>
            </w:r>
          </w:p>
        </w:tc>
      </w:tr>
      <w:tr>
        <w:tc>
          <w:tcPr>
            <w:tcW w:type="dxa" w:w="2000"/>
            <w:vAlign w:val="center"/>
          </w:tcPr>
          <w:p>
            <w:pPr>
              <w:spacing w:after="80" w:before="80"/>
            </w:pPr>
            <w:r>
              <w:rPr>
                <w:b/>
                <w:bCs/>
                <w:color w:val="222222"/>
                <w:sz w:val="19"/>
                <w:szCs w:val="19"/>
              </w:rPr>
              <w:t xml:space="preserve">Storytelling Angle</w:t>
            </w:r>
          </w:p>
        </w:tc>
        <w:tc>
          <w:tcPr>
            <w:tcW w:type="dxa" w:w="7350"/>
            <w:vAlign w:val="center"/>
          </w:tcPr>
          <w:p>
            <w:pPr>
              <w:spacing w:after="80" w:before="80"/>
            </w:pPr>
            <w:r>
              <w:rPr>
                <w:b w:val="false"/>
                <w:bCs w:val="false"/>
                <w:color w:val="222222"/>
                <w:sz w:val="19"/>
                <w:szCs w:val="19"/>
              </w:rPr>
              <w:t xml:space="preserve">"We published our Constitution before our first ask"</w:t>
            </w:r>
          </w:p>
        </w:tc>
      </w:tr>
      <w:tr>
        <w:tc>
          <w:tcPr>
            <w:tcW w:type="dxa" w:w="2000"/>
            <w:shd w:fill="F1E9DD" w:val="clear"/>
            <w:vAlign w:val="center"/>
          </w:tcPr>
          <w:p>
            <w:pPr>
              <w:spacing w:after="80" w:before="80"/>
            </w:pPr>
            <w:r>
              <w:rPr>
                <w:b/>
                <w:bCs/>
                <w:color w:val="222222"/>
                <w:sz w:val="19"/>
                <w:szCs w:val="19"/>
              </w:rPr>
              <w:t xml:space="preserve">Partnership Angle</w:t>
            </w:r>
          </w:p>
        </w:tc>
        <w:tc>
          <w:tcPr>
            <w:tcW w:type="dxa" w:w="7350"/>
            <w:shd w:fill="F1E9DD" w:val="clear"/>
            <w:vAlign w:val="center"/>
          </w:tcPr>
          <w:p>
            <w:pPr>
              <w:spacing w:after="80" w:before="80"/>
            </w:pPr>
            <w:r>
              <w:rPr>
                <w:b w:val="false"/>
                <w:bCs w:val="false"/>
                <w:color w:val="222222"/>
                <w:sz w:val="19"/>
                <w:szCs w:val="19"/>
              </w:rPr>
              <w:t xml:space="preserve">Institutional due-diligence-ready partnerships</w:t>
            </w:r>
          </w:p>
        </w:tc>
      </w:tr>
      <w:tr>
        <w:tc>
          <w:tcPr>
            <w:tcW w:type="dxa" w:w="2000"/>
            <w:vAlign w:val="center"/>
          </w:tcPr>
          <w:p>
            <w:pPr>
              <w:spacing w:after="80" w:before="80"/>
            </w:pPr>
            <w:r>
              <w:rPr>
                <w:b/>
                <w:bCs/>
                <w:color w:val="222222"/>
                <w:sz w:val="19"/>
                <w:szCs w:val="19"/>
              </w:rPr>
              <w:t xml:space="preserve">Donation Strategy</w:t>
            </w:r>
          </w:p>
        </w:tc>
        <w:tc>
          <w:tcPr>
            <w:tcW w:type="dxa" w:w="7350"/>
            <w:vAlign w:val="center"/>
          </w:tcPr>
          <w:p>
            <w:pPr>
              <w:spacing w:after="80" w:before="80"/>
            </w:pPr>
            <w:r>
              <w:rPr>
                <w:b w:val="false"/>
                <w:bCs w:val="false"/>
                <w:color w:val="222222"/>
                <w:sz w:val="19"/>
                <w:szCs w:val="19"/>
              </w:rPr>
              <w:t xml:space="preserve">Grant and institutional funding pipeline</w:t>
            </w:r>
          </w:p>
        </w:tc>
      </w:tr>
    </w:tbl>
    <w:p>
      <w:pPr>
        <w:spacing w:after="24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350"/>
            <w:shd w:fill="1E2761" w:val="clear"/>
            <w:vAlign w:val="center"/>
          </w:tcPr>
          <w:p>
            <w:r>
              <w:rPr>
                <w:b/>
                <w:bCs/>
                <w:color w:val="FFFFFF"/>
                <w:sz w:val="19"/>
                <w:szCs w:val="19"/>
              </w:rPr>
              <w:t xml:space="preserve">Ambassadors of Hope</w:t>
            </w:r>
          </w:p>
        </w:tc>
      </w:tr>
      <w:tr>
        <w:tc>
          <w:tcPr>
            <w:tcW w:type="dxa" w:w="2000"/>
            <w:shd w:fill="F1E9DD" w:val="clear"/>
            <w:vAlign w:val="center"/>
          </w:tcPr>
          <w:p>
            <w:pPr>
              <w:spacing w:after="80" w:before="80"/>
            </w:pPr>
            <w:r>
              <w:rPr>
                <w:b/>
                <w:bCs/>
                <w:color w:val="222222"/>
                <w:sz w:val="19"/>
                <w:szCs w:val="19"/>
              </w:rPr>
              <w:t xml:space="preserve">Purpose</w:t>
            </w:r>
          </w:p>
        </w:tc>
        <w:tc>
          <w:tcPr>
            <w:tcW w:type="dxa" w:w="7350"/>
            <w:shd w:fill="F1E9DD" w:val="clear"/>
            <w:vAlign w:val="center"/>
          </w:tcPr>
          <w:p>
            <w:pPr>
              <w:spacing w:after="80" w:before="80"/>
            </w:pPr>
            <w:r>
              <w:rPr>
                <w:b w:val="false"/>
                <w:bCs w:val="false"/>
                <w:color w:val="222222"/>
                <w:sz w:val="19"/>
                <w:szCs w:val="19"/>
              </w:rPr>
              <w:t xml:space="preserve">Peer-to-peer fundraising &amp; advocacy</w:t>
            </w:r>
          </w:p>
        </w:tc>
      </w:tr>
      <w:tr>
        <w:tc>
          <w:tcPr>
            <w:tcW w:type="dxa" w:w="2000"/>
            <w:vAlign w:val="center"/>
          </w:tcPr>
          <w:p>
            <w:pPr>
              <w:spacing w:after="80" w:before="80"/>
            </w:pPr>
            <w:r>
              <w:rPr>
                <w:b/>
                <w:bCs/>
                <w:color w:val="222222"/>
                <w:sz w:val="19"/>
                <w:szCs w:val="19"/>
              </w:rPr>
              <w:t xml:space="preserve">Audience</w:t>
            </w:r>
          </w:p>
        </w:tc>
        <w:tc>
          <w:tcPr>
            <w:tcW w:type="dxa" w:w="7350"/>
            <w:vAlign w:val="center"/>
          </w:tcPr>
          <w:p>
            <w:pPr>
              <w:spacing w:after="80" w:before="80"/>
            </w:pPr>
            <w:r>
              <w:rPr>
                <w:b w:val="false"/>
                <w:bCs w:val="false"/>
                <w:color w:val="222222"/>
                <w:sz w:val="19"/>
                <w:szCs w:val="19"/>
              </w:rPr>
              <w:t xml:space="preserve">Respected community/diaspora figures</w:t>
            </w:r>
          </w:p>
        </w:tc>
      </w:tr>
      <w:tr>
        <w:tc>
          <w:tcPr>
            <w:tcW w:type="dxa" w:w="2000"/>
            <w:shd w:fill="F1E9DD" w:val="clear"/>
            <w:vAlign w:val="center"/>
          </w:tcPr>
          <w:p>
            <w:pPr>
              <w:spacing w:after="80" w:before="80"/>
            </w:pPr>
            <w:r>
              <w:rPr>
                <w:b/>
                <w:bCs/>
                <w:color w:val="222222"/>
                <w:sz w:val="19"/>
                <w:szCs w:val="19"/>
              </w:rPr>
              <w:t xml:space="preserve">Social Strategy</w:t>
            </w:r>
          </w:p>
        </w:tc>
        <w:tc>
          <w:tcPr>
            <w:tcW w:type="dxa" w:w="7350"/>
            <w:shd w:fill="F1E9DD" w:val="clear"/>
            <w:vAlign w:val="center"/>
          </w:tcPr>
          <w:p>
            <w:pPr>
              <w:spacing w:after="80" w:before="80"/>
            </w:pPr>
            <w:r>
              <w:rPr>
                <w:b w:val="false"/>
                <w:bCs w:val="false"/>
                <w:color w:val="222222"/>
                <w:sz w:val="19"/>
                <w:szCs w:val="19"/>
              </w:rPr>
              <w:t xml:space="preserve">Ambassador leaderboard, personal-network asks</w:t>
            </w:r>
          </w:p>
        </w:tc>
      </w:tr>
      <w:tr>
        <w:tc>
          <w:tcPr>
            <w:tcW w:type="dxa" w:w="2000"/>
            <w:vAlign w:val="center"/>
          </w:tcPr>
          <w:p>
            <w:pPr>
              <w:spacing w:after="80" w:before="80"/>
            </w:pPr>
            <w:r>
              <w:rPr>
                <w:b/>
                <w:bCs/>
                <w:color w:val="222222"/>
                <w:sz w:val="19"/>
                <w:szCs w:val="19"/>
              </w:rPr>
              <w:t xml:space="preserve">Storytelling Angle</w:t>
            </w:r>
          </w:p>
        </w:tc>
        <w:tc>
          <w:tcPr>
            <w:tcW w:type="dxa" w:w="7350"/>
            <w:vAlign w:val="center"/>
          </w:tcPr>
          <w:p>
            <w:pPr>
              <w:spacing w:after="80" w:before="80"/>
            </w:pPr>
            <w:r>
              <w:rPr>
                <w:b w:val="false"/>
                <w:bCs w:val="false"/>
                <w:color w:val="222222"/>
                <w:sz w:val="19"/>
                <w:szCs w:val="19"/>
              </w:rPr>
              <w:t xml:space="preserve">Trusted local voices amplifying the mission</w:t>
            </w:r>
          </w:p>
        </w:tc>
      </w:tr>
      <w:tr>
        <w:tc>
          <w:tcPr>
            <w:tcW w:type="dxa" w:w="2000"/>
            <w:shd w:fill="F1E9DD" w:val="clear"/>
            <w:vAlign w:val="center"/>
          </w:tcPr>
          <w:p>
            <w:pPr>
              <w:spacing w:after="80" w:before="80"/>
            </w:pPr>
            <w:r>
              <w:rPr>
                <w:b/>
                <w:bCs/>
                <w:color w:val="222222"/>
                <w:sz w:val="19"/>
                <w:szCs w:val="19"/>
              </w:rPr>
              <w:t xml:space="preserve">Partnership Angle</w:t>
            </w:r>
          </w:p>
        </w:tc>
        <w:tc>
          <w:tcPr>
            <w:tcW w:type="dxa" w:w="7350"/>
            <w:shd w:fill="F1E9DD" w:val="clear"/>
            <w:vAlign w:val="center"/>
          </w:tcPr>
          <w:p>
            <w:pPr>
              <w:spacing w:after="80" w:before="80"/>
            </w:pPr>
            <w:r>
              <w:rPr>
                <w:b w:val="false"/>
                <w:bCs w:val="false"/>
                <w:color w:val="222222"/>
                <w:sz w:val="19"/>
                <w:szCs w:val="19"/>
              </w:rPr>
              <w:t xml:space="preserve">Ambassador recruitment from partner networks</w:t>
            </w:r>
          </w:p>
        </w:tc>
      </w:tr>
      <w:tr>
        <w:tc>
          <w:tcPr>
            <w:tcW w:type="dxa" w:w="2000"/>
            <w:vAlign w:val="center"/>
          </w:tcPr>
          <w:p>
            <w:pPr>
              <w:spacing w:after="80" w:before="80"/>
            </w:pPr>
            <w:r>
              <w:rPr>
                <w:b/>
                <w:bCs/>
                <w:color w:val="222222"/>
                <w:sz w:val="19"/>
                <w:szCs w:val="19"/>
              </w:rPr>
              <w:t xml:space="preserve">Donation Strategy</w:t>
            </w:r>
          </w:p>
        </w:tc>
        <w:tc>
          <w:tcPr>
            <w:tcW w:type="dxa" w:w="7350"/>
            <w:vAlign w:val="center"/>
          </w:tcPr>
          <w:p>
            <w:pPr>
              <w:spacing w:after="80" w:before="80"/>
            </w:pPr>
            <w:r>
              <w:rPr>
                <w:b w:val="false"/>
                <w:bCs w:val="false"/>
                <w:color w:val="222222"/>
                <w:sz w:val="19"/>
                <w:szCs w:val="19"/>
              </w:rPr>
              <w:t xml:space="preserve">Peer-to-peer fundraising totals</w:t>
            </w:r>
          </w:p>
        </w:tc>
      </w:tr>
    </w:tbl>
    <w:p>
      <w:pPr>
        <w:spacing w:after="240"/>
      </w:pPr>
    </w:p>
    <w:p>
      <w:pPr>
        <w:pStyle w:val="Heading1"/>
        <w:pageBreakBefore/>
        <w:pBdr>
          <w:bottom w:val="single" w:color="B8543E" w:sz="8" w:space="4"/>
        </w:pBdr>
        <w:spacing w:after="200" w:before="240"/>
      </w:pPr>
      <w:bookmarkStart w:name="8-search-engine-online-visibility-strategy" w:id="1007"/>
      <w:r>
        <w:rPr>
          <w:b/>
          <w:bCs/>
          <w:color w:val="1E2761"/>
        </w:rPr>
        <w:t xml:space="preserve">8. Search Engine &amp; Online Visibility Strategy</w:t>
      </w:r>
      <w:bookmarkEnd w:id="1007"/>
    </w:p>
    <w:p>
      <w:pPr>
        <w:pStyle w:val="Heading2"/>
        <w:spacing w:after="110" w:before="220"/>
      </w:pPr>
      <w:r>
        <w:rPr>
          <w:b/>
          <w:bCs/>
          <w:color w:val="B8543E"/>
        </w:rPr>
        <w:t xml:space="preserve">SEO Keyword Clusters</w:t>
      </w:r>
    </w:p>
    <w:p>
      <w:pPr>
        <w:spacing w:after="90"/>
        <w:ind w:left="431"/>
      </w:pPr>
      <w:r>
        <w:rPr>
          <w:color w:val="222222"/>
        </w:rPr>
        <w:t xml:space="preserve">•  Brand terms: "Jopetnah Foundation", "TJF Uganda", "Jopetnah International Limited foundation"</w:t>
      </w:r>
    </w:p>
    <w:p>
      <w:pPr>
        <w:spacing w:after="90"/>
        <w:ind w:left="431"/>
      </w:pPr>
      <w:r>
        <w:rPr>
          <w:color w:val="222222"/>
        </w:rPr>
        <w:t xml:space="preserve">•  Category terms: "integrated development NGO Uganda", "education health livelihoods environment charity", "family-centered nonprofit East Africa"</w:t>
      </w:r>
    </w:p>
    <w:p>
      <w:pPr>
        <w:spacing w:after="90"/>
        <w:ind w:left="431"/>
      </w:pPr>
      <w:r>
        <w:rPr>
          <w:color w:val="222222"/>
        </w:rPr>
        <w:t xml:space="preserve">•  Intent terms: "donate to Uganda education charity", "diaspora giving circle Uganda", "corporate CSR partner Uganda NGO"</w:t>
      </w:r>
    </w:p>
    <w:p>
      <w:pPr>
        <w:pStyle w:val="Heading2"/>
        <w:spacing w:after="110" w:before="220"/>
      </w:pPr>
      <w:r>
        <w:rPr>
          <w:b/>
          <w:bCs/>
          <w:color w:val="B8543E"/>
        </w:rPr>
        <w:t xml:space="preserve">Website Content Strategy</w:t>
      </w:r>
    </w:p>
    <w:p>
      <w:pPr>
        <w:spacing w:after="90"/>
        <w:ind w:left="431"/>
      </w:pPr>
      <w:r>
        <w:rPr>
          <w:color w:val="222222"/>
        </w:rPr>
        <w:t xml:space="preserve">•  Publish the governance bundle, grants calendar (public-facing summary), and impact reports as indexable pages — funders search for exactly these terms during due diligence</w:t>
      </w:r>
    </w:p>
    <w:p>
      <w:pPr>
        <w:spacing w:after="90"/>
        <w:ind w:left="431"/>
      </w:pPr>
      <w:r>
        <w:rPr>
          <w:color w:val="222222"/>
        </w:rPr>
        <w:t xml:space="preserve">•  A blog cadence of 2 posts/month focused on program updates and transparency moments — thin, infrequent blogs rank poorly, so consistency matters more than volume</w:t>
      </w:r>
    </w:p>
    <w:p>
      <w:pPr>
        <w:pStyle w:val="Heading2"/>
        <w:spacing w:after="110" w:before="220"/>
      </w:pPr>
      <w:r>
        <w:rPr>
          <w:b/>
          <w:bCs/>
          <w:color w:val="B8543E"/>
        </w:rPr>
        <w:t xml:space="preserve">Google Ranking Strategy</w:t>
      </w:r>
    </w:p>
    <w:p>
      <w:pPr>
        <w:spacing w:after="90"/>
        <w:ind w:left="431"/>
      </w:pPr>
      <w:r>
        <w:rPr>
          <w:color w:val="222222"/>
        </w:rPr>
        <w:t xml:space="preserve">•  Google Search Console verification and sitemap submission (already completed)</w:t>
      </w:r>
    </w:p>
    <w:p>
      <w:pPr>
        <w:spacing w:after="90"/>
        <w:ind w:left="431"/>
      </w:pPr>
      <w:r>
        <w:rPr>
          <w:color w:val="222222"/>
        </w:rPr>
        <w:t xml:space="preserve">•  Backlinks from real, legitimate sources: the parent company site, partner NGOs, press coverage, directory listings — this is the single highest-leverage lever for a new domain</w:t>
      </w:r>
    </w:p>
    <w:p>
      <w:pPr>
        <w:spacing w:after="90"/>
        <w:ind w:left="431"/>
      </w:pPr>
      <w:r>
        <w:rPr>
          <w:color w:val="222222"/>
        </w:rPr>
        <w:t xml:space="preserve">•  Structured data (Organization/NGO schema) already implemented on the site to help Google correctly categorize TJF</w:t>
      </w:r>
    </w:p>
    <w:p>
      <w:pPr>
        <w:pStyle w:val="Heading2"/>
        <w:spacing w:after="110" w:before="220"/>
      </w:pPr>
      <w:r>
        <w:rPr>
          <w:b/>
          <w:bCs/>
          <w:color w:val="B8543E"/>
        </w:rPr>
        <w:t xml:space="preserve">Online Reputation Strategy</w:t>
      </w:r>
    </w:p>
    <w:p>
      <w:pPr>
        <w:spacing w:after="90"/>
        <w:ind w:left="431"/>
      </w:pPr>
      <w:r>
        <w:rPr>
          <w:color w:val="222222"/>
        </w:rPr>
        <w:t xml:space="preserve">•  Claim and complete a Google Business Profile once a physical office address is confirmed</w:t>
      </w:r>
    </w:p>
    <w:p>
      <w:pPr>
        <w:spacing w:after="90"/>
        <w:ind w:left="431"/>
      </w:pPr>
      <w:r>
        <w:rPr>
          <w:color w:val="222222"/>
        </w:rPr>
        <w:t xml:space="preserve">•  Monitor brand mentions and respond promptly and transparently to any public question or concern</w:t>
      </w:r>
    </w:p>
    <w:p>
      <w:pPr>
        <w:pStyle w:val="Heading2"/>
        <w:spacing w:after="110" w:before="220"/>
      </w:pPr>
      <w:r>
        <w:rPr>
          <w:b/>
          <w:bCs/>
          <w:color w:val="B8543E"/>
        </w:rPr>
        <w:t xml:space="preserve">Wikipedia-Style Credibility Strategy — an honest caveat</w:t>
      </w:r>
    </w:p>
    <w:p>
      <w:pPr>
        <w:pBdr>
          <w:top w:val="single" w:color="B8543E" w:sz="4" w:space="4"/>
          <w:bottom w:val="single" w:color="B8543E" w:sz="4" w:space="4"/>
        </w:pBdr>
        <w:shd w:fill="F1E9DD" w:val="clear"/>
        <w:spacing w:after="200" w:before="100"/>
      </w:pPr>
      <w:r>
        <w:rPr>
          <w:i/>
          <w:iCs/>
          <w:color w:val="5A3A28"/>
        </w:rPr>
        <w:t xml:space="preserve">Wikipedia has strict notability requirements: an organization needs substantial, independent coverage in reliable secondary sources (press, academic citation, major media) before a page is appropriate — and undisclosed paid or self-promotional editing violates Wikipedia's policies and can backfire publicly. The realistic strategy is sequential, not a shortcut: (1) earn genuine independent press coverage first, (2) once that coverage exists, a neutral, well-sourced Wikipedia article becomes appropriate and defensible, (3) attempting a page before independent coverage exists usually results in swift deletion and can damage credibility rather than build it.</w:t>
      </w:r>
    </w:p>
    <w:p>
      <w:pPr>
        <w:pStyle w:val="Heading2"/>
        <w:spacing w:after="110" w:before="220"/>
      </w:pPr>
      <w:r>
        <w:rPr>
          <w:b/>
          <w:bCs/>
          <w:color w:val="B8543E"/>
        </w:rPr>
        <w:t xml:space="preserve">International NGO Directory Positioning</w:t>
      </w:r>
    </w:p>
    <w:p>
      <w:pPr>
        <w:spacing w:after="90"/>
        <w:ind w:left="431"/>
      </w:pPr>
      <w:r>
        <w:rPr>
          <w:color w:val="222222"/>
        </w:rPr>
        <w:t xml:space="preserve">•  Candid/GuideStar equivalent registration once eligible post-registration</w:t>
      </w:r>
    </w:p>
    <w:p>
      <w:pPr>
        <w:spacing w:after="90"/>
        <w:ind w:left="431"/>
      </w:pPr>
      <w:r>
        <w:rPr>
          <w:color w:val="222222"/>
        </w:rPr>
        <w:t xml:space="preserve">•  Devex organization profile — visible to institutional donors and development-sector recruiters</w:t>
      </w:r>
    </w:p>
    <w:p>
      <w:pPr>
        <w:spacing w:after="90"/>
        <w:ind w:left="431"/>
      </w:pPr>
      <w:r>
        <w:rPr>
          <w:color w:val="222222"/>
        </w:rPr>
        <w:t xml:space="preserve">•  ReliefWeb and NGO Pulse listings once program activity exists to report</w:t>
      </w:r>
    </w:p>
    <w:p>
      <w:pPr>
        <w:pStyle w:val="Heading1"/>
        <w:pageBreakBefore/>
        <w:pBdr>
          <w:bottom w:val="single" w:color="B8543E" w:sz="8" w:space="4"/>
        </w:pBdr>
        <w:spacing w:after="200" w:before="240"/>
      </w:pPr>
      <w:bookmarkStart w:name="9-ai-video-creation-prompts" w:id="1008"/>
      <w:r>
        <w:rPr>
          <w:b/>
          <w:bCs/>
          <w:color w:val="1E2761"/>
        </w:rPr>
        <w:t xml:space="preserve">9. AI Video Creation Prompts</w:t>
      </w:r>
      <w:bookmarkEnd w:id="1008"/>
    </w:p>
    <w:p>
      <w:pPr>
        <w:pBdr>
          <w:top w:val="single" w:color="B8543E" w:sz="4" w:space="4"/>
          <w:bottom w:val="single" w:color="B8543E" w:sz="4" w:space="4"/>
        </w:pBdr>
        <w:shd w:fill="F1E9DD" w:val="clear"/>
        <w:spacing w:after="200" w:before="100"/>
      </w:pPr>
      <w:r>
        <w:rPr>
          <w:i/>
          <w:iCs/>
          <w:color w:val="5A3A28"/>
        </w:rPr>
        <w:t xml:space="preserve">These are text prompts for use in AI video generation tools. They intentionally avoid depicting real, identifiable people — use generic, consented, or fully generated characters until real beneficiary footage exists with proper consent.</w:t>
      </w:r>
    </w:p>
    <w:p>
      <w:pPr>
        <w:pStyle w:val="Heading2"/>
        <w:spacing w:after="110" w:before="220"/>
      </w:pPr>
      <w:r>
        <w:rPr>
          <w:b/>
          <w:bCs/>
          <w:color w:val="B8543E"/>
        </w:rPr>
        <w:t xml:space="preserve">Foundation Introduction Video</w:t>
      </w:r>
    </w:p>
    <w:p>
      <w:pPr>
        <w:spacing w:after="130"/>
      </w:pPr>
      <w:r>
        <w:rPr>
          <w:b w:val="false"/>
          <w:bCs w:val="false"/>
          <w:i w:val="false"/>
          <w:iCs w:val="false"/>
          <w:color w:val="222222"/>
        </w:rPr>
        <w:t xml:space="preserve">"Cinematic documentary style, warm natural light, golden-hour tones. Open on a wide shot of a rural East African community at dawn. Slow push-in on a small home. Cut to on-screen text: 'A child out of school. A parent without care. A family without income.' Cut to the TJF logo animating in from four converging leaf shapes. Warm, hopeful orchestral score. No spoken dialogue — text-driven narrative. 30–45 seconds."</w:t>
      </w:r>
    </w:p>
    <w:p>
      <w:pPr>
        <w:pStyle w:val="Heading2"/>
        <w:spacing w:after="110" w:before="220"/>
      </w:pPr>
      <w:r>
        <w:rPr>
          <w:b/>
          <w:bCs/>
          <w:color w:val="B8543E"/>
        </w:rPr>
        <w:t xml:space="preserve">Donor Appeal Video</w:t>
      </w:r>
    </w:p>
    <w:p>
      <w:pPr>
        <w:spacing w:after="130"/>
      </w:pPr>
      <w:r>
        <w:rPr>
          <w:b w:val="false"/>
          <w:bCs w:val="false"/>
          <w:i w:val="false"/>
          <w:iCs w:val="false"/>
          <w:color w:val="222222"/>
        </w:rPr>
        <w:t xml:space="preserve">"Documentary realism, handheld camera feel, natural light interiors and exteriors. A narrator (calm, warm, first-person) speaks directly to camera about why integrated giving matters, intercut with generic, non-identifying B-roll of community life, classrooms, and clinics. Ends on the TJF logo and a single clear call to action on screen: 'Join our founding circle.' 60–90 seconds."</w:t>
      </w:r>
    </w:p>
    <w:p>
      <w:pPr>
        <w:pStyle w:val="Heading2"/>
        <w:spacing w:after="110" w:before="220"/>
      </w:pPr>
      <w:r>
        <w:rPr>
          <w:b/>
          <w:bCs/>
          <w:color w:val="B8543E"/>
        </w:rPr>
        <w:t xml:space="preserve">Founder/Leadership Message Video</w:t>
      </w:r>
    </w:p>
    <w:p>
      <w:pPr>
        <w:spacing w:after="130"/>
      </w:pPr>
      <w:r>
        <w:rPr>
          <w:b w:val="false"/>
          <w:bCs w:val="false"/>
          <w:i w:val="false"/>
          <w:iCs w:val="false"/>
          <w:color w:val="222222"/>
        </w:rPr>
        <w:t xml:space="preserve">"Single-camera, medium close-up, neutral warm-toned indoor setting, soft natural light. Founder speaks directly and plainly to camera about why TJF was built. No background music under the dialogue — let the voice carry it. Cut only for pacing, not for effect. 90–120 seconds."</w:t>
      </w:r>
    </w:p>
    <w:p>
      <w:pPr>
        <w:pStyle w:val="Heading2"/>
        <w:spacing w:after="110" w:before="220"/>
      </w:pPr>
      <w:r>
        <w:rPr>
          <w:b/>
          <w:bCs/>
          <w:color w:val="B8543E"/>
        </w:rPr>
        <w:t xml:space="preserve">Community Impact Documentary (once real programs exist)</w:t>
      </w:r>
    </w:p>
    <w:p>
      <w:pPr>
        <w:spacing w:after="130"/>
      </w:pPr>
      <w:r>
        <w:rPr>
          <w:b w:val="false"/>
          <w:bCs w:val="false"/>
          <w:i w:val="false"/>
          <w:iCs w:val="false"/>
          <w:color w:val="222222"/>
        </w:rPr>
        <w:t xml:space="preserve">"Observational documentary style, minimal narration, on-screen lower-thirds for names and context (only with signed consent). Natural ambient sound prioritized over score. Follows one real family's specific, verifiable outcome across the four pillars. 3–5 minutes."</w:t>
      </w:r>
    </w:p>
    <w:p>
      <w:pPr>
        <w:pStyle w:val="Heading2"/>
        <w:spacing w:after="110" w:before="220"/>
      </w:pPr>
      <w:r>
        <w:rPr>
          <w:b/>
          <w:bCs/>
          <w:color w:val="B8543E"/>
        </w:rPr>
        <w:t xml:space="preserve">Social Media Reel Template</w:t>
      </w:r>
    </w:p>
    <w:p>
      <w:pPr>
        <w:spacing w:after="130"/>
      </w:pPr>
      <w:r>
        <w:rPr>
          <w:b w:val="false"/>
          <w:bCs w:val="false"/>
          <w:i w:val="false"/>
          <w:iCs w:val="false"/>
          <w:color w:val="222222"/>
        </w:rPr>
        <w:t xml:space="preserve">"Vertical 9:16, fast-paced cuts every 1–2 seconds, bold on-screen text overlays carrying the narrative (sound-off friendly), brand color grade (warm browns, terracotta, gold accents). Ends on logo + one-line CTA. 15–30 seconds."</w:t>
      </w:r>
    </w:p>
    <w:p>
      <w:pPr>
        <w:pStyle w:val="Heading1"/>
        <w:pageBreakBefore/>
        <w:pBdr>
          <w:bottom w:val="single" w:color="B8543E" w:sz="8" w:space="4"/>
        </w:pBdr>
        <w:spacing w:after="200" w:before="240"/>
      </w:pPr>
      <w:bookmarkStart w:name="10-final-objective-success-metrics" w:id="1009"/>
      <w:r>
        <w:rPr>
          <w:b/>
          <w:bCs/>
          <w:color w:val="1E2761"/>
        </w:rPr>
        <w:t xml:space="preserve">10. Final Objective &amp; Success Metrics</w:t>
      </w:r>
      <w:bookmarkEnd w:id="1009"/>
    </w:p>
    <w:p>
      <w:pPr>
        <w:spacing w:after="130"/>
      </w:pPr>
      <w:r>
        <w:rPr>
          <w:b w:val="false"/>
          <w:bCs w:val="false"/>
          <w:i w:val="false"/>
          <w:iCs w:val="false"/>
          <w:color w:val="222222"/>
        </w:rPr>
        <w:t xml:space="preserve">Target end-state: The Jopetnah Foundation recognized internationally as a credible, transparent, integrated-development organization — not through claimed reach, but through measurable proof:</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500"/>
            <w:shd w:fill="1E2761" w:val="clear"/>
            <w:vAlign w:val="center"/>
          </w:tcPr>
          <w:p>
            <w:r>
              <w:rPr>
                <w:b/>
                <w:bCs/>
                <w:color w:val="FFFFFF"/>
                <w:sz w:val="19"/>
                <w:szCs w:val="19"/>
              </w:rPr>
              <w:t xml:space="preserve">Metric</w:t>
            </w:r>
          </w:p>
        </w:tc>
        <w:tc>
          <w:tcPr>
            <w:tcW w:type="dxa" w:w="5850"/>
            <w:shd w:fill="1E2761" w:val="clear"/>
            <w:vAlign w:val="center"/>
          </w:tcPr>
          <w:p>
            <w:r>
              <w:rPr>
                <w:b/>
                <w:bCs/>
                <w:color w:val="FFFFFF"/>
                <w:sz w:val="19"/>
                <w:szCs w:val="19"/>
              </w:rPr>
              <w:t xml:space="preserve">Why It Matters</w:t>
            </w:r>
          </w:p>
        </w:tc>
      </w:tr>
      <w:tr>
        <w:tc>
          <w:tcPr>
            <w:tcW w:type="dxa" w:w="3500"/>
            <w:vAlign w:val="center"/>
          </w:tcPr>
          <w:p>
            <w:pPr>
              <w:spacing w:after="80" w:before="80"/>
            </w:pPr>
            <w:r>
              <w:rPr>
                <w:b/>
                <w:bCs/>
                <w:color w:val="222222"/>
                <w:sz w:val="19"/>
                <w:szCs w:val="19"/>
              </w:rPr>
              <w:t xml:space="preserve">Recurring monthly donors</w:t>
            </w:r>
          </w:p>
        </w:tc>
        <w:tc>
          <w:tcPr>
            <w:tcW w:type="dxa" w:w="5850"/>
            <w:vAlign w:val="center"/>
          </w:tcPr>
          <w:p>
            <w:pPr>
              <w:spacing w:after="80" w:before="80"/>
            </w:pPr>
            <w:r>
              <w:rPr>
                <w:b w:val="false"/>
                <w:bCs w:val="false"/>
                <w:color w:val="222222"/>
                <w:sz w:val="19"/>
                <w:szCs w:val="19"/>
              </w:rPr>
              <w:t xml:space="preserve">Predictable revenue signals program stability more than any one-time total</w:t>
            </w:r>
          </w:p>
        </w:tc>
      </w:tr>
      <w:tr>
        <w:tc>
          <w:tcPr>
            <w:tcW w:type="dxa" w:w="3500"/>
            <w:shd w:fill="F1E9DD" w:val="clear"/>
            <w:vAlign w:val="center"/>
          </w:tcPr>
          <w:p>
            <w:pPr>
              <w:spacing w:after="80" w:before="80"/>
            </w:pPr>
            <w:r>
              <w:rPr>
                <w:b/>
                <w:bCs/>
                <w:color w:val="222222"/>
                <w:sz w:val="19"/>
                <w:szCs w:val="19"/>
              </w:rPr>
              <w:t xml:space="preserve">Institutional/corporate partnerships signed</w:t>
            </w:r>
          </w:p>
        </w:tc>
        <w:tc>
          <w:tcPr>
            <w:tcW w:type="dxa" w:w="5850"/>
            <w:shd w:fill="F1E9DD" w:val="clear"/>
            <w:vAlign w:val="center"/>
          </w:tcPr>
          <w:p>
            <w:pPr>
              <w:spacing w:after="80" w:before="80"/>
            </w:pPr>
            <w:r>
              <w:rPr>
                <w:b w:val="false"/>
                <w:bCs w:val="false"/>
                <w:color w:val="222222"/>
                <w:sz w:val="19"/>
                <w:szCs w:val="19"/>
              </w:rPr>
              <w:t xml:space="preserve">Validates the governance investment and due-diligence readiness</w:t>
            </w:r>
          </w:p>
        </w:tc>
      </w:tr>
      <w:tr>
        <w:tc>
          <w:tcPr>
            <w:tcW w:type="dxa" w:w="3500"/>
            <w:vAlign w:val="center"/>
          </w:tcPr>
          <w:p>
            <w:pPr>
              <w:spacing w:after="80" w:before="80"/>
            </w:pPr>
            <w:r>
              <w:rPr>
                <w:b/>
                <w:bCs/>
                <w:color w:val="222222"/>
                <w:sz w:val="19"/>
                <w:szCs w:val="19"/>
              </w:rPr>
              <w:t xml:space="preserve">Website organic search impressions &amp; backlinks</w:t>
            </w:r>
          </w:p>
        </w:tc>
        <w:tc>
          <w:tcPr>
            <w:tcW w:type="dxa" w:w="5850"/>
            <w:vAlign w:val="center"/>
          </w:tcPr>
          <w:p>
            <w:pPr>
              <w:spacing w:after="80" w:before="80"/>
            </w:pPr>
            <w:r>
              <w:rPr>
                <w:b w:val="false"/>
                <w:bCs w:val="false"/>
                <w:color w:val="222222"/>
                <w:sz w:val="19"/>
                <w:szCs w:val="19"/>
              </w:rPr>
              <w:t xml:space="preserve">Leading indicator of discoverability by funders actively searching</w:t>
            </w:r>
          </w:p>
        </w:tc>
      </w:tr>
      <w:tr>
        <w:tc>
          <w:tcPr>
            <w:tcW w:type="dxa" w:w="3500"/>
            <w:shd w:fill="F1E9DD" w:val="clear"/>
            <w:vAlign w:val="center"/>
          </w:tcPr>
          <w:p>
            <w:pPr>
              <w:spacing w:after="80" w:before="80"/>
            </w:pPr>
            <w:r>
              <w:rPr>
                <w:b/>
                <w:bCs/>
                <w:color w:val="222222"/>
                <w:sz w:val="19"/>
                <w:szCs w:val="19"/>
              </w:rPr>
              <w:t xml:space="preserve">Engagement rate (not just follower count)</w:t>
            </w:r>
          </w:p>
        </w:tc>
        <w:tc>
          <w:tcPr>
            <w:tcW w:type="dxa" w:w="5850"/>
            <w:shd w:fill="F1E9DD" w:val="clear"/>
            <w:vAlign w:val="center"/>
          </w:tcPr>
          <w:p>
            <w:pPr>
              <w:spacing w:after="80" w:before="80"/>
            </w:pPr>
            <w:r>
              <w:rPr>
                <w:b w:val="false"/>
                <w:bCs w:val="false"/>
                <w:color w:val="222222"/>
                <w:sz w:val="19"/>
                <w:szCs w:val="19"/>
              </w:rPr>
              <w:t xml:space="preserve">Comments and shares predict donor conversion far better than raw reach</w:t>
            </w:r>
          </w:p>
        </w:tc>
      </w:tr>
      <w:tr>
        <w:tc>
          <w:tcPr>
            <w:tcW w:type="dxa" w:w="3500"/>
            <w:vAlign w:val="center"/>
          </w:tcPr>
          <w:p>
            <w:pPr>
              <w:spacing w:after="80" w:before="80"/>
            </w:pPr>
            <w:r>
              <w:rPr>
                <w:b/>
                <w:bCs/>
                <w:color w:val="222222"/>
                <w:sz w:val="19"/>
                <w:szCs w:val="19"/>
              </w:rPr>
              <w:t xml:space="preserve">Cost-per-dollar-raised</w:t>
            </w:r>
          </w:p>
        </w:tc>
        <w:tc>
          <w:tcPr>
            <w:tcW w:type="dxa" w:w="5850"/>
            <w:vAlign w:val="center"/>
          </w:tcPr>
          <w:p>
            <w:pPr>
              <w:spacing w:after="80" w:before="80"/>
            </w:pPr>
            <w:r>
              <w:rPr>
                <w:b w:val="false"/>
                <w:bCs w:val="false"/>
                <w:color w:val="222222"/>
                <w:sz w:val="19"/>
                <w:szCs w:val="19"/>
              </w:rPr>
              <w:t xml:space="preserve">The real efficiency metric institutional funders check first</w:t>
            </w:r>
          </w:p>
        </w:tc>
      </w:tr>
      <w:tr>
        <w:tc>
          <w:tcPr>
            <w:tcW w:type="dxa" w:w="3500"/>
            <w:shd w:fill="F1E9DD" w:val="clear"/>
            <w:vAlign w:val="center"/>
          </w:tcPr>
          <w:p>
            <w:pPr>
              <w:spacing w:after="80" w:before="80"/>
            </w:pPr>
            <w:r>
              <w:rPr>
                <w:b/>
                <w:bCs/>
                <w:color w:val="222222"/>
                <w:sz w:val="19"/>
                <w:szCs w:val="19"/>
              </w:rPr>
              <w:t xml:space="preserve">Donor retention rate (90-day, annual)</w:t>
            </w:r>
          </w:p>
        </w:tc>
        <w:tc>
          <w:tcPr>
            <w:tcW w:type="dxa" w:w="5850"/>
            <w:shd w:fill="F1E9DD" w:val="clear"/>
            <w:vAlign w:val="center"/>
          </w:tcPr>
          <w:p>
            <w:pPr>
              <w:spacing w:after="80" w:before="80"/>
            </w:pPr>
            <w:r>
              <w:rPr>
                <w:b w:val="false"/>
                <w:bCs w:val="false"/>
                <w:color w:val="222222"/>
                <w:sz w:val="19"/>
                <w:szCs w:val="19"/>
              </w:rPr>
              <w:t xml:space="preserve">Cheaper and more sustainable than constant new-donor acquisition</w:t>
            </w:r>
          </w:p>
        </w:tc>
      </w:tr>
    </w:tbl>
    <w:p>
      <w:pPr>
        <w:spacing w:before="300"/>
      </w:pPr>
      <w:r>
        <w:rPr>
          <w:i/>
          <w:iCs/>
          <w:color w:val="5A5A5A"/>
        </w:rPr>
        <w:t xml:space="preserve">Review cadence: monthly internal review of content performance and funnel metrics; quarterly Board review of the full strategy against these six indicators; annual full strategy refresh.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TJF — Global Awareness &amp; Fundraising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mbria" w:cs="Cambria" w:eastAsia="Cambria" w:hAnsi="Cambria"/>
      <w:b/>
      <w:bCs/>
      <w:sz w:val="30"/>
      <w:szCs w:val="30"/>
    </w:rPr>
  </w:style>
  <w:style w:type="paragraph" w:styleId="Heading2">
    <w:name w:val="Heading 2"/>
    <w:basedOn w:val="Normal"/>
    <w:next w:val="Normal"/>
    <w:qFormat/>
    <w:rPr>
      <w:rFonts w:ascii="Cambria" w:cs="Cambria" w:eastAsia="Cambria" w:hAnsi="Cambr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a7a1a6450a4b404de80874c7a8790c81ebef6a6.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2026-07-23T22:35:46.392Z</dcterms:created>
  <dcterms:modified xsi:type="dcterms:W3CDTF">2026-07-23T22:35:46.405Z</dcterms:modified>
</cp:coreProperties>
</file>

<file path=docProps/custom.xml><?xml version="1.0" encoding="utf-8"?>
<Properties xmlns="http://schemas.openxmlformats.org/officeDocument/2006/custom-properties" xmlns:vt="http://schemas.openxmlformats.org/officeDocument/2006/docPropsVTypes"/>
</file>