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p>
      <w:pPr>
        <w:spacing w:after="100" w:before="300"/>
        <w:jc w:val="center"/>
      </w:pPr>
      <w:r>
        <w:rPr>
          <w:rFonts w:ascii="Cambria" w:cs="Cambria" w:eastAsia="Cambria" w:hAnsi="Cambria"/>
          <w:b/>
          <w:bCs/>
          <w:color w:val="1E2761"/>
          <w:sz w:val="48"/>
          <w:szCs w:val="48"/>
        </w:rPr>
        <w:t xml:space="preserve">WHISTLEBLOWER POLICY</w:t>
      </w:r>
    </w:p>
    <w:p>
      <w:pPr>
        <w:spacing w:after="400"/>
        <w:jc w:val="center"/>
      </w:pPr>
      <w:r>
        <w:rPr>
          <w:rFonts w:ascii="Cambria" w:cs="Cambria" w:eastAsia="Cambria" w:hAnsi="Cambria"/>
          <w:color w:val="5A5A5A"/>
          <w:sz w:val="28"/>
          <w:szCs w:val="28"/>
        </w:rPr>
        <w:t xml:space="preserve">OF</w:t>
      </w:r>
    </w:p>
    <w:p>
      <w:pPr>
        <w:spacing w:after="600"/>
        <w:jc w:val="center"/>
      </w:pPr>
      <w:r>
        <w:rPr>
          <w:rFonts w:ascii="Cambria" w:cs="Cambria" w:eastAsia="Cambria" w:hAnsi="Cambria"/>
          <w:b/>
          <w:bCs/>
          <w:color w:val="B8543E"/>
          <w:sz w:val="44"/>
          <w:szCs w:val="44"/>
        </w:rPr>
        <w:t xml:space="preserve">THE JOPETNAH FOUNDATION</w:t>
      </w:r>
    </w:p>
    <w:p>
      <w:pPr>
        <w:spacing w:after="260"/>
        <w:jc w:val="center"/>
      </w:pPr>
      <w:r>
        <w:rPr>
          <w:b/>
          <w:bCs/>
          <w:color w:val="1E2761"/>
          <w:sz w:val="22"/>
          <w:szCs w:val="22"/>
        </w:rPr>
        <w:t xml:space="preserve">( TJF )</w:t>
      </w:r>
    </w:p>
    <w:p>
      <w:pPr>
        <w:spacing w:after="200"/>
        <w:jc w:val="center"/>
      </w:pPr>
      <w:r>
        <w:rPr>
          <w:i/>
          <w:iCs/>
          <w:color w:val="5A5A5A"/>
          <w:sz w:val="22"/>
          <w:szCs w:val="22"/>
        </w:rPr>
        <w:t xml:space="preserve">Adopted pursuant to Article 15.4 of the Constitution</w:t>
      </w:r>
    </w:p>
    <w:p>
      <w:pPr>
        <w:spacing w:after="100" w:before="800"/>
        <w:jc w:val="center"/>
      </w:pPr>
      <w:r>
        <w:rPr>
          <w:b/>
          <w:bCs/>
          <w:color w:val="222222"/>
          <w:sz w:val="22"/>
          <w:szCs w:val="22"/>
        </w:rPr>
        <w:t xml:space="preserve">FINAL VERSION — APPROVED BY THE BOARD OF TRUSTEES</w:t>
      </w:r>
    </w:p>
    <w:p>
      <w:pPr>
        <w:spacing w:after="800"/>
        <w:jc w:val="center"/>
      </w:pPr>
      <w:r>
        <w:rPr>
          <w:color w:val="5A5A5A"/>
          <w:sz w:val="22"/>
          <w:szCs w:val="22"/>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policy operationalizes Article 15.4 of TJF's Constitution and has been reviewed and approved by the Board. It may be amended as TJF's governance needs evolve, particularly as statutory reporting obligations under Ugandan law develop.</w:t>
      </w:r>
    </w:p>
    <w:p>
      <w:pPr>
        <w:pStyle w:val="Heading1"/>
        <w:pageBreakBefore/>
      </w:pPr>
      <w:r>
        <w:rPr>
          <w:b/>
          <w:bCs/>
          <w:color w:val="1E2761"/>
        </w:rPr>
        <w:t xml:space="preserve">Table of Contents</w:t>
      </w:r>
    </w:p>
    <w:p>
      <w:pPr>
        <w:spacing w:after="120"/>
      </w:pPr>
      <w:hyperlink w:history="1" w:anchor="1-purpose">
        <w:r>
          <w:rPr>
            <w:color w:val="1E2761"/>
            <w:u w:val="single" w:color="1E2761"/>
          </w:rPr>
          <w:t xml:space="preserve">1. Purpose</w:t>
        </w:r>
      </w:hyperlink>
    </w:p>
    <w:p>
      <w:pPr>
        <w:spacing w:after="120"/>
      </w:pPr>
      <w:hyperlink w:history="1" w:anchor="2-application">
        <w:r>
          <w:rPr>
            <w:color w:val="1E2761"/>
            <w:u w:val="single" w:color="1E2761"/>
          </w:rPr>
          <w:t xml:space="preserve">2. Application</w:t>
        </w:r>
      </w:hyperlink>
    </w:p>
    <w:p>
      <w:pPr>
        <w:spacing w:after="120"/>
      </w:pPr>
      <w:hyperlink w:history="1" w:anchor="3-definitions">
        <w:r>
          <w:rPr>
            <w:color w:val="1E2761"/>
            <w:u w:val="single" w:color="1E2761"/>
          </w:rPr>
          <w:t xml:space="preserve">3. Definitions</w:t>
        </w:r>
      </w:hyperlink>
    </w:p>
    <w:p>
      <w:pPr>
        <w:spacing w:after="120"/>
      </w:pPr>
      <w:hyperlink w:history="1" w:anchor="4-what-can-be-reported">
        <w:r>
          <w:rPr>
            <w:color w:val="1E2761"/>
            <w:u w:val="single" w:color="1E2761"/>
          </w:rPr>
          <w:t xml:space="preserve">4. What Can Be Reported</w:t>
        </w:r>
      </w:hyperlink>
    </w:p>
    <w:p>
      <w:pPr>
        <w:spacing w:after="120"/>
      </w:pPr>
      <w:hyperlink w:history="1" w:anchor="5-how-to-report">
        <w:r>
          <w:rPr>
            <w:color w:val="1E2761"/>
            <w:u w:val="single" w:color="1E2761"/>
          </w:rPr>
          <w:t xml:space="preserve">5. How to Report</w:t>
        </w:r>
      </w:hyperlink>
    </w:p>
    <w:p>
      <w:pPr>
        <w:spacing w:after="120"/>
      </w:pPr>
      <w:hyperlink w:history="1" w:anchor="6-protection-against-retaliation">
        <w:r>
          <w:rPr>
            <w:color w:val="1E2761"/>
            <w:u w:val="single" w:color="1E2761"/>
          </w:rPr>
          <w:t xml:space="preserve">6. Protection Against Retaliation</w:t>
        </w:r>
      </w:hyperlink>
    </w:p>
    <w:p>
      <w:pPr>
        <w:spacing w:after="120"/>
      </w:pPr>
      <w:hyperlink w:history="1" w:anchor="7-confidentiality">
        <w:r>
          <w:rPr>
            <w:color w:val="1E2761"/>
            <w:u w:val="single" w:color="1E2761"/>
          </w:rPr>
          <w:t xml:space="preserve">7. Confidentiality</w:t>
        </w:r>
      </w:hyperlink>
    </w:p>
    <w:p>
      <w:pPr>
        <w:spacing w:after="120"/>
      </w:pPr>
      <w:hyperlink w:history="1" w:anchor="8-false-and-malicious-reports">
        <w:r>
          <w:rPr>
            <w:color w:val="1E2761"/>
            <w:u w:val="single" w:color="1E2761"/>
          </w:rPr>
          <w:t xml:space="preserve">8. False and Malicious Reports</w:t>
        </w:r>
      </w:hyperlink>
    </w:p>
    <w:p>
      <w:pPr>
        <w:spacing w:after="120"/>
      </w:pPr>
      <w:hyperlink w:history="1" w:anchor="9-investigation-procedure">
        <w:r>
          <w:rPr>
            <w:color w:val="1E2761"/>
            <w:u w:val="single" w:color="1E2761"/>
          </w:rPr>
          <w:t xml:space="preserve">9. Investigation Procedure</w:t>
        </w:r>
      </w:hyperlink>
    </w:p>
    <w:p>
      <w:pPr>
        <w:spacing w:after="120"/>
      </w:pPr>
      <w:hyperlink w:history="1" w:anchor="10-reporting-outcomes">
        <w:r>
          <w:rPr>
            <w:color w:val="1E2761"/>
            <w:u w:val="single" w:color="1E2761"/>
          </w:rPr>
          <w:t xml:space="preserve">10. Reporting Outcomes</w:t>
        </w:r>
      </w:hyperlink>
    </w:p>
    <w:p>
      <w:pPr>
        <w:spacing w:after="120"/>
      </w:pPr>
      <w:hyperlink w:history="1" w:anchor="11-external-reporting">
        <w:r>
          <w:rPr>
            <w:color w:val="1E2761"/>
            <w:u w:val="single" w:color="1E2761"/>
          </w:rPr>
          <w:t xml:space="preserve">11. External Reporting</w:t>
        </w:r>
      </w:hyperlink>
    </w:p>
    <w:p>
      <w:pPr>
        <w:spacing w:after="120"/>
      </w:pPr>
      <w:hyperlink w:history="1" w:anchor="12-review-of-this-policy">
        <w:r>
          <w:rPr>
            <w:color w:val="1E2761"/>
            <w:u w:val="single" w:color="1E2761"/>
          </w:rPr>
          <w:t xml:space="preserve">12. Review of this Policy</w:t>
        </w:r>
      </w:hyperlink>
    </w:p>
    <w:p>
      <w:pPr>
        <w:spacing w:after="120"/>
      </w:pPr>
      <w:hyperlink w:history="1" w:anchor="schedule-a-whistleblowing-report-form">
        <w:r>
          <w:rPr>
            <w:color w:val="1E2761"/>
            <w:u w:val="single" w:color="1E2761"/>
          </w:rPr>
          <w:t xml:space="preserve">Schedule A: Whistleblowing Report Form</w:t>
        </w:r>
      </w:hyperlink>
    </w:p>
    <w:p>
      <w:pPr>
        <w:pStyle w:val="Heading1"/>
        <w:pageBreakBefore/>
        <w:pBdr>
          <w:bottom w:val="single" w:color="B8543E" w:sz="8" w:space="4"/>
        </w:pBdr>
        <w:spacing w:after="200" w:before="240"/>
      </w:pPr>
      <w:bookmarkStart w:name="1-purpose" w:id="1000"/>
      <w:r>
        <w:rPr>
          <w:b/>
          <w:bCs/>
          <w:color w:val="1E2761"/>
        </w:rPr>
        <w:t xml:space="preserve">1. Purpose</w:t>
      </w:r>
      <w:bookmarkEnd w:id="1000"/>
    </w:p>
    <w:p>
      <w:pPr>
        <w:spacing w:after="140"/>
      </w:pPr>
      <w:r>
        <w:rPr>
          <w:color w:val="222222"/>
        </w:rPr>
        <w:t xml:space="preserve">This Policy provides Trustees, staff, volunteers, and partners of The Jopetnah Foundation ("the Foundation" or "TJF") with a safe, confidential way to raise genuine concerns about wrongdoing, and protects anyone who raises such a concern in good faith from retaliation.</w:t>
      </w:r>
    </w:p>
    <w:p>
      <w:pPr>
        <w:pStyle w:val="Heading1"/>
        <w:pageBreakBefore/>
        <w:pBdr>
          <w:bottom w:val="single" w:color="B8543E" w:sz="8" w:space="4"/>
        </w:pBdr>
        <w:spacing w:after="200" w:before="240"/>
      </w:pPr>
      <w:bookmarkStart w:name="2-application" w:id="1001"/>
      <w:r>
        <w:rPr>
          <w:b/>
          <w:bCs/>
          <w:color w:val="1E2761"/>
        </w:rPr>
        <w:t xml:space="preserve">2. Application</w:t>
      </w:r>
      <w:bookmarkEnd w:id="1001"/>
    </w:p>
    <w:p>
      <w:pPr>
        <w:spacing w:after="140"/>
      </w:pPr>
      <w:r>
        <w:rPr>
          <w:color w:val="222222"/>
        </w:rPr>
        <w:t xml:space="preserve">This Policy applies to all Trustees, officers, staff, volunteers, interns, contractors, and beneficiaries of the Foundation, and to any partner organization implementing Foundation-funded activities.</w:t>
      </w:r>
    </w:p>
    <w:p>
      <w:pPr>
        <w:pStyle w:val="Heading1"/>
        <w:pageBreakBefore/>
        <w:pBdr>
          <w:bottom w:val="single" w:color="B8543E" w:sz="8" w:space="4"/>
        </w:pBdr>
        <w:spacing w:after="200" w:before="240"/>
      </w:pPr>
      <w:bookmarkStart w:name="3-definitions" w:id="1002"/>
      <w:r>
        <w:rPr>
          <w:b/>
          <w:bCs/>
          <w:color w:val="1E2761"/>
        </w:rPr>
        <w:t xml:space="preserve">3. Definitions</w:t>
      </w:r>
      <w:bookmarkEnd w:id="1002"/>
    </w:p>
    <w:p>
      <w:pPr>
        <w:spacing w:after="100"/>
        <w:ind w:left="648"/>
      </w:pPr>
      <w:r>
        <w:rPr>
          <w:b/>
          <w:bCs/>
          <w:color w:val="222222"/>
        </w:rPr>
        <w:t xml:space="preserve">(a) </w:t>
      </w:r>
      <w:r>
        <w:rPr>
          <w:color w:val="222222"/>
        </w:rPr>
        <w:t xml:space="preserve">"Whistleblower" means any person covered by this Policy who makes a Protected Disclosure;</w:t>
      </w:r>
    </w:p>
    <w:p>
      <w:pPr>
        <w:spacing w:after="100"/>
        <w:ind w:left="648"/>
      </w:pPr>
      <w:r>
        <w:rPr>
          <w:b/>
          <w:bCs/>
          <w:color w:val="222222"/>
        </w:rPr>
        <w:t xml:space="preserve">(b) </w:t>
      </w:r>
      <w:r>
        <w:rPr>
          <w:color w:val="222222"/>
        </w:rPr>
        <w:t xml:space="preserve">"Protected Disclosure" means a good-faith report of suspected wrongdoing falling within Article 4, made in accordance with this Policy;</w:t>
      </w:r>
    </w:p>
    <w:p>
      <w:pPr>
        <w:spacing w:after="100"/>
        <w:ind w:left="648"/>
      </w:pPr>
      <w:r>
        <w:rPr>
          <w:b/>
          <w:bCs/>
          <w:color w:val="222222"/>
        </w:rPr>
        <w:t xml:space="preserve">(c) </w:t>
      </w:r>
      <w:r>
        <w:rPr>
          <w:color w:val="222222"/>
        </w:rPr>
        <w:t xml:space="preserve">"Retaliation" means any adverse action taken against a Whistleblower because they made a Protected Disclosure, including dismissal, demotion, harassment, exclusion, or threats.</w:t>
      </w:r>
    </w:p>
    <w:p>
      <w:pPr>
        <w:pStyle w:val="Heading1"/>
        <w:pageBreakBefore/>
        <w:pBdr>
          <w:bottom w:val="single" w:color="B8543E" w:sz="8" w:space="4"/>
        </w:pBdr>
        <w:spacing w:after="200" w:before="240"/>
      </w:pPr>
      <w:bookmarkStart w:name="4-what-can-be-reported" w:id="1003"/>
      <w:r>
        <w:rPr>
          <w:b/>
          <w:bCs/>
          <w:color w:val="1E2761"/>
        </w:rPr>
        <w:t xml:space="preserve">4. What Can Be Reported</w:t>
      </w:r>
      <w:bookmarkEnd w:id="1003"/>
    </w:p>
    <w:p>
      <w:pPr>
        <w:spacing w:after="140"/>
      </w:pPr>
      <w:r>
        <w:rPr>
          <w:color w:val="222222"/>
        </w:rPr>
        <w:t xml:space="preserve">This Policy covers good-faith concerns about:</w:t>
      </w:r>
    </w:p>
    <w:p>
      <w:pPr>
        <w:spacing w:after="100"/>
        <w:ind w:left="648"/>
      </w:pPr>
      <w:r>
        <w:rPr>
          <w:b/>
          <w:bCs/>
          <w:color w:val="222222"/>
        </w:rPr>
        <w:t xml:space="preserve">(a) </w:t>
      </w:r>
      <w:r>
        <w:rPr>
          <w:color w:val="222222"/>
        </w:rPr>
        <w:t xml:space="preserve">fraud, theft, or misappropriation of Foundation funds or property;</w:t>
      </w:r>
    </w:p>
    <w:p>
      <w:pPr>
        <w:spacing w:after="100"/>
        <w:ind w:left="648"/>
      </w:pPr>
      <w:r>
        <w:rPr>
          <w:b/>
          <w:bCs/>
          <w:color w:val="222222"/>
        </w:rPr>
        <w:t xml:space="preserve">(b) </w:t>
      </w:r>
      <w:r>
        <w:rPr>
          <w:color w:val="222222"/>
        </w:rPr>
        <w:t xml:space="preserve">corruption or bribery;</w:t>
      </w:r>
    </w:p>
    <w:p>
      <w:pPr>
        <w:spacing w:after="100"/>
        <w:ind w:left="648"/>
      </w:pPr>
      <w:r>
        <w:rPr>
          <w:b/>
          <w:bCs/>
          <w:color w:val="222222"/>
        </w:rPr>
        <w:t xml:space="preserve">(c) </w:t>
      </w:r>
      <w:r>
        <w:rPr>
          <w:color w:val="222222"/>
        </w:rPr>
        <w:t xml:space="preserve">safeguarding breaches involving children or vulnerable persons (which shall also be reported under the Foundation's Safeguarding Policy);</w:t>
      </w:r>
    </w:p>
    <w:p>
      <w:pPr>
        <w:spacing w:after="100"/>
        <w:ind w:left="648"/>
      </w:pPr>
      <w:r>
        <w:rPr>
          <w:b/>
          <w:bCs/>
          <w:color w:val="222222"/>
        </w:rPr>
        <w:t xml:space="preserve">(d) </w:t>
      </w:r>
      <w:r>
        <w:rPr>
          <w:color w:val="222222"/>
        </w:rPr>
        <w:t xml:space="preserve">conflicts of interest not disclosed in accordance with the Conflict of Interest Policy;</w:t>
      </w:r>
    </w:p>
    <w:p>
      <w:pPr>
        <w:spacing w:after="100"/>
        <w:ind w:left="648"/>
      </w:pPr>
      <w:r>
        <w:rPr>
          <w:b/>
          <w:bCs/>
          <w:color w:val="222222"/>
        </w:rPr>
        <w:t xml:space="preserve">(e) </w:t>
      </w:r>
      <w:r>
        <w:rPr>
          <w:color w:val="222222"/>
        </w:rPr>
        <w:t xml:space="preserve">serious breaches of the Constitution, Board Charter, or other Foundation policy;</w:t>
      </w:r>
    </w:p>
    <w:p>
      <w:pPr>
        <w:spacing w:after="100"/>
        <w:ind w:left="648"/>
      </w:pPr>
      <w:r>
        <w:rPr>
          <w:b/>
          <w:bCs/>
          <w:color w:val="222222"/>
        </w:rPr>
        <w:t xml:space="preserve">(f) </w:t>
      </w:r>
      <w:r>
        <w:rPr>
          <w:color w:val="222222"/>
        </w:rPr>
        <w:t xml:space="preserve">danger to health or safety, or damage to the environment;</w:t>
      </w:r>
    </w:p>
    <w:p>
      <w:pPr>
        <w:spacing w:after="100"/>
        <w:ind w:left="648"/>
      </w:pPr>
      <w:r>
        <w:rPr>
          <w:b/>
          <w:bCs/>
          <w:color w:val="222222"/>
        </w:rPr>
        <w:t xml:space="preserve">(g) </w:t>
      </w:r>
      <w:r>
        <w:rPr>
          <w:color w:val="222222"/>
        </w:rPr>
        <w:t xml:space="preserve">criminal conduct or violation of any legal or regulatory obligation; and</w:t>
      </w:r>
    </w:p>
    <w:p>
      <w:pPr>
        <w:spacing w:after="100"/>
        <w:ind w:left="648"/>
      </w:pPr>
      <w:r>
        <w:rPr>
          <w:b/>
          <w:bCs/>
          <w:color w:val="222222"/>
        </w:rPr>
        <w:t xml:space="preserve">(h) </w:t>
      </w:r>
      <w:r>
        <w:rPr>
          <w:color w:val="222222"/>
        </w:rPr>
        <w:t xml:space="preserve">deliberate concealment of any of the above.</w:t>
      </w:r>
    </w:p>
    <w:p>
      <w:pPr>
        <w:spacing w:after="140"/>
        <w:ind w:left="72"/>
      </w:pPr>
      <w:r>
        <w:rPr>
          <w:b/>
          <w:bCs/>
          <w:color w:val="222222"/>
        </w:rPr>
        <w:t xml:space="preserve">4.2  </w:t>
      </w:r>
      <w:r>
        <w:rPr>
          <w:color w:val="222222"/>
        </w:rPr>
        <w:t xml:space="preserve">This Policy is not intended for routine workplace grievances (such as personal disputes between colleagues), which should be raised through the Foundation's ordinary staff grievance procedures.</w:t>
      </w:r>
    </w:p>
    <w:p>
      <w:pPr>
        <w:pStyle w:val="Heading1"/>
        <w:pageBreakBefore/>
        <w:pBdr>
          <w:bottom w:val="single" w:color="B8543E" w:sz="8" w:space="4"/>
        </w:pBdr>
        <w:spacing w:after="200" w:before="240"/>
      </w:pPr>
      <w:bookmarkStart w:name="5-how-to-report" w:id="1004"/>
      <w:r>
        <w:rPr>
          <w:b/>
          <w:bCs/>
          <w:color w:val="1E2761"/>
        </w:rPr>
        <w:t xml:space="preserve">5. How to Report</w:t>
      </w:r>
      <w:bookmarkEnd w:id="1004"/>
    </w:p>
    <w:p>
      <w:pPr>
        <w:spacing w:after="140"/>
        <w:ind w:left="72"/>
      </w:pPr>
      <w:r>
        <w:rPr>
          <w:b/>
          <w:bCs/>
          <w:color w:val="222222"/>
        </w:rPr>
        <w:t xml:space="preserve">5.1  </w:t>
      </w:r>
      <w:r>
        <w:rPr>
          <w:color w:val="222222"/>
        </w:rPr>
        <w:t xml:space="preserve">A concern may be raised, in order of preference, with: (a) the person's line manager; (b) the Executive Director; (c) the Chairperson of the Board or the Finance and Audit Committee, where the concern involves the Executive Director or senior management; or (d) through any dedicated confidential/anonymous reporting channel the Board may establish.</w:t>
      </w:r>
    </w:p>
    <w:p>
      <w:pPr>
        <w:spacing w:after="140"/>
        <w:ind w:left="72"/>
      </w:pPr>
      <w:r>
        <w:rPr>
          <w:b/>
          <w:bCs/>
          <w:color w:val="222222"/>
        </w:rPr>
        <w:t xml:space="preserve">5.2  </w:t>
      </w:r>
      <w:r>
        <w:rPr>
          <w:color w:val="222222"/>
        </w:rPr>
        <w:t xml:space="preserve">Reports may be made verbally or in writing, and may use the Whistleblowing Report Form at Schedule A, though use of the form is not mandatory.</w:t>
      </w:r>
    </w:p>
    <w:p>
      <w:pPr>
        <w:spacing w:after="140"/>
        <w:ind w:left="72"/>
      </w:pPr>
      <w:r>
        <w:rPr>
          <w:b/>
          <w:bCs/>
          <w:color w:val="222222"/>
        </w:rPr>
        <w:t xml:space="preserve">5.3  </w:t>
      </w:r>
      <w:r>
        <w:rPr>
          <w:color w:val="222222"/>
        </w:rPr>
        <w:t xml:space="preserve">Where the concern involves a Trustee, the report shall be made directly to the Chairperson or, if the Chairperson is implicated, to the Vice-Chairperson.</w:t>
      </w:r>
    </w:p>
    <w:p>
      <w:pPr>
        <w:pStyle w:val="Heading1"/>
        <w:pageBreakBefore/>
        <w:pBdr>
          <w:bottom w:val="single" w:color="B8543E" w:sz="8" w:space="4"/>
        </w:pBdr>
        <w:spacing w:after="200" w:before="240"/>
      </w:pPr>
      <w:bookmarkStart w:name="6-protection-against-retaliation" w:id="1005"/>
      <w:r>
        <w:rPr>
          <w:b/>
          <w:bCs/>
          <w:color w:val="1E2761"/>
        </w:rPr>
        <w:t xml:space="preserve">6. Protection Against Retaliation</w:t>
      </w:r>
      <w:bookmarkEnd w:id="1005"/>
    </w:p>
    <w:p>
      <w:pPr>
        <w:spacing w:after="140"/>
        <w:ind w:left="72"/>
      </w:pPr>
      <w:r>
        <w:rPr>
          <w:b/>
          <w:bCs/>
          <w:color w:val="222222"/>
        </w:rPr>
        <w:t xml:space="preserve">6.1  </w:t>
      </w:r>
      <w:r>
        <w:rPr>
          <w:color w:val="222222"/>
        </w:rPr>
        <w:t xml:space="preserve">The Foundation shall not tolerate Retaliation against any person who makes a Protected Disclosure in good faith, whether or not the concern is ultimately substantiated.</w:t>
      </w:r>
    </w:p>
    <w:p>
      <w:pPr>
        <w:spacing w:after="140"/>
        <w:ind w:left="72"/>
      </w:pPr>
      <w:r>
        <w:rPr>
          <w:b/>
          <w:bCs/>
          <w:color w:val="222222"/>
        </w:rPr>
        <w:t xml:space="preserve">6.2  </w:t>
      </w:r>
      <w:r>
        <w:rPr>
          <w:color w:val="222222"/>
        </w:rPr>
        <w:t xml:space="preserve">Any person found to have retaliated against a Whistleblower shall be subject to disciplinary action, up to and including termination or removal from office.</w:t>
      </w:r>
    </w:p>
    <w:p>
      <w:pPr>
        <w:spacing w:after="140"/>
        <w:ind w:left="72"/>
      </w:pPr>
      <w:r>
        <w:rPr>
          <w:b/>
          <w:bCs/>
          <w:color w:val="222222"/>
        </w:rPr>
        <w:t xml:space="preserve">6.3  </w:t>
      </w:r>
      <w:r>
        <w:rPr>
          <w:color w:val="222222"/>
        </w:rPr>
        <w:t xml:space="preserve">A Whistleblower who believes they have experienced Retaliation may report this directly to the Chairperson, who shall ensure it is investigated independently of the original concern.</w:t>
      </w:r>
    </w:p>
    <w:p>
      <w:pPr>
        <w:pStyle w:val="Heading1"/>
        <w:pageBreakBefore/>
        <w:pBdr>
          <w:bottom w:val="single" w:color="B8543E" w:sz="8" w:space="4"/>
        </w:pBdr>
        <w:spacing w:after="200" w:before="240"/>
      </w:pPr>
      <w:bookmarkStart w:name="7-confidentiality" w:id="1006"/>
      <w:r>
        <w:rPr>
          <w:b/>
          <w:bCs/>
          <w:color w:val="1E2761"/>
        </w:rPr>
        <w:t xml:space="preserve">7. Confidentiality</w:t>
      </w:r>
      <w:bookmarkEnd w:id="1006"/>
    </w:p>
    <w:p>
      <w:pPr>
        <w:spacing w:after="140"/>
        <w:ind w:left="72"/>
      </w:pPr>
      <w:r>
        <w:rPr>
          <w:b/>
          <w:bCs/>
          <w:color w:val="222222"/>
        </w:rPr>
        <w:t xml:space="preserve">7.1  </w:t>
      </w:r>
      <w:r>
        <w:rPr>
          <w:color w:val="222222"/>
        </w:rPr>
        <w:t xml:space="preserve">The identity of a Whistleblower shall be kept confidential to the fullest extent possible, consistent with conducting a fair and thorough investigation, and shall not be disclosed without the Whistleblower's consent unless required by law.</w:t>
      </w:r>
    </w:p>
    <w:p>
      <w:pPr>
        <w:spacing w:after="140"/>
        <w:ind w:left="72"/>
      </w:pPr>
      <w:r>
        <w:rPr>
          <w:b/>
          <w:bCs/>
          <w:color w:val="222222"/>
        </w:rPr>
        <w:t xml:space="preserve">7.2  </w:t>
      </w:r>
      <w:r>
        <w:rPr>
          <w:color w:val="222222"/>
        </w:rPr>
        <w:t xml:space="preserve">Anonymous reports will be considered and investigated so far as the information provided allows, though the Foundation's ability to investigate or provide feedback may be limited where a report is anonymous.</w:t>
      </w:r>
    </w:p>
    <w:p>
      <w:pPr>
        <w:pStyle w:val="Heading1"/>
        <w:pageBreakBefore/>
        <w:pBdr>
          <w:bottom w:val="single" w:color="B8543E" w:sz="8" w:space="4"/>
        </w:pBdr>
        <w:spacing w:after="200" w:before="240"/>
      </w:pPr>
      <w:bookmarkStart w:name="8-false-and-malicious-reports" w:id="1007"/>
      <w:r>
        <w:rPr>
          <w:b/>
          <w:bCs/>
          <w:color w:val="1E2761"/>
        </w:rPr>
        <w:t xml:space="preserve">8. False and Malicious Reports</w:t>
      </w:r>
      <w:bookmarkEnd w:id="1007"/>
    </w:p>
    <w:p>
      <w:pPr>
        <w:spacing w:after="140"/>
        <w:ind w:left="72"/>
      </w:pPr>
      <w:r>
        <w:rPr>
          <w:b/>
          <w:bCs/>
          <w:color w:val="222222"/>
        </w:rPr>
        <w:t xml:space="preserve">8.1  </w:t>
      </w:r>
      <w:r>
        <w:rPr>
          <w:color w:val="222222"/>
        </w:rPr>
        <w:t xml:space="preserve">This Policy protects good-faith reports, even where the concern turns out to be mistaken. It does not protect a person who knowingly makes a false or malicious report, which may itself be treated as misconduct.</w:t>
      </w:r>
    </w:p>
    <w:p>
      <w:pPr>
        <w:pStyle w:val="Heading1"/>
        <w:pageBreakBefore/>
        <w:pBdr>
          <w:bottom w:val="single" w:color="B8543E" w:sz="8" w:space="4"/>
        </w:pBdr>
        <w:spacing w:after="200" w:before="240"/>
      </w:pPr>
      <w:bookmarkStart w:name="9-investigation-procedure" w:id="1008"/>
      <w:r>
        <w:rPr>
          <w:b/>
          <w:bCs/>
          <w:color w:val="1E2761"/>
        </w:rPr>
        <w:t xml:space="preserve">9. Investigation Procedure</w:t>
      </w:r>
      <w:bookmarkEnd w:id="1008"/>
    </w:p>
    <w:p>
      <w:pPr>
        <w:spacing w:after="140"/>
        <w:ind w:left="72"/>
      </w:pPr>
      <w:r>
        <w:rPr>
          <w:b/>
          <w:bCs/>
          <w:color w:val="222222"/>
        </w:rPr>
        <w:t xml:space="preserve">9.1  </w:t>
      </w:r>
      <w:r>
        <w:rPr>
          <w:color w:val="222222"/>
        </w:rPr>
        <w:t xml:space="preserve">Upon receipt of a report, the recipient shall acknowledge it promptly and refer it to the Chairperson (or Vice-Chairperson, where conflicted) if not already so directed.</w:t>
      </w:r>
    </w:p>
    <w:p>
      <w:pPr>
        <w:spacing w:after="140"/>
        <w:ind w:left="72"/>
      </w:pPr>
      <w:r>
        <w:rPr>
          <w:b/>
          <w:bCs/>
          <w:color w:val="222222"/>
        </w:rPr>
        <w:t xml:space="preserve">9.2  </w:t>
      </w:r>
      <w:r>
        <w:rPr>
          <w:color w:val="222222"/>
        </w:rPr>
        <w:t xml:space="preserve">The Board shall determine who is best placed to investigate, which may include an independent Trustee, an external investigator, or referral to the Finance and Audit Committee, having regard to the nature and seniority of those involved.</w:t>
      </w:r>
    </w:p>
    <w:p>
      <w:pPr>
        <w:spacing w:after="140"/>
        <w:ind w:left="72"/>
      </w:pPr>
      <w:r>
        <w:rPr>
          <w:b/>
          <w:bCs/>
          <w:color w:val="222222"/>
        </w:rPr>
        <w:t xml:space="preserve">9.3  </w:t>
      </w:r>
      <w:r>
        <w:rPr>
          <w:color w:val="222222"/>
        </w:rPr>
        <w:t xml:space="preserve">Investigations shall be conducted promptly, fairly, and proportionately, with due process afforded to any person against whom an allegation is made.</w:t>
      </w:r>
    </w:p>
    <w:p>
      <w:pPr>
        <w:spacing w:after="140"/>
        <w:ind w:left="72"/>
      </w:pPr>
      <w:r>
        <w:rPr>
          <w:b/>
          <w:bCs/>
          <w:color w:val="222222"/>
        </w:rPr>
        <w:t xml:space="preserve">9.4  </w:t>
      </w:r>
      <w:r>
        <w:rPr>
          <w:color w:val="222222"/>
        </w:rPr>
        <w:t xml:space="preserve">Where a report raises a safeguarding concern involving a child or vulnerable person, it shall be handled in accordance with the Foundation's Safeguarding Policy in parallel with this Policy, and safeguarding procedures shall take precedence on matters of immediate safety.</w:t>
      </w:r>
    </w:p>
    <w:p>
      <w:pPr>
        <w:pStyle w:val="Heading1"/>
        <w:pageBreakBefore/>
        <w:pBdr>
          <w:bottom w:val="single" w:color="B8543E" w:sz="8" w:space="4"/>
        </w:pBdr>
        <w:spacing w:after="200" w:before="240"/>
      </w:pPr>
      <w:bookmarkStart w:name="10-reporting-outcomes" w:id="1009"/>
      <w:r>
        <w:rPr>
          <w:b/>
          <w:bCs/>
          <w:color w:val="1E2761"/>
        </w:rPr>
        <w:t xml:space="preserve">10. Reporting Outcomes</w:t>
      </w:r>
      <w:bookmarkEnd w:id="1009"/>
    </w:p>
    <w:p>
      <w:pPr>
        <w:spacing w:after="140"/>
        <w:ind w:left="72"/>
      </w:pPr>
      <w:r>
        <w:rPr>
          <w:b/>
          <w:bCs/>
          <w:color w:val="222222"/>
        </w:rPr>
        <w:t xml:space="preserve">10.1  </w:t>
      </w:r>
      <w:r>
        <w:rPr>
          <w:color w:val="222222"/>
        </w:rPr>
        <w:t xml:space="preserve">A summary of whistleblowing reports received and their outcomes (with identifying details redacted as appropriate) shall be reported to the Board, or its Finance and Audit Committee, at least annually.</w:t>
      </w:r>
    </w:p>
    <w:p>
      <w:pPr>
        <w:spacing w:after="140"/>
        <w:ind w:left="72"/>
      </w:pPr>
      <w:r>
        <w:rPr>
          <w:b/>
          <w:bCs/>
          <w:color w:val="222222"/>
        </w:rPr>
        <w:t xml:space="preserve">10.2  </w:t>
      </w:r>
      <w:r>
        <w:rPr>
          <w:color w:val="222222"/>
        </w:rPr>
        <w:t xml:space="preserve">The Whistleblower shall, so far as confidentiality and legal constraints allow, be informed of the outcome of any investigation into their report.</w:t>
      </w:r>
    </w:p>
    <w:p>
      <w:pPr>
        <w:pStyle w:val="Heading1"/>
        <w:pageBreakBefore/>
        <w:pBdr>
          <w:bottom w:val="single" w:color="B8543E" w:sz="8" w:space="4"/>
        </w:pBdr>
        <w:spacing w:after="200" w:before="240"/>
      </w:pPr>
      <w:bookmarkStart w:name="11-external-reporting" w:id="1010"/>
      <w:r>
        <w:rPr>
          <w:b/>
          <w:bCs/>
          <w:color w:val="1E2761"/>
        </w:rPr>
        <w:t xml:space="preserve">11. External Reporting</w:t>
      </w:r>
      <w:bookmarkEnd w:id="1010"/>
    </w:p>
    <w:p>
      <w:pPr>
        <w:spacing w:after="140"/>
        <w:ind w:left="72"/>
      </w:pPr>
      <w:r>
        <w:rPr>
          <w:b/>
          <w:bCs/>
          <w:color w:val="222222"/>
        </w:rPr>
        <w:t xml:space="preserve">11.1  </w:t>
      </w:r>
      <w:r>
        <w:rPr>
          <w:color w:val="222222"/>
        </w:rPr>
        <w:t xml:space="preserve">Nothing in this Policy prevents a person from reporting suspected criminal conduct directly to the Uganda Police Force or other competent authority, particularly where the concern involves an immediate risk to life, safety, or where internal reporting channels are themselves compromised.</w:t>
      </w:r>
    </w:p>
    <w:p>
      <w:pPr>
        <w:spacing w:after="140"/>
        <w:ind w:left="72"/>
      </w:pPr>
      <w:r>
        <w:rPr>
          <w:b/>
          <w:bCs/>
          <w:color w:val="222222"/>
        </w:rPr>
        <w:t xml:space="preserve">11.2  </w:t>
      </w:r>
      <w:r>
        <w:rPr>
          <w:color w:val="222222"/>
        </w:rPr>
        <w:t xml:space="preserve">Where a concern involves suspected fraud or misuse of donor funds, the Foundation shall additionally comply with any reporting obligations owed to the relevant funder under the applicable grant agreement.</w:t>
      </w:r>
    </w:p>
    <w:p>
      <w:pPr>
        <w:pStyle w:val="Heading1"/>
        <w:pageBreakBefore/>
        <w:pBdr>
          <w:bottom w:val="single" w:color="B8543E" w:sz="8" w:space="4"/>
        </w:pBdr>
        <w:spacing w:after="200" w:before="240"/>
      </w:pPr>
      <w:bookmarkStart w:name="12-review-of-this-policy" w:id="1011"/>
      <w:r>
        <w:rPr>
          <w:b/>
          <w:bCs/>
          <w:color w:val="1E2761"/>
        </w:rPr>
        <w:t xml:space="preserve">12. Review of this Policy</w:t>
      </w:r>
      <w:bookmarkEnd w:id="1011"/>
    </w:p>
    <w:p>
      <w:pPr>
        <w:spacing w:after="140"/>
        <w:ind w:left="72"/>
      </w:pPr>
      <w:r>
        <w:rPr>
          <w:b/>
          <w:bCs/>
          <w:color w:val="222222"/>
        </w:rPr>
        <w:t xml:space="preserve">12.1  </w:t>
      </w:r>
      <w:r>
        <w:rPr>
          <w:color w:val="222222"/>
        </w:rPr>
        <w:t xml:space="preserve">This Policy shall be reviewed by the Board at least once every two years.</w:t>
      </w:r>
    </w:p>
    <w:p>
      <w:pPr>
        <w:pStyle w:val="Heading1"/>
        <w:pageBreakBefore/>
        <w:pBdr>
          <w:bottom w:val="single" w:color="B8543E" w:sz="8" w:space="4"/>
        </w:pBdr>
        <w:spacing w:after="200" w:before="240"/>
      </w:pPr>
      <w:bookmarkStart w:name="schedule-a-whistleblowing-report-form" w:id="1012"/>
      <w:r>
        <w:rPr>
          <w:b/>
          <w:bCs/>
          <w:color w:val="1E2761"/>
        </w:rPr>
        <w:t xml:space="preserve">Schedule A: Whistleblowing Report Form</w:t>
      </w:r>
      <w:bookmarkEnd w:id="1012"/>
    </w:p>
    <w:p>
      <w:pPr>
        <w:spacing w:after="140"/>
      </w:pPr>
      <w:r>
        <w:rPr>
          <w:color w:val="222222"/>
        </w:rPr>
        <w:t xml:space="preserve">Use of this form is optional — a report may also be made verbally or in any written format.</w:t>
      </w:r>
    </w:p>
    <w:p>
      <w:pPr>
        <w:spacing w:before="220"/>
      </w:pPr>
      <w:r>
        <w:rPr>
          <w:color w:val="222222"/>
        </w:rPr>
        <w:t xml:space="preserve">Name (optional — reports may be made anonymously): ________________________________</w:t>
      </w:r>
    </w:p>
    <w:p>
      <w:pPr>
        <w:spacing w:before="220"/>
      </w:pPr>
      <w:r>
        <w:rPr>
          <w:color w:val="222222"/>
        </w:rPr>
        <w:t xml:space="preserve">Role / relationship to the Foundation: ________________________________</w:t>
      </w:r>
    </w:p>
    <w:p>
      <w:pPr>
        <w:spacing w:before="220"/>
      </w:pPr>
      <w:r>
        <w:rPr>
          <w:color w:val="222222"/>
        </w:rPr>
        <w:t xml:space="preserve">Date of this report: ________________________________</w:t>
      </w:r>
    </w:p>
    <w:p>
      <w:pPr>
        <w:spacing w:before="260"/>
      </w:pPr>
      <w:r>
        <w:rPr>
          <w:b/>
          <w:bCs/>
        </w:rPr>
        <w:t xml:space="preserve">Nature of concern (what happened, who was involved, when and where):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Pr>
          <w:p>
            <w:pPr>
              <w:spacing w:before="1200"/>
            </w:pPr>
            <w:r>
              <w:t xml:space="preserve"> </w:t>
            </w:r>
          </w:p>
        </w:tc>
      </w:tr>
    </w:tbl>
    <w:p>
      <w:pPr>
        <w:spacing w:before="300"/>
      </w:pPr>
      <w:r>
        <w:rPr>
          <w:b/>
          <w:bCs/>
        </w:rPr>
        <w:t xml:space="preserve">Supporting evidence available (documents, witnesses, dates):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Pr>
          <w:p>
            <w:pPr>
              <w:spacing w:before="800"/>
            </w:pPr>
            <w:r>
              <w:t xml:space="preserve"> </w:t>
            </w:r>
          </w:p>
        </w:tc>
      </w:tr>
    </w:tbl>
    <w:p>
      <w:pPr>
        <w:spacing w:before="220"/>
      </w:pPr>
      <w:r>
        <w:rPr>
          <w:color w:val="222222"/>
        </w:rPr>
        <w:t xml:space="preserve">Preferred means of follow-up contact (if not anonymous): ________________________________</w:t>
      </w:r>
    </w:p>
    <w:p>
      <w:pPr>
        <w:spacing w:before="300"/>
      </w:pPr>
      <w:r>
        <w:rPr>
          <w:i/>
          <w:iCs/>
        </w:rPr>
        <w:t xml:space="preserve">Submit to: the Executive Director, the Board Chairperson, or the Vice-Chairperson (if the concern involves the Chairperson).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Jopetnah Foundation — Whistleblower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2026-07-23T21:25:38.263Z</dcterms:created>
  <dcterms:modified xsi:type="dcterms:W3CDTF">2026-07-23T21:25:38.264Z</dcterms:modified>
</cp:coreProperties>
</file>

<file path=docProps/custom.xml><?xml version="1.0" encoding="utf-8"?>
<Properties xmlns="http://schemas.openxmlformats.org/officeDocument/2006/custom-properties" xmlns:vt="http://schemas.openxmlformats.org/officeDocument/2006/docPropsVTypes"/>
</file>