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p>
      <w:pPr>
        <w:spacing w:after="100" w:before="300"/>
        <w:jc w:val="center"/>
      </w:pPr>
      <w:r>
        <w:rPr>
          <w:rFonts w:ascii="Cambria" w:cs="Cambria" w:eastAsia="Cambria" w:hAnsi="Cambria"/>
          <w:b/>
          <w:bCs/>
          <w:color w:val="1E2761"/>
          <w:sz w:val="48"/>
          <w:szCs w:val="48"/>
        </w:rPr>
        <w:t xml:space="preserve">SAFEGUARDING POLICY</w:t>
      </w:r>
    </w:p>
    <w:p>
      <w:pPr>
        <w:spacing w:after="400"/>
        <w:jc w:val="center"/>
      </w:pPr>
      <w:r>
        <w:rPr>
          <w:rFonts w:ascii="Cambria" w:cs="Cambria" w:eastAsia="Cambria" w:hAnsi="Cambria"/>
          <w:color w:val="5A5A5A"/>
          <w:sz w:val="28"/>
          <w:szCs w:val="28"/>
        </w:rPr>
        <w:t xml:space="preserve">OF</w:t>
      </w:r>
    </w:p>
    <w:p>
      <w:pPr>
        <w:spacing w:after="600"/>
        <w:jc w:val="center"/>
      </w:pPr>
      <w:r>
        <w:rPr>
          <w:rFonts w:ascii="Cambria" w:cs="Cambria" w:eastAsia="Cambria" w:hAnsi="Cambria"/>
          <w:b/>
          <w:bCs/>
          <w:color w:val="B8543E"/>
          <w:sz w:val="44"/>
          <w:szCs w:val="44"/>
        </w:rPr>
        <w:t xml:space="preserve">THE JOPETNAH FOUNDATION</w:t>
      </w:r>
    </w:p>
    <w:p>
      <w:pPr>
        <w:spacing w:after="260"/>
        <w:jc w:val="center"/>
      </w:pPr>
      <w:r>
        <w:rPr>
          <w:b/>
          <w:bCs/>
          <w:color w:val="1E2761"/>
          <w:sz w:val="22"/>
          <w:szCs w:val="22"/>
        </w:rPr>
        <w:t xml:space="preserve">( TJF )</w:t>
      </w:r>
    </w:p>
    <w:p>
      <w:pPr>
        <w:spacing w:after="200"/>
        <w:jc w:val="center"/>
      </w:pPr>
      <w:r>
        <w:rPr>
          <w:i/>
          <w:iCs/>
          <w:color w:val="5A5A5A"/>
          <w:sz w:val="22"/>
          <w:szCs w:val="22"/>
        </w:rPr>
        <w:t xml:space="preserve">Protecting children and vulnerable persons — adopted pursuant to Article 15.3 of the Constitution</w:t>
      </w:r>
    </w:p>
    <w:p>
      <w:pPr>
        <w:spacing w:after="100" w:before="800"/>
        <w:jc w:val="center"/>
      </w:pPr>
      <w:r>
        <w:rPr>
          <w:b/>
          <w:bCs/>
          <w:color w:val="222222"/>
          <w:sz w:val="22"/>
          <w:szCs w:val="22"/>
        </w:rPr>
        <w:t xml:space="preserve">FINAL VERSION — APPROVED BY THE BOARD OF TRUSTEES</w:t>
      </w:r>
    </w:p>
    <w:p>
      <w:pPr>
        <w:spacing w:after="800"/>
        <w:jc w:val="center"/>
      </w:pPr>
      <w:r>
        <w:rPr>
          <w:color w:val="5A5A5A"/>
          <w:sz w:val="22"/>
          <w:szCs w:val="22"/>
        </w:rPr>
        <w:t xml:space="preserve">Kampala, Republic of Uganda  ·  2026</w:t>
      </w:r>
    </w:p>
    <w:p>
      <w:pPr>
        <w:pBdr>
          <w:top w:val="single" w:color="B8543E" w:sz="4" w:space="4"/>
          <w:bottom w:val="single" w:color="B8543E" w:sz="4" w:space="4"/>
        </w:pBdr>
        <w:shd w:fill="F1E9DD" w:val="clear"/>
        <w:spacing w:after="200" w:before="100"/>
      </w:pPr>
      <w:r>
        <w:rPr>
          <w:i/>
          <w:iCs/>
          <w:color w:val="5A3A28"/>
        </w:rPr>
        <w:t xml:space="preserve">This policy operationalizes Article 15.3 of TJF's Constitution and has been reviewed and approved by the Board. It may be amended as TJF's governance needs evolve, particularly to reflect Uganda's Children Act and sector- or donor-specific safeguarding standards as programs launch.</w:t>
      </w:r>
    </w:p>
    <w:p>
      <w:pPr>
        <w:pStyle w:val="Heading1"/>
        <w:pageBreakBefore/>
      </w:pPr>
      <w:r>
        <w:rPr>
          <w:b/>
          <w:bCs/>
          <w:color w:val="1E2761"/>
        </w:rPr>
        <w:t xml:space="preserve">Table of Contents</w:t>
      </w:r>
    </w:p>
    <w:p>
      <w:pPr>
        <w:spacing w:after="120"/>
      </w:pPr>
      <w:hyperlink w:history="1" w:anchor="1-purpose">
        <w:r>
          <w:rPr>
            <w:color w:val="1E2761"/>
            <w:u w:val="single" w:color="1E2761"/>
          </w:rPr>
          <w:t xml:space="preserve">1. Purpose</w:t>
        </w:r>
      </w:hyperlink>
    </w:p>
    <w:p>
      <w:pPr>
        <w:spacing w:after="120"/>
      </w:pPr>
      <w:hyperlink w:history="1" w:anchor="2-application">
        <w:r>
          <w:rPr>
            <w:color w:val="1E2761"/>
            <w:u w:val="single" w:color="1E2761"/>
          </w:rPr>
          <w:t xml:space="preserve">2. Application</w:t>
        </w:r>
      </w:hyperlink>
    </w:p>
    <w:p>
      <w:pPr>
        <w:spacing w:after="120"/>
      </w:pPr>
      <w:hyperlink w:history="1" w:anchor="3-definitions">
        <w:r>
          <w:rPr>
            <w:color w:val="1E2761"/>
            <w:u w:val="single" w:color="1E2761"/>
          </w:rPr>
          <w:t xml:space="preserve">3. Definitions</w:t>
        </w:r>
      </w:hyperlink>
    </w:p>
    <w:p>
      <w:pPr>
        <w:spacing w:after="120"/>
      </w:pPr>
      <w:hyperlink w:history="1" w:anchor="4-guiding-principles">
        <w:r>
          <w:rPr>
            <w:color w:val="1E2761"/>
            <w:u w:val="single" w:color="1E2761"/>
          </w:rPr>
          <w:t xml:space="preserve">4. Guiding Principles</w:t>
        </w:r>
      </w:hyperlink>
    </w:p>
    <w:p>
      <w:pPr>
        <w:spacing w:after="120"/>
      </w:pPr>
      <w:hyperlink w:history="1" w:anchor="5-code-of-conduct-for-interacting-with-beneficiaries">
        <w:r>
          <w:rPr>
            <w:color w:val="1E2761"/>
            <w:u w:val="single" w:color="1E2761"/>
          </w:rPr>
          <w:t xml:space="preserve">5. Code of Conduct for Interacting with Beneficiaries</w:t>
        </w:r>
      </w:hyperlink>
    </w:p>
    <w:p>
      <w:pPr>
        <w:spacing w:after="120"/>
      </w:pPr>
      <w:hyperlink w:history="1" w:anchor="6-safer-recruitment-and-vetting">
        <w:r>
          <w:rPr>
            <w:color w:val="1E2761"/>
            <w:u w:val="single" w:color="1E2761"/>
          </w:rPr>
          <w:t xml:space="preserve">6. Safer Recruitment and Vetting</w:t>
        </w:r>
      </w:hyperlink>
    </w:p>
    <w:p>
      <w:pPr>
        <w:spacing w:after="120"/>
      </w:pPr>
      <w:hyperlink w:history="1" w:anchor="7-reporting-a-safeguarding-concern">
        <w:r>
          <w:rPr>
            <w:color w:val="1E2761"/>
            <w:u w:val="single" w:color="1E2761"/>
          </w:rPr>
          <w:t xml:space="preserve">7. Reporting a Safeguarding Concern</w:t>
        </w:r>
      </w:hyperlink>
    </w:p>
    <w:p>
      <w:pPr>
        <w:spacing w:after="120"/>
      </w:pPr>
      <w:hyperlink w:history="1" w:anchor="8-responding-to-a-disclosure">
        <w:r>
          <w:rPr>
            <w:color w:val="1E2761"/>
            <w:u w:val="single" w:color="1E2761"/>
          </w:rPr>
          <w:t xml:space="preserve">8. Responding to a Disclosure</w:t>
        </w:r>
      </w:hyperlink>
    </w:p>
    <w:p>
      <w:pPr>
        <w:spacing w:after="120"/>
      </w:pPr>
      <w:hyperlink w:history="1" w:anchor="9-investigation-and-referral-to-authorities">
        <w:r>
          <w:rPr>
            <w:color w:val="1E2761"/>
            <w:u w:val="single" w:color="1E2761"/>
          </w:rPr>
          <w:t xml:space="preserve">9. Investigation and Referral to Authorities</w:t>
        </w:r>
      </w:hyperlink>
    </w:p>
    <w:p>
      <w:pPr>
        <w:spacing w:after="120"/>
      </w:pPr>
      <w:hyperlink w:history="1" w:anchor="10-support-for-survivors">
        <w:r>
          <w:rPr>
            <w:color w:val="1E2761"/>
            <w:u w:val="single" w:color="1E2761"/>
          </w:rPr>
          <w:t xml:space="preserve">10. Support for Survivors</w:t>
        </w:r>
      </w:hyperlink>
    </w:p>
    <w:p>
      <w:pPr>
        <w:spacing w:after="120"/>
      </w:pPr>
      <w:hyperlink w:history="1" w:anchor="11-partner-and-third-party-standards">
        <w:r>
          <w:rPr>
            <w:color w:val="1E2761"/>
            <w:u w:val="single" w:color="1E2761"/>
          </w:rPr>
          <w:t xml:space="preserve">11. Partner and Third-Party Standards</w:t>
        </w:r>
      </w:hyperlink>
    </w:p>
    <w:p>
      <w:pPr>
        <w:spacing w:after="120"/>
      </w:pPr>
      <w:hyperlink w:history="1" w:anchor="12-training-and-awareness">
        <w:r>
          <w:rPr>
            <w:color w:val="1E2761"/>
            <w:u w:val="single" w:color="1E2761"/>
          </w:rPr>
          <w:t xml:space="preserve">12. Training and Awareness</w:t>
        </w:r>
      </w:hyperlink>
    </w:p>
    <w:p>
      <w:pPr>
        <w:spacing w:after="120"/>
      </w:pPr>
      <w:hyperlink w:history="1" w:anchor="13-review-of-this-policy">
        <w:r>
          <w:rPr>
            <w:color w:val="1E2761"/>
            <w:u w:val="single" w:color="1E2761"/>
          </w:rPr>
          <w:t xml:space="preserve">13. Review of this Policy</w:t>
        </w:r>
      </w:hyperlink>
    </w:p>
    <w:p>
      <w:pPr>
        <w:spacing w:after="120"/>
      </w:pPr>
      <w:hyperlink w:history="1" w:anchor="schedule-a-safeguarding-concern-report-form">
        <w:r>
          <w:rPr>
            <w:color w:val="1E2761"/>
            <w:u w:val="single" w:color="1E2761"/>
          </w:rPr>
          <w:t xml:space="preserve">Schedule A: Safeguarding Concern Report Form</w:t>
        </w:r>
      </w:hyperlink>
    </w:p>
    <w:p>
      <w:pPr>
        <w:pStyle w:val="Heading1"/>
        <w:pageBreakBefore/>
        <w:pBdr>
          <w:bottom w:val="single" w:color="B8543E" w:sz="8" w:space="4"/>
        </w:pBdr>
        <w:spacing w:after="200" w:before="240"/>
      </w:pPr>
      <w:bookmarkStart w:name="1-purpose" w:id="1000"/>
      <w:r>
        <w:rPr>
          <w:b/>
          <w:bCs/>
          <w:color w:val="1E2761"/>
        </w:rPr>
        <w:t xml:space="preserve">1. Purpose</w:t>
      </w:r>
      <w:bookmarkEnd w:id="1000"/>
    </w:p>
    <w:p>
      <w:pPr>
        <w:spacing w:after="140"/>
      </w:pPr>
      <w:r>
        <w:rPr>
          <w:color w:val="222222"/>
        </w:rPr>
        <w:t xml:space="preserve">The Jopetnah Foundation ("the Foundation" or "TJF") is committed to protecting the safety, dignity, and wellbeing of every child and vulnerable person who takes part in, or comes into contact with, its programs. This Policy sets out the Foundation's commitments, standards of conduct, and procedures for preventing, identifying, and responding to abuse or exploitation.</w:t>
      </w:r>
    </w:p>
    <w:p>
      <w:pPr>
        <w:pStyle w:val="Heading1"/>
        <w:pageBreakBefore/>
        <w:pBdr>
          <w:bottom w:val="single" w:color="B8543E" w:sz="8" w:space="4"/>
        </w:pBdr>
        <w:spacing w:after="200" w:before="240"/>
      </w:pPr>
      <w:bookmarkStart w:name="2-application" w:id="1001"/>
      <w:r>
        <w:rPr>
          <w:b/>
          <w:bCs/>
          <w:color w:val="1E2761"/>
        </w:rPr>
        <w:t xml:space="preserve">2. Application</w:t>
      </w:r>
      <w:bookmarkEnd w:id="1001"/>
    </w:p>
    <w:p>
      <w:pPr>
        <w:spacing w:after="140"/>
      </w:pPr>
      <w:r>
        <w:rPr>
          <w:color w:val="222222"/>
        </w:rPr>
        <w:t xml:space="preserve">This Policy applies to all Trustees, staff, volunteers, interns, contractors, and to any partner organization or individual delivering activities on the Foundation's behalf. Compliance with this Policy, or an equivalent standard acceptable to the Foundation, shall be a condition of any partnership or sub-grant agreement involving direct contact with children or vulnerable persons.</w:t>
      </w:r>
    </w:p>
    <w:p>
      <w:pPr>
        <w:pStyle w:val="Heading1"/>
        <w:pageBreakBefore/>
        <w:pBdr>
          <w:bottom w:val="single" w:color="B8543E" w:sz="8" w:space="4"/>
        </w:pBdr>
        <w:spacing w:after="200" w:before="240"/>
      </w:pPr>
      <w:bookmarkStart w:name="3-definitions" w:id="1002"/>
      <w:r>
        <w:rPr>
          <w:b/>
          <w:bCs/>
          <w:color w:val="1E2761"/>
        </w:rPr>
        <w:t xml:space="preserve">3. Definitions</w:t>
      </w:r>
      <w:bookmarkEnd w:id="1002"/>
    </w:p>
    <w:p>
      <w:pPr>
        <w:spacing w:after="100"/>
        <w:ind w:left="648"/>
      </w:pPr>
      <w:r>
        <w:rPr>
          <w:b/>
          <w:bCs/>
          <w:color w:val="222222"/>
        </w:rPr>
        <w:t xml:space="preserve">(a) </w:t>
      </w:r>
      <w:r>
        <w:rPr>
          <w:color w:val="222222"/>
        </w:rPr>
        <w:t xml:space="preserve">"Child" means any person under the age of eighteen (18) years;</w:t>
      </w:r>
    </w:p>
    <w:p>
      <w:pPr>
        <w:spacing w:after="100"/>
        <w:ind w:left="648"/>
      </w:pPr>
      <w:r>
        <w:rPr>
          <w:b/>
          <w:bCs/>
          <w:color w:val="222222"/>
        </w:rPr>
        <w:t xml:space="preserve">(b) </w:t>
      </w:r>
      <w:r>
        <w:rPr>
          <w:color w:val="222222"/>
        </w:rPr>
        <w:t xml:space="preserve">"Vulnerable Person" means any person who, because of age, disability, illness, displacement, or other circumstance, may be unable to protect themselves from harm or exploitation;</w:t>
      </w:r>
    </w:p>
    <w:p>
      <w:pPr>
        <w:spacing w:after="100"/>
        <w:ind w:left="648"/>
      </w:pPr>
      <w:r>
        <w:rPr>
          <w:b/>
          <w:bCs/>
          <w:color w:val="222222"/>
        </w:rPr>
        <w:t xml:space="preserve">(c) </w:t>
      </w:r>
      <w:r>
        <w:rPr>
          <w:color w:val="222222"/>
        </w:rPr>
        <w:t xml:space="preserve">"Abuse" includes physical, sexual, and emotional abuse, neglect, and exploitation, whether occurring in person or facilitated online;</w:t>
      </w:r>
    </w:p>
    <w:p>
      <w:pPr>
        <w:spacing w:after="100"/>
        <w:ind w:left="648"/>
      </w:pPr>
      <w:r>
        <w:rPr>
          <w:b/>
          <w:bCs/>
          <w:color w:val="222222"/>
        </w:rPr>
        <w:t xml:space="preserve">(d) </w:t>
      </w:r>
      <w:r>
        <w:rPr>
          <w:color w:val="222222"/>
        </w:rPr>
        <w:t xml:space="preserve">"Safeguarding Focal Point" means the individual(s) designated under Article 7 to receive and coordinate the response to safeguarding concerns.</w:t>
      </w:r>
    </w:p>
    <w:p>
      <w:pPr>
        <w:pStyle w:val="Heading1"/>
        <w:pageBreakBefore/>
        <w:pBdr>
          <w:bottom w:val="single" w:color="B8543E" w:sz="8" w:space="4"/>
        </w:pBdr>
        <w:spacing w:after="200" w:before="240"/>
      </w:pPr>
      <w:bookmarkStart w:name="4-guiding-principles" w:id="1003"/>
      <w:r>
        <w:rPr>
          <w:b/>
          <w:bCs/>
          <w:color w:val="1E2761"/>
        </w:rPr>
        <w:t xml:space="preserve">4. Guiding Principles</w:t>
      </w:r>
      <w:bookmarkEnd w:id="1003"/>
    </w:p>
    <w:p>
      <w:pPr>
        <w:spacing w:after="100"/>
        <w:ind w:left="648"/>
      </w:pPr>
      <w:r>
        <w:rPr>
          <w:b/>
          <w:bCs/>
          <w:color w:val="222222"/>
        </w:rPr>
        <w:t xml:space="preserve">(a) </w:t>
      </w:r>
      <w:r>
        <w:rPr>
          <w:color w:val="222222"/>
        </w:rPr>
        <w:t xml:space="preserve">the best interests of the child or vulnerable person are the primary consideration in any safeguarding matter;</w:t>
      </w:r>
    </w:p>
    <w:p>
      <w:pPr>
        <w:spacing w:after="100"/>
        <w:ind w:left="648"/>
      </w:pPr>
      <w:r>
        <w:rPr>
          <w:b/>
          <w:bCs/>
          <w:color w:val="222222"/>
        </w:rPr>
        <w:t xml:space="preserve">(b) </w:t>
      </w:r>
      <w:r>
        <w:rPr>
          <w:color w:val="222222"/>
        </w:rPr>
        <w:t xml:space="preserve">the Foundation maintains a zero-tolerance approach to abuse or exploitation by anyone connected with its work;</w:t>
      </w:r>
    </w:p>
    <w:p>
      <w:pPr>
        <w:spacing w:after="100"/>
        <w:ind w:left="648"/>
      </w:pPr>
      <w:r>
        <w:rPr>
          <w:b/>
          <w:bCs/>
          <w:color w:val="222222"/>
        </w:rPr>
        <w:t xml:space="preserve">(c) </w:t>
      </w:r>
      <w:r>
        <w:rPr>
          <w:color w:val="222222"/>
        </w:rPr>
        <w:t xml:space="preserve">every concern will be taken seriously, acted upon promptly, and handled with sensitivity and confidentiality;</w:t>
      </w:r>
    </w:p>
    <w:p>
      <w:pPr>
        <w:spacing w:after="100"/>
        <w:ind w:left="648"/>
      </w:pPr>
      <w:r>
        <w:rPr>
          <w:b/>
          <w:bCs/>
          <w:color w:val="222222"/>
        </w:rPr>
        <w:t xml:space="preserve">(d) </w:t>
      </w:r>
      <w:r>
        <w:rPr>
          <w:color w:val="222222"/>
        </w:rPr>
        <w:t xml:space="preserve">programs are designed and delivered to minimize risk, including through appropriate supervision, consent, and safe environments; and</w:t>
      </w:r>
    </w:p>
    <w:p>
      <w:pPr>
        <w:spacing w:after="100"/>
        <w:ind w:left="648"/>
      </w:pPr>
      <w:r>
        <w:rPr>
          <w:b/>
          <w:bCs/>
          <w:color w:val="222222"/>
        </w:rPr>
        <w:t xml:space="preserve">(e) </w:t>
      </w:r>
      <w:r>
        <w:rPr>
          <w:color w:val="222222"/>
        </w:rPr>
        <w:t xml:space="preserve">no one connected with the Foundation shall be discouraged or penalized for raising a genuine safeguarding concern.</w:t>
      </w:r>
    </w:p>
    <w:p>
      <w:pPr>
        <w:pStyle w:val="Heading1"/>
        <w:pageBreakBefore/>
        <w:pBdr>
          <w:bottom w:val="single" w:color="B8543E" w:sz="8" w:space="4"/>
        </w:pBdr>
        <w:spacing w:after="200" w:before="240"/>
      </w:pPr>
      <w:bookmarkStart w:name="5-code-of-conduct-for-interacting-with-beneficiaries" w:id="1004"/>
      <w:r>
        <w:rPr>
          <w:b/>
          <w:bCs/>
          <w:color w:val="1E2761"/>
        </w:rPr>
        <w:t xml:space="preserve">5. Code of Conduct for Interacting with Beneficiaries</w:t>
      </w:r>
      <w:bookmarkEnd w:id="1004"/>
    </w:p>
    <w:p>
      <w:pPr>
        <w:spacing w:after="140"/>
      </w:pPr>
      <w:r>
        <w:rPr>
          <w:color w:val="222222"/>
        </w:rPr>
        <w:t xml:space="preserve">All persons covered by this Policy shall:</w:t>
      </w:r>
    </w:p>
    <w:p>
      <w:pPr>
        <w:spacing w:after="100"/>
        <w:ind w:left="648"/>
      </w:pPr>
      <w:r>
        <w:rPr>
          <w:b/>
          <w:bCs/>
          <w:color w:val="222222"/>
        </w:rPr>
        <w:t xml:space="preserve">(a) </w:t>
      </w:r>
      <w:r>
        <w:rPr>
          <w:color w:val="222222"/>
        </w:rPr>
        <w:t xml:space="preserve">avoid being alone with a child or vulnerable person where this can reasonably be avoided, and ensure one-on-one interactions occur in view of, or within earshot of, other adults;</w:t>
      </w:r>
    </w:p>
    <w:p>
      <w:pPr>
        <w:spacing w:after="100"/>
        <w:ind w:left="648"/>
      </w:pPr>
      <w:r>
        <w:rPr>
          <w:b/>
          <w:bCs/>
          <w:color w:val="222222"/>
        </w:rPr>
        <w:t xml:space="preserve">(b) </w:t>
      </w:r>
      <w:r>
        <w:rPr>
          <w:color w:val="222222"/>
        </w:rPr>
        <w:t xml:space="preserve">never use language, take photographs, make physical contact, or behave in a manner toward a child or vulnerable person that is inappropriate, threatening, or could reasonably be perceived as such;</w:t>
      </w:r>
    </w:p>
    <w:p>
      <w:pPr>
        <w:spacing w:after="100"/>
        <w:ind w:left="648"/>
      </w:pPr>
      <w:r>
        <w:rPr>
          <w:b/>
          <w:bCs/>
          <w:color w:val="222222"/>
        </w:rPr>
        <w:t xml:space="preserve">(c) </w:t>
      </w:r>
      <w:r>
        <w:rPr>
          <w:color w:val="222222"/>
        </w:rPr>
        <w:t xml:space="preserve">obtain informed consent from a parent, guardian, or the individual (as age-appropriate) before photographing or filming a beneficiary, and before using their image or story in any communications material;</w:t>
      </w:r>
    </w:p>
    <w:p>
      <w:pPr>
        <w:spacing w:after="100"/>
        <w:ind w:left="648"/>
      </w:pPr>
      <w:r>
        <w:rPr>
          <w:b/>
          <w:bCs/>
          <w:color w:val="222222"/>
        </w:rPr>
        <w:t xml:space="preserve">(d) </w:t>
      </w:r>
      <w:r>
        <w:rPr>
          <w:color w:val="222222"/>
        </w:rPr>
        <w:t xml:space="preserve">never transport, host, or communicate privately with a beneficiary child outside of Foundation-sanctioned activities without another adult present or express, documented parental/guardian consent;</w:t>
      </w:r>
    </w:p>
    <w:p>
      <w:pPr>
        <w:spacing w:after="100"/>
        <w:ind w:left="648"/>
      </w:pPr>
      <w:r>
        <w:rPr>
          <w:b/>
          <w:bCs/>
          <w:color w:val="222222"/>
        </w:rPr>
        <w:t xml:space="preserve">(e) </w:t>
      </w:r>
      <w:r>
        <w:rPr>
          <w:color w:val="222222"/>
        </w:rPr>
        <w:t xml:space="preserve">report immediately any behavior by another person connected with the Foundation that raises a safeguarding concern, in accordance with Article 7.</w:t>
      </w:r>
    </w:p>
    <w:p>
      <w:pPr>
        <w:pStyle w:val="Heading1"/>
        <w:pageBreakBefore/>
        <w:pBdr>
          <w:bottom w:val="single" w:color="B8543E" w:sz="8" w:space="4"/>
        </w:pBdr>
        <w:spacing w:after="200" w:before="240"/>
      </w:pPr>
      <w:bookmarkStart w:name="6-safer-recruitment-and-vetting" w:id="1005"/>
      <w:r>
        <w:rPr>
          <w:b/>
          <w:bCs/>
          <w:color w:val="1E2761"/>
        </w:rPr>
        <w:t xml:space="preserve">6. Safer Recruitment and Vetting</w:t>
      </w:r>
      <w:bookmarkEnd w:id="1005"/>
    </w:p>
    <w:p>
      <w:pPr>
        <w:spacing w:after="140"/>
        <w:ind w:left="72"/>
      </w:pPr>
      <w:r>
        <w:rPr>
          <w:b/>
          <w:bCs/>
          <w:color w:val="222222"/>
        </w:rPr>
        <w:t xml:space="preserve">6.1  </w:t>
      </w:r>
      <w:r>
        <w:rPr>
          <w:color w:val="222222"/>
        </w:rPr>
        <w:t xml:space="preserve">All staff, volunteers, and contractors whose role involves direct contact with children or vulnerable persons shall undergo reference checks and, where available in Uganda, a police clearance or equivalent background check, before starting work.</w:t>
      </w:r>
    </w:p>
    <w:p>
      <w:pPr>
        <w:spacing w:after="140"/>
        <w:ind w:left="72"/>
      </w:pPr>
      <w:r>
        <w:rPr>
          <w:b/>
          <w:bCs/>
          <w:color w:val="222222"/>
        </w:rPr>
        <w:t xml:space="preserve">6.2  </w:t>
      </w:r>
      <w:r>
        <w:rPr>
          <w:color w:val="222222"/>
        </w:rPr>
        <w:t xml:space="preserve">Job descriptions and volunteer agreements shall include an explicit safeguarding responsibility, and all new starters shall receive safeguarding induction before commencing beneficiary-facing work.</w:t>
      </w:r>
    </w:p>
    <w:p>
      <w:pPr>
        <w:spacing w:after="140"/>
        <w:ind w:left="72"/>
      </w:pPr>
      <w:r>
        <w:rPr>
          <w:b/>
          <w:bCs/>
          <w:color w:val="222222"/>
        </w:rPr>
        <w:t xml:space="preserve">6.3  </w:t>
      </w:r>
      <w:r>
        <w:rPr>
          <w:color w:val="222222"/>
        </w:rPr>
        <w:t xml:space="preserve">Partner organizations receiving Foundation funds for beneficiary-facing activities shall be required to demonstrate an equivalent safeguarding standard as a condition of the partnership.</w:t>
      </w:r>
    </w:p>
    <w:p>
      <w:pPr>
        <w:pStyle w:val="Heading1"/>
        <w:pageBreakBefore/>
        <w:pBdr>
          <w:bottom w:val="single" w:color="B8543E" w:sz="8" w:space="4"/>
        </w:pBdr>
        <w:spacing w:after="200" w:before="240"/>
      </w:pPr>
      <w:bookmarkStart w:name="7-reporting-a-safeguarding-concern" w:id="1006"/>
      <w:r>
        <w:rPr>
          <w:b/>
          <w:bCs/>
          <w:color w:val="1E2761"/>
        </w:rPr>
        <w:t xml:space="preserve">7. Reporting a Safeguarding Concern</w:t>
      </w:r>
      <w:bookmarkEnd w:id="1006"/>
    </w:p>
    <w:p>
      <w:pPr>
        <w:spacing w:after="140"/>
        <w:ind w:left="72"/>
      </w:pPr>
      <w:r>
        <w:rPr>
          <w:b/>
          <w:bCs/>
          <w:color w:val="222222"/>
        </w:rPr>
        <w:t xml:space="preserve">7.1  </w:t>
      </w:r>
      <w:r>
        <w:rPr>
          <w:color w:val="222222"/>
        </w:rPr>
        <w:t xml:space="preserve">The Board shall designate at least one Safeguarding Focal Point, who shall be named and their contact details made known to all staff, volunteers, partners, and, so far as practicable, beneficiaries and their families.</w:t>
      </w:r>
    </w:p>
    <w:p>
      <w:pPr>
        <w:spacing w:after="140"/>
        <w:ind w:left="72"/>
      </w:pPr>
      <w:r>
        <w:rPr>
          <w:b/>
          <w:bCs/>
          <w:color w:val="222222"/>
        </w:rPr>
        <w:t xml:space="preserve">7.2  </w:t>
      </w:r>
      <w:r>
        <w:rPr>
          <w:color w:val="222222"/>
        </w:rPr>
        <w:t xml:space="preserve">Any person who witnesses, suspects, or receives a disclosure of abuse or exploitation involving a Foundation beneficiary, staff member, volunteer, or partner shall report it to the Safeguarding Focal Point without delay, and in any event within twenty-four (24) hours.</w:t>
      </w:r>
    </w:p>
    <w:p>
      <w:pPr>
        <w:spacing w:after="140"/>
        <w:ind w:left="72"/>
      </w:pPr>
      <w:r>
        <w:rPr>
          <w:b/>
          <w:bCs/>
          <w:color w:val="222222"/>
        </w:rPr>
        <w:t xml:space="preserve">7.3  </w:t>
      </w:r>
      <w:r>
        <w:rPr>
          <w:color w:val="222222"/>
        </w:rPr>
        <w:t xml:space="preserve">A report may also be made through the channels set out in the Foundation's Whistleblower Policy, and the two policies shall operate together, with this Policy's procedures taking precedence on matters of immediate child or vulnerable-person safety.</w:t>
      </w:r>
    </w:p>
    <w:p>
      <w:pPr>
        <w:spacing w:after="140"/>
        <w:ind w:left="72"/>
      </w:pPr>
      <w:r>
        <w:rPr>
          <w:b/>
          <w:bCs/>
          <w:color w:val="222222"/>
        </w:rPr>
        <w:t xml:space="preserve">7.4  </w:t>
      </w:r>
      <w:r>
        <w:rPr>
          <w:color w:val="222222"/>
        </w:rPr>
        <w:t xml:space="preserve">No person shall be required to investigate a safeguarding concern themselves, nor to confront the person alleged to be responsible; their responsibility is limited to reporting promptly and accurately.</w:t>
      </w:r>
    </w:p>
    <w:p>
      <w:pPr>
        <w:pStyle w:val="Heading1"/>
        <w:pageBreakBefore/>
        <w:pBdr>
          <w:bottom w:val="single" w:color="B8543E" w:sz="8" w:space="4"/>
        </w:pBdr>
        <w:spacing w:after="200" w:before="240"/>
      </w:pPr>
      <w:bookmarkStart w:name="8-responding-to-a-disclosure" w:id="1007"/>
      <w:r>
        <w:rPr>
          <w:b/>
          <w:bCs/>
          <w:color w:val="1E2761"/>
        </w:rPr>
        <w:t xml:space="preserve">8. Responding to a Disclosure</w:t>
      </w:r>
      <w:bookmarkEnd w:id="1007"/>
    </w:p>
    <w:p>
      <w:pPr>
        <w:spacing w:after="140"/>
      </w:pPr>
      <w:r>
        <w:rPr>
          <w:color w:val="222222"/>
        </w:rPr>
        <w:t xml:space="preserve">Any person who receives a disclosure of abuse from a child or vulnerable person shall:</w:t>
      </w:r>
    </w:p>
    <w:p>
      <w:pPr>
        <w:spacing w:after="100"/>
        <w:ind w:left="648"/>
      </w:pPr>
      <w:r>
        <w:rPr>
          <w:b/>
          <w:bCs/>
          <w:color w:val="222222"/>
        </w:rPr>
        <w:t xml:space="preserve">(a) </w:t>
      </w:r>
      <w:r>
        <w:rPr>
          <w:color w:val="222222"/>
        </w:rPr>
        <w:t xml:space="preserve">listen carefully and take the disclosure seriously, without expressing shock, disbelief, or judgment;</w:t>
      </w:r>
    </w:p>
    <w:p>
      <w:pPr>
        <w:spacing w:after="100"/>
        <w:ind w:left="648"/>
      </w:pPr>
      <w:r>
        <w:rPr>
          <w:b/>
          <w:bCs/>
          <w:color w:val="222222"/>
        </w:rPr>
        <w:t xml:space="preserve">(b) </w:t>
      </w:r>
      <w:r>
        <w:rPr>
          <w:color w:val="222222"/>
        </w:rPr>
        <w:t xml:space="preserve">not promise confidentiality, and explain, in an age-appropriate way, that the concern must be shared with someone who can help;</w:t>
      </w:r>
    </w:p>
    <w:p>
      <w:pPr>
        <w:spacing w:after="100"/>
        <w:ind w:left="648"/>
      </w:pPr>
      <w:r>
        <w:rPr>
          <w:b/>
          <w:bCs/>
          <w:color w:val="222222"/>
        </w:rPr>
        <w:t xml:space="preserve">(c) </w:t>
      </w:r>
      <w:r>
        <w:rPr>
          <w:color w:val="222222"/>
        </w:rPr>
        <w:t xml:space="preserve">not ask leading questions or attempt to investigate the matter themselves;</w:t>
      </w:r>
    </w:p>
    <w:p>
      <w:pPr>
        <w:spacing w:after="100"/>
        <w:ind w:left="648"/>
      </w:pPr>
      <w:r>
        <w:rPr>
          <w:b/>
          <w:bCs/>
          <w:color w:val="222222"/>
        </w:rPr>
        <w:t xml:space="preserve">(d) </w:t>
      </w:r>
      <w:r>
        <w:rPr>
          <w:color w:val="222222"/>
        </w:rPr>
        <w:t xml:space="preserve">record what was said as soon as possible afterward, using the person's own words, without embellishment or interpretation; and</w:t>
      </w:r>
    </w:p>
    <w:p>
      <w:pPr>
        <w:spacing w:after="100"/>
        <w:ind w:left="648"/>
      </w:pPr>
      <w:r>
        <w:rPr>
          <w:b/>
          <w:bCs/>
          <w:color w:val="222222"/>
        </w:rPr>
        <w:t xml:space="preserve">(e) </w:t>
      </w:r>
      <w:r>
        <w:rPr>
          <w:color w:val="222222"/>
        </w:rPr>
        <w:t xml:space="preserve">report immediately to the Safeguarding Focal Point in accordance with Article 7.</w:t>
      </w:r>
    </w:p>
    <w:p>
      <w:pPr>
        <w:pStyle w:val="Heading1"/>
        <w:pageBreakBefore/>
        <w:pBdr>
          <w:bottom w:val="single" w:color="B8543E" w:sz="8" w:space="4"/>
        </w:pBdr>
        <w:spacing w:after="200" w:before="240"/>
      </w:pPr>
      <w:bookmarkStart w:name="9-investigation-and-referral-to-authorities" w:id="1008"/>
      <w:r>
        <w:rPr>
          <w:b/>
          <w:bCs/>
          <w:color w:val="1E2761"/>
        </w:rPr>
        <w:t xml:space="preserve">9. Investigation and Referral to Authorities</w:t>
      </w:r>
      <w:bookmarkEnd w:id="1008"/>
    </w:p>
    <w:p>
      <w:pPr>
        <w:spacing w:after="140"/>
        <w:ind w:left="72"/>
      </w:pPr>
      <w:r>
        <w:rPr>
          <w:b/>
          <w:bCs/>
          <w:color w:val="222222"/>
        </w:rPr>
        <w:t xml:space="preserve">9.1  </w:t>
      </w:r>
      <w:r>
        <w:rPr>
          <w:color w:val="222222"/>
        </w:rPr>
        <w:t xml:space="preserve">The Safeguarding Focal Point shall assess every report promptly and determine whether immediate risk exists requiring urgent action, including referral to the Uganda Police Force Child and Family Protection Unit, the local Probation and Social Welfare Officer, or other statutory child-protection authority.</w:t>
      </w:r>
    </w:p>
    <w:p>
      <w:pPr>
        <w:spacing w:after="140"/>
        <w:ind w:left="72"/>
      </w:pPr>
      <w:r>
        <w:rPr>
          <w:b/>
          <w:bCs/>
          <w:color w:val="222222"/>
        </w:rPr>
        <w:t xml:space="preserve">9.2  </w:t>
      </w:r>
      <w:r>
        <w:rPr>
          <w:color w:val="222222"/>
        </w:rPr>
        <w:t xml:space="preserve">Where the allegation involves a Foundation staff member, volunteer, or Trustee, that person shall be removed from beneficiary-facing duties pending the outcome of the assessment, without prejudice to any final determination.</w:t>
      </w:r>
    </w:p>
    <w:p>
      <w:pPr>
        <w:spacing w:after="140"/>
        <w:ind w:left="72"/>
      </w:pPr>
      <w:r>
        <w:rPr>
          <w:b/>
          <w:bCs/>
          <w:color w:val="222222"/>
        </w:rPr>
        <w:t xml:space="preserve">9.3  </w:t>
      </w:r>
      <w:r>
        <w:rPr>
          <w:color w:val="222222"/>
        </w:rPr>
        <w:t xml:space="preserve">The Foundation shall cooperate fully with any statutory investigation and shall not conduct a parallel internal investigation in a manner that could compromise a criminal investigation.</w:t>
      </w:r>
    </w:p>
    <w:p>
      <w:pPr>
        <w:spacing w:after="140"/>
        <w:ind w:left="72"/>
      </w:pPr>
      <w:r>
        <w:rPr>
          <w:b/>
          <w:bCs/>
          <w:color w:val="222222"/>
        </w:rPr>
        <w:t xml:space="preserve">9.4  </w:t>
      </w:r>
      <w:r>
        <w:rPr>
          <w:color w:val="222222"/>
        </w:rPr>
        <w:t xml:space="preserve">All safeguarding reports and their outcomes shall be documented and retained securely, with access restricted to those with a legitimate need to know, and shall be reported in summary, non-identifying form to the Board at least annually.</w:t>
      </w:r>
    </w:p>
    <w:p>
      <w:pPr>
        <w:pStyle w:val="Heading1"/>
        <w:pageBreakBefore/>
        <w:pBdr>
          <w:bottom w:val="single" w:color="B8543E" w:sz="8" w:space="4"/>
        </w:pBdr>
        <w:spacing w:after="200" w:before="240"/>
      </w:pPr>
      <w:bookmarkStart w:name="10-support-for-survivors" w:id="1009"/>
      <w:r>
        <w:rPr>
          <w:b/>
          <w:bCs/>
          <w:color w:val="1E2761"/>
        </w:rPr>
        <w:t xml:space="preserve">10. Support for Survivors</w:t>
      </w:r>
      <w:bookmarkEnd w:id="1009"/>
    </w:p>
    <w:p>
      <w:pPr>
        <w:spacing w:after="140"/>
        <w:ind w:left="72"/>
      </w:pPr>
      <w:r>
        <w:rPr>
          <w:b/>
          <w:bCs/>
          <w:color w:val="222222"/>
        </w:rPr>
        <w:t xml:space="preserve">10.1  </w:t>
      </w:r>
      <w:r>
        <w:rPr>
          <w:color w:val="222222"/>
        </w:rPr>
        <w:t xml:space="preserve">The Foundation shall ensure that any child or vulnerable person affected by a safeguarding concern is offered access to appropriate medical, psychosocial, or protective services, working with qualified local service providers, and that their ongoing safety is prioritized throughout any process.</w:t>
      </w:r>
    </w:p>
    <w:p>
      <w:pPr>
        <w:pStyle w:val="Heading1"/>
        <w:pageBreakBefore/>
        <w:pBdr>
          <w:bottom w:val="single" w:color="B8543E" w:sz="8" w:space="4"/>
        </w:pBdr>
        <w:spacing w:after="200" w:before="240"/>
      </w:pPr>
      <w:bookmarkStart w:name="11-partner-and-third-party-standards" w:id="1010"/>
      <w:r>
        <w:rPr>
          <w:b/>
          <w:bCs/>
          <w:color w:val="1E2761"/>
        </w:rPr>
        <w:t xml:space="preserve">11. Partner and Third-Party Standards</w:t>
      </w:r>
      <w:bookmarkEnd w:id="1010"/>
    </w:p>
    <w:p>
      <w:pPr>
        <w:spacing w:after="140"/>
        <w:ind w:left="72"/>
      </w:pPr>
      <w:r>
        <w:rPr>
          <w:b/>
          <w:bCs/>
          <w:color w:val="222222"/>
        </w:rPr>
        <w:t xml:space="preserve">11.1  </w:t>
      </w:r>
      <w:r>
        <w:rPr>
          <w:color w:val="222222"/>
        </w:rPr>
        <w:t xml:space="preserve">Any organization or individual delivering Foundation-funded activities involving contact with children or vulnerable persons shall be required, as a condition of funding, to adopt and demonstrate a safeguarding standard equivalent to this Policy, and to report any safeguarding concern arising from Foundation-funded work to the Safeguarding Focal Point.</w:t>
      </w:r>
    </w:p>
    <w:p>
      <w:pPr>
        <w:pStyle w:val="Heading1"/>
        <w:pageBreakBefore/>
        <w:pBdr>
          <w:bottom w:val="single" w:color="B8543E" w:sz="8" w:space="4"/>
        </w:pBdr>
        <w:spacing w:after="200" w:before="240"/>
      </w:pPr>
      <w:bookmarkStart w:name="12-training-and-awareness" w:id="1011"/>
      <w:r>
        <w:rPr>
          <w:b/>
          <w:bCs/>
          <w:color w:val="1E2761"/>
        </w:rPr>
        <w:t xml:space="preserve">12. Training and Awareness</w:t>
      </w:r>
      <w:bookmarkEnd w:id="1011"/>
    </w:p>
    <w:p>
      <w:pPr>
        <w:spacing w:after="140"/>
        <w:ind w:left="72"/>
      </w:pPr>
      <w:r>
        <w:rPr>
          <w:b/>
          <w:bCs/>
          <w:color w:val="222222"/>
        </w:rPr>
        <w:t xml:space="preserve">12.1  </w:t>
      </w:r>
      <w:r>
        <w:rPr>
          <w:color w:val="222222"/>
        </w:rPr>
        <w:t xml:space="preserve">All staff, volunteers, and Trustees shall receive safeguarding training upon induction and refresher training at least every two years.</w:t>
      </w:r>
    </w:p>
    <w:p>
      <w:pPr>
        <w:spacing w:after="140"/>
        <w:ind w:left="72"/>
      </w:pPr>
      <w:r>
        <w:rPr>
          <w:b/>
          <w:bCs/>
          <w:color w:val="222222"/>
        </w:rPr>
        <w:t xml:space="preserve">12.2  </w:t>
      </w:r>
      <w:r>
        <w:rPr>
          <w:color w:val="222222"/>
        </w:rPr>
        <w:t xml:space="preserve">The Foundation shall make beneficiaries and their families aware, in an age-appropriate and locally accessible way, of their right to raise a concern and how to do so.</w:t>
      </w:r>
    </w:p>
    <w:p>
      <w:pPr>
        <w:pStyle w:val="Heading1"/>
        <w:pageBreakBefore/>
        <w:pBdr>
          <w:bottom w:val="single" w:color="B8543E" w:sz="8" w:space="4"/>
        </w:pBdr>
        <w:spacing w:after="200" w:before="240"/>
      </w:pPr>
      <w:bookmarkStart w:name="13-review-of-this-policy" w:id="1012"/>
      <w:r>
        <w:rPr>
          <w:b/>
          <w:bCs/>
          <w:color w:val="1E2761"/>
        </w:rPr>
        <w:t xml:space="preserve">13. Review of this Policy</w:t>
      </w:r>
      <w:bookmarkEnd w:id="1012"/>
    </w:p>
    <w:p>
      <w:pPr>
        <w:spacing w:after="140"/>
        <w:ind w:left="72"/>
      </w:pPr>
      <w:r>
        <w:rPr>
          <w:b/>
          <w:bCs/>
          <w:color w:val="222222"/>
        </w:rPr>
        <w:t xml:space="preserve">13.1  </w:t>
      </w:r>
      <w:r>
        <w:rPr>
          <w:color w:val="222222"/>
        </w:rPr>
        <w:t xml:space="preserve">This Policy shall be reviewed by the Board at least annually, and sooner if required following any safeguarding incident or material change in law or sector standards.</w:t>
      </w:r>
    </w:p>
    <w:p>
      <w:pPr>
        <w:pStyle w:val="Heading1"/>
        <w:pageBreakBefore/>
        <w:pBdr>
          <w:bottom w:val="single" w:color="B8543E" w:sz="8" w:space="4"/>
        </w:pBdr>
        <w:spacing w:after="200" w:before="240"/>
      </w:pPr>
      <w:bookmarkStart w:name="schedule-a-safeguarding-concern-report-form" w:id="1013"/>
      <w:r>
        <w:rPr>
          <w:b/>
          <w:bCs/>
          <w:color w:val="1E2761"/>
        </w:rPr>
        <w:t xml:space="preserve">Schedule A: Safeguarding Concern Report Form</w:t>
      </w:r>
      <w:bookmarkEnd w:id="1013"/>
    </w:p>
    <w:p>
      <w:pPr>
        <w:spacing w:after="140"/>
      </w:pPr>
      <w:r>
        <w:rPr>
          <w:color w:val="222222"/>
        </w:rPr>
        <w:t xml:space="preserve">To be completed as soon as possible after a concern arises or a disclosure is received, and submitted to the Safeguarding Focal Point without delay.</w:t>
      </w:r>
    </w:p>
    <w:p>
      <w:pPr>
        <w:spacing w:before="220"/>
      </w:pPr>
      <w:r>
        <w:rPr>
          <w:color w:val="222222"/>
        </w:rPr>
        <w:t xml:space="preserve">Name of person reporting: ________________________________</w:t>
      </w:r>
    </w:p>
    <w:p>
      <w:pPr>
        <w:spacing w:before="220"/>
      </w:pPr>
      <w:r>
        <w:rPr>
          <w:color w:val="222222"/>
        </w:rPr>
        <w:t xml:space="preserve">Role / relationship to the Foundation: ________________________________</w:t>
      </w:r>
    </w:p>
    <w:p>
      <w:pPr>
        <w:spacing w:before="220"/>
      </w:pPr>
      <w:r>
        <w:rPr>
          <w:color w:val="222222"/>
        </w:rPr>
        <w:t xml:space="preserve">Date and time of the incident or disclosure: ________________________________</w:t>
      </w:r>
    </w:p>
    <w:p>
      <w:pPr>
        <w:spacing w:before="220"/>
      </w:pPr>
      <w:r>
        <w:rPr>
          <w:color w:val="222222"/>
        </w:rPr>
        <w:t xml:space="preserve">Date and time of this report: ________________________________</w:t>
      </w:r>
    </w:p>
    <w:p>
      <w:pPr>
        <w:spacing w:before="260"/>
      </w:pPr>
      <w:r>
        <w:rPr>
          <w:b/>
          <w:bCs/>
        </w:rPr>
        <w:t xml:space="preserve">What was seen, heard, or disclosed (use the person's own words where possible; facts only, not opinions or interpretation):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Pr>
          <w:p>
            <w:pPr>
              <w:spacing w:before="1400"/>
            </w:pPr>
            <w:r>
              <w:t xml:space="preserve"> </w:t>
            </w:r>
          </w:p>
        </w:tc>
      </w:tr>
    </w:tbl>
    <w:p>
      <w:pPr>
        <w:spacing w:before="220"/>
      </w:pPr>
      <w:r>
        <w:rPr>
          <w:color w:val="222222"/>
        </w:rPr>
        <w:t xml:space="preserve">Names of any others involved or present (if known): ________________________________</w:t>
      </w:r>
    </w:p>
    <w:p>
      <w:pPr>
        <w:spacing w:before="220"/>
      </w:pPr>
      <w:r>
        <w:rPr>
          <w:color w:val="222222"/>
        </w:rPr>
        <w:t xml:space="preserve">Immediate action taken, if any: ________________________________</w:t>
      </w:r>
    </w:p>
    <w:p>
      <w:pPr>
        <w:spacing w:before="300"/>
      </w:pPr>
      <w:r>
        <w:rPr>
          <w:i/>
          <w:iCs/>
        </w:rPr>
        <w:t xml:space="preserve">Submit immediately to the designated Safeguarding Focal Point. Contact details:</w:t>
      </w:r>
    </w:p>
    <w:p>
      <w:pPr>
        <w:spacing w:before="220"/>
      </w:pPr>
      <w:r>
        <w:rPr>
          <w:color w:val="222222"/>
        </w:rPr>
        <w:t xml:space="preserve">Safeguarding Focal Point name: ________________________________</w:t>
      </w:r>
    </w:p>
    <w:p>
      <w:pPr>
        <w:spacing w:before="220"/>
      </w:pPr>
      <w:r>
        <w:rPr>
          <w:color w:val="222222"/>
        </w:rPr>
        <w:t xml:space="preserve">Contact phone / email: 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The Jopetnah Foundation — Safeguarding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sz w:val="30"/>
      <w:szCs w:val="30"/>
    </w:rPr>
  </w:style>
  <w:style w:type="paragraph" w:styleId="Heading2">
    <w:name w:val="Heading 2"/>
    <w:basedOn w:val="Normal"/>
    <w:next w:val="Normal"/>
    <w:qFormat/>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a1a6450a4b404de80874c7a8790c81ebef6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2026-07-23T21:26:02.269Z</dcterms:created>
  <dcterms:modified xsi:type="dcterms:W3CDTF">2026-07-23T21:26:02.269Z</dcterms:modified>
</cp:coreProperties>
</file>

<file path=docProps/custom.xml><?xml version="1.0" encoding="utf-8"?>
<Properties xmlns="http://schemas.openxmlformats.org/officeDocument/2006/custom-properties" xmlns:vt="http://schemas.openxmlformats.org/officeDocument/2006/docPropsVTypes"/>
</file>