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4191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B8543E"/>
          <w:sz w:val="30"/>
          <w:szCs w:val="30"/>
        </w:rPr>
        <w:t xml:space="preserve">THE JOPETNAH FOUNDATION</w:t>
      </w:r>
    </w:p>
    <w:p>
      <w:pPr>
        <w:spacing w:after="280"/>
        <w:jc w:val="center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How We Keep the People We Serve Safe</w:t>
      </w:r>
    </w:p>
    <w:p>
      <w:pPr>
        <w:pBdr>
          <w:top w:val="single" w:color="B8543E" w:sz="4" w:space="6"/>
          <w:bottom w:val="single" w:color="B8543E" w:sz="4" w:space="6"/>
        </w:pBdr>
        <w:shd w:fill="F1E9DD" w:val="clear"/>
        <w:spacing w:after="260"/>
      </w:pPr>
      <w:r>
        <w:rPr>
          <w:i/>
          <w:iCs/>
          <w:color w:val="5A3A28"/>
          <w:sz w:val="22"/>
          <w:szCs w:val="22"/>
        </w:rPr>
        <w:t xml:space="preserve">Many of the children and families in our programs are in vulnerable situations. Protecting them isn't an afterthought — it's a condition of everything we do, and everyone we work with.</w:t>
      </w:r>
    </w:p>
    <w:p>
      <w:pPr>
        <w:spacing w:after="140" w:before="100"/>
      </w:pPr>
      <w:r>
        <w:rPr>
          <w:b/>
          <w:bCs/>
          <w:color w:val="1E2761"/>
          <w:sz w:val="24"/>
          <w:szCs w:val="24"/>
        </w:rPr>
        <w:t xml:space="preserve">What this means in practice: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Every staff member, volunteer, and Trustee undergoes reference checks and background screening before working with beneficiaries.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No staff member or volunteer is ever alone with a child without another adult present or documented parental consent.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Every partner organization we fund must meet an equivalent safeguarding standard as a condition of receiving support.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We have a named Safeguarding Focal Point and a clear, fast process for reporting and responding to any concern — within 24 hours.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Anyone — staff, beneficiary, or community member — can raise a concern confidentially, without fear of retaliation, under our Whistleblower Policy.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Serious concerns are referred to the appropriate child-protection or law-enforcement authorities, not handled quietly in-house.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We photograph or share a beneficiary's story only with informed consent from them or their guardian.</w:t>
      </w:r>
    </w:p>
    <w:p>
      <w:pPr>
        <w:spacing w:after="130"/>
        <w:ind w:left="144"/>
      </w:pPr>
      <w:r>
        <w:rPr>
          <w:b/>
          <w:bCs/>
          <w:color w:val="6E8B6E"/>
          <w:sz w:val="24"/>
          <w:szCs w:val="24"/>
        </w:rPr>
        <w:t xml:space="preserve">✓  </w:t>
      </w:r>
      <w:r>
        <w:rPr>
          <w:color w:val="222222"/>
          <w:sz w:val="21"/>
          <w:szCs w:val="21"/>
        </w:rPr>
        <w:t xml:space="preserve">Our full Safeguarding Policy and Whistleblower Policy are reviewed by our Board at least annually.</w:t>
      </w:r>
    </w:p>
    <w:p>
      <w:pPr>
        <w:spacing w:after="100" w:before="260"/>
      </w:pPr>
      <w:r>
        <w:rPr>
          <w:b/>
          <w:bCs/>
          <w:color w:val="1E2761"/>
          <w:sz w:val="24"/>
          <w:szCs w:val="24"/>
        </w:rPr>
        <w:t xml:space="preserve">Want the full policy?</w:t>
      </w:r>
    </w:p>
    <w:p>
      <w:pPr>
        <w:spacing w:after="60"/>
      </w:pPr>
      <w:r>
        <w:rPr>
          <w:color w:val="222222"/>
          <w:sz w:val="21"/>
          <w:szCs w:val="21"/>
        </w:rPr>
        <w:t xml:space="preserve">We're glad to share our complete Safeguarding Policy, Whistleblower Policy, or Conflict of Interest Policy with any donor, partner, or funder conducting due diligence — just ask.</w:t>
      </w:r>
    </w:p>
    <w:p>
      <w:pPr>
        <w:pBdr>
          <w:top w:val="single" w:color="CCCCCC" w:sz="4" w:space="8"/>
        </w:pBdr>
        <w:spacing w:before="320"/>
      </w:pPr>
      <w:r>
        <w:rPr>
          <w:color w:val="5A5A5A"/>
          <w:sz w:val="18"/>
          <w:szCs w:val="18"/>
        </w:rPr>
        <w:t xml:space="preserve">partnerships@jopetnahfoundation.org   ·   The Jopetnah Foundation, Kampala, Uganda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7a1a6450a4b404de80874c7a8790c81ebef6a6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2026-07-19T14:59:38.019Z</dcterms:created>
  <dcterms:modified xsi:type="dcterms:W3CDTF">2026-07-19T14:59:38.019Z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