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80" w:before="260"/>
        <w:jc w:val="center"/>
      </w:pPr>
      <w:r>
        <w:rPr>
          <w:rFonts w:ascii="Cambria" w:cs="Cambria" w:eastAsia="Cambria" w:hAnsi="Cambria"/>
          <w:b/>
          <w:bCs/>
          <w:color w:val="1E2761"/>
          <w:sz w:val="36"/>
          <w:szCs w:val="36"/>
        </w:rPr>
        <w:t xml:space="preserve">THE JOPETNAH FOUNDATION</w:t>
      </w:r>
    </w:p>
    <w:p>
      <w:pPr>
        <w:spacing w:after="200"/>
        <w:jc w:val="center"/>
      </w:pPr>
      <w:r>
        <w:rPr>
          <w:b/>
          <w:bCs/>
          <w:color w:val="B8543E"/>
          <w:sz w:val="22"/>
          <w:szCs w:val="22"/>
        </w:rPr>
        <w:t xml:space="preserve">( TJF )</w:t>
      </w:r>
    </w:p>
    <w:p>
      <w:pPr>
        <w:spacing w:after="260"/>
        <w:jc w:val="center"/>
      </w:pPr>
      <w:r>
        <w:rPr>
          <w:rFonts w:ascii="Cambria" w:cs="Cambria" w:eastAsia="Cambria" w:hAnsi="Cambria"/>
          <w:b/>
          <w:bCs/>
          <w:color w:val="1E2761"/>
          <w:sz w:val="34"/>
          <w:szCs w:val="34"/>
        </w:rPr>
        <w:t xml:space="preserve">DONOR, PARTNERSHIP &amp; IMPACT INVESTMENT CASE</w:t>
      </w:r>
    </w:p>
    <w:p>
      <w:pPr>
        <w:spacing w:after="300"/>
        <w:jc w:val="center"/>
      </w:pPr>
      <w:r>
        <w:rPr>
          <w:i/>
          <w:iCs/>
          <w:color w:val="5A5A5A"/>
          <w:sz w:val="22"/>
          <w:szCs w:val="22"/>
        </w:rPr>
        <w:t xml:space="preserve">Why Trust Us. Why Partner With Us. Why Invest In Us. What Your Support Can Change.</w:t>
      </w:r>
    </w:p>
    <w:p>
      <w:pPr>
        <w:spacing w:after="100" w:before="400"/>
        <w:jc w:val="center"/>
      </w:pPr>
      <w:r>
        <w:rPr>
          <w:b/>
          <w:bCs/>
          <w:color w:val="222222"/>
          <w:sz w:val="22"/>
          <w:szCs w:val="22"/>
        </w:rPr>
        <w:t xml:space="preserve">FOUNDING-STAGE EDITION</w:t>
      </w:r>
    </w:p>
    <w:p>
      <w:pPr>
        <w:spacing w:after="300"/>
        <w:jc w:val="center"/>
      </w:pPr>
      <w:r>
        <w:rPr>
          <w:color w:val="5A5A5A"/>
          <w:sz w:val="20"/>
          <w:szCs w:val="20"/>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document is TJF's institutional case for support — condensed and edited from a longer internal draft to remove repetition and keep every claim honest about what exists today versus what TJF is building toward. Where this document describes a commitment or intention, it uses "will" and "intends to," not the past tense — TJF does not yet have beneficiary case studies or outcome results to report, and says so plainly in Part Two, consistent with the evidence-over-exaggeration standard this document itself sets.</w:t>
      </w:r>
    </w:p>
    <w:p>
      <w:pPr>
        <w:pStyle w:val="Heading1"/>
        <w:pageBreakBefore/>
      </w:pPr>
      <w:r>
        <w:rPr>
          <w:b/>
          <w:bCs/>
          <w:color w:val="1E2761"/>
        </w:rPr>
        <w:t xml:space="preserve">Table of Contents</w:t>
      </w:r>
    </w:p>
    <w:p>
      <w:pPr>
        <w:spacing w:after="110"/>
      </w:pPr>
      <w:hyperlink w:history="1" w:anchor="introduction-four-questions">
        <w:r>
          <w:rPr>
            <w:color w:val="1E2761"/>
            <w:u w:val="single" w:color="1E2761"/>
          </w:rPr>
          <w:t xml:space="preserve">Introduction: Four Questions</w:t>
        </w:r>
      </w:hyperlink>
    </w:p>
    <w:p>
      <w:pPr>
        <w:spacing w:after="110"/>
      </w:pPr>
      <w:hyperlink w:history="1" w:anchor="part-one-the-promise">
        <w:r>
          <w:rPr>
            <w:color w:val="1E2761"/>
            <w:u w:val="single" w:color="1E2761"/>
          </w:rPr>
          <w:t xml:space="preserve">Part One — The Promise</w:t>
        </w:r>
      </w:hyperlink>
    </w:p>
    <w:p>
      <w:pPr>
        <w:spacing w:after="110"/>
      </w:pPr>
      <w:hyperlink w:history="1" w:anchor="1-why-the-jopetnah-foundation-exists">
        <w:r>
          <w:rPr>
            <w:color w:val="1E2761"/>
            <w:u w:val="single" w:color="1E2761"/>
          </w:rPr>
          <w:t xml:space="preserve">1. Why The Jopetnah Foundation Exists</w:t>
        </w:r>
      </w:hyperlink>
    </w:p>
    <w:p>
      <w:pPr>
        <w:spacing w:after="110"/>
      </w:pPr>
      <w:hyperlink w:history="1" w:anchor="2-our-model-four-pillars-one-system">
        <w:r>
          <w:rPr>
            <w:color w:val="1E2761"/>
            <w:u w:val="single" w:color="1E2761"/>
          </w:rPr>
          <w:t xml:space="preserve">2. Our Model: Four Pillars, One System</w:t>
        </w:r>
      </w:hyperlink>
    </w:p>
    <w:p>
      <w:pPr>
        <w:spacing w:after="110"/>
      </w:pPr>
      <w:hyperlink w:history="1" w:anchor="3-what-makes-us-different">
        <w:r>
          <w:rPr>
            <w:color w:val="1E2761"/>
            <w:u w:val="single" w:color="1E2761"/>
          </w:rPr>
          <w:t xml:space="preserve">3. What Makes Us Different</w:t>
        </w:r>
      </w:hyperlink>
    </w:p>
    <w:p>
      <w:pPr>
        <w:spacing w:after="110"/>
      </w:pPr>
      <w:hyperlink w:history="1" w:anchor="4-our-institutional-commitments">
        <w:r>
          <w:rPr>
            <w:color w:val="1E2761"/>
            <w:u w:val="single" w:color="1E2761"/>
          </w:rPr>
          <w:t xml:space="preserve">4. Our Institutional Commitments</w:t>
        </w:r>
      </w:hyperlink>
    </w:p>
    <w:p>
      <w:pPr>
        <w:spacing w:after="110"/>
      </w:pPr>
      <w:hyperlink w:history="1" w:anchor="part-two-the-proof">
        <w:r>
          <w:rPr>
            <w:color w:val="1E2761"/>
            <w:u w:val="single" w:color="1E2761"/>
          </w:rPr>
          <w:t xml:space="preserve">Part Two — The Proof</w:t>
        </w:r>
      </w:hyperlink>
    </w:p>
    <w:p>
      <w:pPr>
        <w:spacing w:after="110"/>
      </w:pPr>
      <w:hyperlink w:history="1" w:anchor="5-governance-and-institutional-architecture">
        <w:r>
          <w:rPr>
            <w:color w:val="1E2761"/>
            <w:u w:val="single" w:color="1E2761"/>
          </w:rPr>
          <w:t xml:space="preserve">5. Governance and Institutional Architecture</w:t>
        </w:r>
      </w:hyperlink>
    </w:p>
    <w:p>
      <w:pPr>
        <w:spacing w:after="110"/>
      </w:pPr>
      <w:hyperlink w:history="1" w:anchor="6-financial-stewardship-and-controls">
        <w:r>
          <w:rPr>
            <w:color w:val="1E2761"/>
            <w:u w:val="single" w:color="1E2761"/>
          </w:rPr>
          <w:t xml:space="preserve">6. Financial Stewardship and Controls</w:t>
        </w:r>
      </w:hyperlink>
    </w:p>
    <w:p>
      <w:pPr>
        <w:spacing w:after="110"/>
      </w:pPr>
      <w:hyperlink w:history="1" w:anchor="7-where-we-are-today-an-honest-account">
        <w:r>
          <w:rPr>
            <w:color w:val="1E2761"/>
            <w:u w:val="single" w:color="1E2761"/>
          </w:rPr>
          <w:t xml:space="preserve">7. Where We Are Today — An Honest Account</w:t>
        </w:r>
      </w:hyperlink>
    </w:p>
    <w:p>
      <w:pPr>
        <w:spacing w:after="110"/>
      </w:pPr>
      <w:hyperlink w:history="1" w:anchor="part-three-the-measurement">
        <w:r>
          <w:rPr>
            <w:color w:val="1E2761"/>
            <w:u w:val="single" w:color="1E2761"/>
          </w:rPr>
          <w:t xml:space="preserve">Part Three — The Measurement</w:t>
        </w:r>
      </w:hyperlink>
    </w:p>
    <w:p>
      <w:pPr>
        <w:spacing w:after="110"/>
      </w:pPr>
      <w:hyperlink w:history="1" w:anchor="8-the-tjf-impact-measurement-framework">
        <w:r>
          <w:rPr>
            <w:color w:val="1E2761"/>
            <w:u w:val="single" w:color="1E2761"/>
          </w:rPr>
          <w:t xml:space="preserve">8. The TJF Impact Measurement Framework</w:t>
        </w:r>
      </w:hyperlink>
    </w:p>
    <w:p>
      <w:pPr>
        <w:spacing w:after="110"/>
      </w:pPr>
      <w:hyperlink w:history="1" w:anchor="9-the-impact-chain">
        <w:r>
          <w:rPr>
            <w:color w:val="1E2761"/>
            <w:u w:val="single" w:color="1E2761"/>
          </w:rPr>
          <w:t xml:space="preserve">9. The Impact Chain</w:t>
        </w:r>
      </w:hyperlink>
    </w:p>
    <w:p>
      <w:pPr>
        <w:spacing w:after="110"/>
      </w:pPr>
      <w:hyperlink w:history="1" w:anchor="10-reporting-commitments">
        <w:r>
          <w:rPr>
            <w:color w:val="1E2761"/>
            <w:u w:val="single" w:color="1E2761"/>
          </w:rPr>
          <w:t xml:space="preserve">10. Reporting Commitments</w:t>
        </w:r>
      </w:hyperlink>
    </w:p>
    <w:p>
      <w:pPr>
        <w:spacing w:after="110"/>
      </w:pPr>
      <w:hyperlink w:history="1" w:anchor="part-four-how-to-engage">
        <w:r>
          <w:rPr>
            <w:color w:val="1E2761"/>
            <w:u w:val="single" w:color="1E2761"/>
          </w:rPr>
          <w:t xml:space="preserve">Part Four — How to Engage</w:t>
        </w:r>
      </w:hyperlink>
    </w:p>
    <w:p>
      <w:pPr>
        <w:spacing w:after="110"/>
      </w:pPr>
      <w:hyperlink w:history="1" w:anchor="11-ways-to-partner">
        <w:r>
          <w:rPr>
            <w:color w:val="1E2761"/>
            <w:u w:val="single" w:color="1E2761"/>
          </w:rPr>
          <w:t xml:space="preserve">11. Ways to Partner</w:t>
        </w:r>
      </w:hyperlink>
    </w:p>
    <w:p>
      <w:pPr>
        <w:spacing w:after="110"/>
      </w:pPr>
      <w:hyperlink w:history="1" w:anchor="12-the-investment-case">
        <w:r>
          <w:rPr>
            <w:color w:val="1E2761"/>
            <w:u w:val="single" w:color="1E2761"/>
          </w:rPr>
          <w:t xml:space="preserve">12. The Investment Case</w:t>
        </w:r>
      </w:hyperlink>
    </w:p>
    <w:p>
      <w:pPr>
        <w:spacing w:after="110"/>
      </w:pPr>
      <w:hyperlink w:history="1" w:anchor="13-our-promise-to-you">
        <w:r>
          <w:rPr>
            <w:color w:val="1E2761"/>
            <w:u w:val="single" w:color="1E2761"/>
          </w:rPr>
          <w:t xml:space="preserve">13. Our Promise to You</w:t>
        </w:r>
      </w:hyperlink>
    </w:p>
    <w:p>
      <w:pPr>
        <w:pStyle w:val="Heading1"/>
        <w:pageBreakBefore/>
        <w:pBdr>
          <w:bottom w:val="single" w:color="B8543E" w:sz="8" w:space="4"/>
        </w:pBdr>
        <w:spacing w:after="200" w:before="240"/>
      </w:pPr>
      <w:bookmarkStart w:name="introduction-four-questions" w:id="1000"/>
      <w:r>
        <w:rPr>
          <w:b/>
          <w:bCs/>
          <w:color w:val="1E2761"/>
        </w:rPr>
        <w:t xml:space="preserve">Introduction: Four Questions</w:t>
      </w:r>
      <w:bookmarkEnd w:id="1000"/>
    </w:p>
    <w:p>
      <w:pPr>
        <w:spacing w:after="130"/>
      </w:pPr>
      <w:r>
        <w:rPr>
          <w:b w:val="false"/>
          <w:bCs w:val="false"/>
          <w:i w:val="false"/>
          <w:iCs w:val="false"/>
          <w:color w:val="222222"/>
        </w:rPr>
        <w:t xml:space="preserve">Before any institutional donor, foundation, corporation, or government partner commits resources to TJF, four questions deserve a direct answer:</w:t>
      </w:r>
    </w:p>
    <w:p>
      <w:pPr>
        <w:spacing w:after="90"/>
        <w:ind w:left="431"/>
      </w:pPr>
      <w:r>
        <w:rPr>
          <w:color w:val="222222"/>
        </w:rPr>
        <w:t xml:space="preserve">•  Why should we trust you?</w:t>
      </w:r>
    </w:p>
    <w:p>
      <w:pPr>
        <w:spacing w:after="90"/>
        <w:ind w:left="431"/>
      </w:pPr>
      <w:r>
        <w:rPr>
          <w:color w:val="222222"/>
        </w:rPr>
        <w:t xml:space="preserve">•  Why should we invest in you rather than another organization?</w:t>
      </w:r>
    </w:p>
    <w:p>
      <w:pPr>
        <w:spacing w:after="90"/>
        <w:ind w:left="431"/>
      </w:pPr>
      <w:r>
        <w:rPr>
          <w:color w:val="222222"/>
        </w:rPr>
        <w:t xml:space="preserve">•  What exactly will our support accomplish?</w:t>
      </w:r>
    </w:p>
    <w:p>
      <w:pPr>
        <w:spacing w:after="90"/>
        <w:ind w:left="431"/>
      </w:pPr>
      <w:r>
        <w:rPr>
          <w:color w:val="222222"/>
        </w:rPr>
        <w:t xml:space="preserve">•  How will we know it actually worked?</w:t>
      </w:r>
    </w:p>
    <w:p>
      <w:pPr>
        <w:spacing w:after="130"/>
      </w:pPr>
      <w:r>
        <w:rPr>
          <w:b w:val="false"/>
          <w:bCs w:val="false"/>
          <w:i w:val="false"/>
          <w:iCs w:val="false"/>
          <w:color w:val="222222"/>
        </w:rPr>
        <w:t xml:space="preserve">This document answers them in three parts: what TJF stands for (the Promise), what evidence exists to back that up today (the Proof), and how results will be measured and reported going forward (the Measurement).</w:t>
      </w:r>
    </w:p>
    <w:p>
      <w:pPr>
        <w:pBdr>
          <w:left w:val="single" w:color="B8543E" w:sz="24" w:space="12"/>
        </w:pBdr>
        <w:spacing w:after="200" w:before="160"/>
        <w:ind w:left="431" w:right="431"/>
      </w:pPr>
      <w:r>
        <w:rPr>
          <w:b/>
          <w:bCs/>
          <w:i/>
          <w:iCs/>
          <w:color w:val="1E2761"/>
          <w:sz w:val="24"/>
          <w:szCs w:val="24"/>
        </w:rPr>
        <w:t xml:space="preserve">We will not ask you to trust us because we have a compelling story. We will ask you to trust us because we are committed to building the systems, governance, evidence, and accountability required to deserve that trust.</w:t>
      </w:r>
    </w:p>
    <w:p>
      <w:pPr>
        <w:pStyle w:val="Heading1"/>
        <w:pageBreakBefore/>
        <w:pBdr>
          <w:bottom w:val="single" w:color="B8543E" w:sz="8" w:space="4"/>
        </w:pBdr>
        <w:spacing w:after="200" w:before="240"/>
      </w:pPr>
      <w:bookmarkStart w:name="part-one-the-promise" w:id="1001"/>
      <w:r>
        <w:rPr>
          <w:b/>
          <w:bCs/>
          <w:color w:val="1E2761"/>
        </w:rPr>
        <w:t xml:space="preserve">Part One — The Promise</w:t>
      </w:r>
      <w:bookmarkEnd w:id="1001"/>
    </w:p>
    <w:p>
      <w:pPr>
        <w:pStyle w:val="Heading1"/>
        <w:pBdr>
          <w:bottom w:val="single" w:color="B8543E" w:sz="8" w:space="4"/>
        </w:pBdr>
        <w:spacing w:after="200" w:before="240"/>
      </w:pPr>
      <w:bookmarkStart w:name="1-why-the-jopetnah-foundation-exists" w:id="1002"/>
      <w:r>
        <w:rPr>
          <w:b/>
          <w:bCs/>
          <w:color w:val="1E2761"/>
        </w:rPr>
        <w:t xml:space="preserve">1. Why The Jopetnah Foundation Exists</w:t>
      </w:r>
      <w:bookmarkEnd w:id="1002"/>
    </w:p>
    <w:p>
      <w:pPr>
        <w:spacing w:after="130"/>
      </w:pPr>
      <w:r>
        <w:rPr>
          <w:b w:val="false"/>
          <w:bCs w:val="false"/>
          <w:i w:val="false"/>
          <w:iCs w:val="false"/>
          <w:color w:val="222222"/>
        </w:rPr>
        <w:t xml:space="preserve">Poverty and vulnerability rarely have a single cause. A child may leave school because a household cannot afford basic necessities. A parent may be unable to earn because of limited skills, poor health, or lack of capital. A community may struggle economically because environmental degradation has weakened its productive capacity. These problems are connected — so TJF's response is built to be connected too.</w:t>
      </w:r>
    </w:p>
    <w:p>
      <w:pPr>
        <w:spacing w:after="130"/>
      </w:pPr>
      <w:r>
        <w:rPr>
          <w:b w:val="false"/>
          <w:bCs w:val="false"/>
          <w:i w:val="false"/>
          <w:iCs w:val="false"/>
          <w:color w:val="222222"/>
        </w:rPr>
        <w:t xml:space="preserve">TJF exists to build pathways from vulnerability to opportunity across four interlinked pillars: Education, Health, Livelihoods &amp; Economic Empowerment, and Environment &amp; Sustainability. Our ambition is not simply to deliver isolated projects, but to build sustainable pathways to human potential and community resilience.</w:t>
      </w:r>
    </w:p>
    <w:p>
      <w:pPr>
        <w:pStyle w:val="Heading1"/>
        <w:pageBreakBefore/>
        <w:pBdr>
          <w:bottom w:val="single" w:color="B8543E" w:sz="8" w:space="4"/>
        </w:pBdr>
        <w:spacing w:after="200" w:before="240"/>
      </w:pPr>
      <w:bookmarkStart w:name="2-our-model-four-pillars-one-system" w:id="1003"/>
      <w:r>
        <w:rPr>
          <w:b/>
          <w:bCs/>
          <w:color w:val="1E2761"/>
        </w:rPr>
        <w:t xml:space="preserve">2. Our Model: Four Pillars, One System</w:t>
      </w:r>
      <w:bookmarkEnd w:id="1003"/>
    </w:p>
    <w:p>
      <w:pPr>
        <w:spacing w:after="130"/>
      </w:pPr>
      <w:r>
        <w:rPr>
          <w:b w:val="false"/>
          <w:bCs w:val="false"/>
          <w:i w:val="false"/>
          <w:iCs w:val="false"/>
          <w:color w:val="222222"/>
        </w:rPr>
        <w:t xml:space="preserve">Consider a young woman in a rural community. A short training course may be useful — but if she has no access to finance, markets, healthcare, or mentorship afterward, that training's impact is limited. An integrated intervention instead connects skills to enterprise, enterprise to finance, finance to market, market to income, and income to household resilience — while addressing the health, education, and environmental conditions around her at the same time.</w:t>
      </w:r>
    </w:p>
    <w:p>
      <w:pPr>
        <w:spacing w:after="130"/>
      </w:pPr>
      <w:r>
        <w:rPr>
          <w:b w:val="false"/>
          <w:bCs w:val="false"/>
          <w:i w:val="false"/>
          <w:iCs w:val="false"/>
          <w:color w:val="222222"/>
        </w:rPr>
        <w:t xml:space="preserve">That is the logic behind directing a single gift across all four pillars for the same family, rather than funding one pillar in isolation. See the Programs section of TJF's public repository for the specific initiatives under each pillar.</w:t>
      </w:r>
    </w:p>
    <w:p>
      <w:pPr>
        <w:pStyle w:val="Heading1"/>
        <w:pageBreakBefore/>
        <w:pBdr>
          <w:bottom w:val="single" w:color="B8543E" w:sz="8" w:space="4"/>
        </w:pBdr>
        <w:spacing w:after="200" w:before="240"/>
      </w:pPr>
      <w:bookmarkStart w:name="3-what-makes-us-different" w:id="1004"/>
      <w:r>
        <w:rPr>
          <w:b/>
          <w:bCs/>
          <w:color w:val="1E2761"/>
        </w:rPr>
        <w:t xml:space="preserve">3. What Makes Us Different</w:t>
      </w:r>
      <w:bookmarkEnd w:id="1004"/>
    </w:p>
    <w:p>
      <w:pPr>
        <w:spacing w:after="130"/>
      </w:pPr>
      <w:r>
        <w:rPr>
          <w:b w:val="false"/>
          <w:bCs w:val="false"/>
          <w:i w:val="false"/>
          <w:iCs w:val="false"/>
          <w:color w:val="222222"/>
        </w:rPr>
        <w:t xml:space="preserve">Not a claim to be the only organization doing this work — that would be difficult to substantiate, and TJF does not intend to make claims it cannot support. TJF's differentiation is its integrated institutional philosophy: connecting development priorities across pillars, combining capabilities through partnership, measuring outcomes rather than activity, and reporting honestly — including where results fall short.</w:t>
      </w:r>
    </w:p>
    <w:p>
      <w:pPr>
        <w:pStyle w:val="Heading1"/>
        <w:pageBreakBefore/>
        <w:pBdr>
          <w:bottom w:val="single" w:color="B8543E" w:sz="8" w:space="4"/>
        </w:pBdr>
        <w:spacing w:after="200" w:before="240"/>
      </w:pPr>
      <w:bookmarkStart w:name="4-our-institutional-commitments" w:id="1005"/>
      <w:r>
        <w:rPr>
          <w:b/>
          <w:bCs/>
          <w:color w:val="1E2761"/>
        </w:rPr>
        <w:t xml:space="preserve">4. Our Institutional Commitments</w:t>
      </w:r>
      <w:bookmarkEnd w:id="1005"/>
    </w:p>
    <w:p>
      <w:pPr>
        <w:spacing w:after="130"/>
      </w:pPr>
      <w:r>
        <w:rPr>
          <w:b w:val="false"/>
          <w:bCs w:val="false"/>
          <w:i w:val="false"/>
          <w:iCs w:val="false"/>
          <w:color w:val="222222"/>
        </w:rPr>
        <w:t xml:space="preserve">Seven principles govern how TJF intends to operate, now and as it grows:</w:t>
      </w:r>
    </w:p>
    <w:p>
      <w:pPr>
        <w:pStyle w:val="Heading2"/>
        <w:spacing w:after="110" w:before="220"/>
      </w:pPr>
      <w:r>
        <w:rPr>
          <w:b/>
          <w:bCs/>
          <w:color w:val="B8543E"/>
        </w:rPr>
        <w:t xml:space="preserve">Transparency</w:t>
      </w:r>
    </w:p>
    <w:p>
      <w:pPr>
        <w:spacing w:after="130"/>
      </w:pPr>
      <w:r>
        <w:rPr>
          <w:b w:val="false"/>
          <w:bCs w:val="false"/>
          <w:i w:val="false"/>
          <w:iCs w:val="false"/>
          <w:color w:val="222222"/>
        </w:rPr>
        <w:t xml:space="preserve">Donors deserve visibility into how contributions are used. TJF's systems — not just its word — are intended to provide that evidence: financial reporting, governance documentation, procurement controls, and monitoring records, published rather than withheld.</w:t>
      </w:r>
    </w:p>
    <w:p>
      <w:pPr>
        <w:pStyle w:val="Heading2"/>
        <w:spacing w:after="110" w:before="220"/>
      </w:pPr>
      <w:r>
        <w:rPr>
          <w:b/>
          <w:bCs/>
          <w:color w:val="B8543E"/>
        </w:rPr>
        <w:t xml:space="preserve">Accountability</w:t>
      </w:r>
    </w:p>
    <w:p>
      <w:pPr>
        <w:spacing w:after="130"/>
      </w:pPr>
      <w:r>
        <w:rPr>
          <w:b w:val="false"/>
          <w:bCs w:val="false"/>
          <w:i w:val="false"/>
          <w:iCs w:val="false"/>
          <w:color w:val="222222"/>
        </w:rPr>
        <w:t xml:space="preserve">TJF intends to hold itself accountable not only for funds entrusted to it, but for the outcomes it promises to pursue — reporting both successes and shortcomings, not just the former.</w:t>
      </w:r>
    </w:p>
    <w:p>
      <w:pPr>
        <w:pStyle w:val="Heading2"/>
        <w:spacing w:after="110" w:before="220"/>
      </w:pPr>
      <w:r>
        <w:rPr>
          <w:b/>
          <w:bCs/>
          <w:color w:val="B8543E"/>
        </w:rPr>
        <w:t xml:space="preserve">Responsible Stewardship</w:t>
      </w:r>
    </w:p>
    <w:p>
      <w:pPr>
        <w:spacing w:after="130"/>
      </w:pPr>
      <w:r>
        <w:rPr>
          <w:b w:val="false"/>
          <w:bCs w:val="false"/>
          <w:i w:val="false"/>
          <w:iCs w:val="false"/>
          <w:color w:val="222222"/>
        </w:rPr>
        <w:t xml:space="preserve">Every contribution — cash, in-kind, or professional time — represents someone else's confidence. TJF treats resources as stewarded assets held for a defined social purpose, not organizational possessions.</w:t>
      </w:r>
    </w:p>
    <w:p>
      <w:pPr>
        <w:pStyle w:val="Heading2"/>
        <w:spacing w:after="110" w:before="220"/>
      </w:pPr>
      <w:r>
        <w:rPr>
          <w:b/>
          <w:bCs/>
          <w:color w:val="B8543E"/>
        </w:rPr>
        <w:t xml:space="preserve">Good Governance</w:t>
      </w:r>
    </w:p>
    <w:p>
      <w:pPr>
        <w:spacing w:after="130"/>
      </w:pPr>
      <w:r>
        <w:rPr>
          <w:b w:val="false"/>
          <w:bCs w:val="false"/>
          <w:i w:val="false"/>
          <w:iCs w:val="false"/>
          <w:color w:val="222222"/>
        </w:rPr>
        <w:t xml:space="preserve">TJF's institutional model incorporates governance, oversight, and risk management as foundational, not optional — built so the institution can eventually outlast any individual within it, including leadership transitions and organizational growth.</w:t>
      </w:r>
    </w:p>
    <w:p>
      <w:pPr>
        <w:pStyle w:val="Heading2"/>
        <w:spacing w:after="110" w:before="220"/>
      </w:pPr>
      <w:r>
        <w:rPr>
          <w:b/>
          <w:bCs/>
          <w:color w:val="B8543E"/>
        </w:rPr>
        <w:t xml:space="preserve">Evidence Over Exaggeration</w:t>
      </w:r>
    </w:p>
    <w:p>
      <w:pPr>
        <w:spacing w:after="130"/>
      </w:pPr>
      <w:r>
        <w:rPr>
          <w:b w:val="false"/>
          <w:bCs w:val="false"/>
          <w:i w:val="false"/>
          <w:iCs w:val="false"/>
          <w:color w:val="222222"/>
        </w:rPr>
        <w:t xml:space="preserve">TJF will not claim impact it cannot demonstrate. This document preserves the distinction between what has been achieved, what is being implemented, what is being piloted, and what TJF aspires to achieve — a distinction Part Two applies to TJF's own current status.</w:t>
      </w:r>
    </w:p>
    <w:p>
      <w:pPr>
        <w:pStyle w:val="Heading2"/>
        <w:spacing w:after="110" w:before="220"/>
      </w:pPr>
      <w:r>
        <w:rPr>
          <w:b/>
          <w:bCs/>
          <w:color w:val="B8543E"/>
        </w:rPr>
        <w:t xml:space="preserve">Community-Centered Development</w:t>
      </w:r>
    </w:p>
    <w:p>
      <w:pPr>
        <w:spacing w:after="130"/>
      </w:pPr>
      <w:r>
        <w:rPr>
          <w:b w:val="false"/>
          <w:bCs w:val="false"/>
          <w:i w:val="false"/>
          <w:iCs w:val="false"/>
          <w:color w:val="222222"/>
        </w:rPr>
        <w:t xml:space="preserve">Sustainable development cannot be designed entirely from a boardroom. TJF's approach combines community knowledge with professional expertise, evidence, and resources — the people affected by a problem have a meaningful place in designing its solution.</w:t>
      </w:r>
    </w:p>
    <w:p>
      <w:pPr>
        <w:pStyle w:val="Heading2"/>
        <w:spacing w:after="110" w:before="220"/>
      </w:pPr>
      <w:r>
        <w:rPr>
          <w:b/>
          <w:bCs/>
          <w:color w:val="B8543E"/>
        </w:rPr>
        <w:t xml:space="preserve">Long-Term Responsibility</w:t>
      </w:r>
    </w:p>
    <w:p>
      <w:pPr>
        <w:spacing w:after="130"/>
      </w:pPr>
      <w:r>
        <w:rPr>
          <w:b w:val="false"/>
          <w:bCs w:val="false"/>
          <w:i w:val="false"/>
          <w:iCs w:val="false"/>
          <w:color w:val="222222"/>
        </w:rPr>
        <w:t xml:space="preserve">TJF is not interested in interventions that disappear when a grant ends. Where appropriate, programs are designed around local ownership, capacity building, and sustainability — the measure of success is whether people and institutions are stronger after an intervention, not how much activity occurred during it.</w:t>
      </w:r>
    </w:p>
    <w:p>
      <w:pPr>
        <w:pStyle w:val="Heading1"/>
        <w:pageBreakBefore/>
        <w:pBdr>
          <w:bottom w:val="single" w:color="B8543E" w:sz="8" w:space="4"/>
        </w:pBdr>
        <w:spacing w:after="200" w:before="240"/>
      </w:pPr>
      <w:bookmarkStart w:name="part-two-the-proof" w:id="1006"/>
      <w:r>
        <w:rPr>
          <w:b/>
          <w:bCs/>
          <w:color w:val="1E2761"/>
        </w:rPr>
        <w:t xml:space="preserve">Part Two — The Proof</w:t>
      </w:r>
      <w:bookmarkEnd w:id="1006"/>
    </w:p>
    <w:p>
      <w:pPr>
        <w:pStyle w:val="Heading1"/>
        <w:pBdr>
          <w:bottom w:val="single" w:color="B8543E" w:sz="8" w:space="4"/>
        </w:pBdr>
        <w:spacing w:after="200" w:before="240"/>
      </w:pPr>
      <w:bookmarkStart w:name="5-governance-and-institutional-architecture" w:id="1007"/>
      <w:r>
        <w:rPr>
          <w:b/>
          <w:bCs/>
          <w:color w:val="1E2761"/>
        </w:rPr>
        <w:t xml:space="preserve">5. Governance and Institutional Architecture</w:t>
      </w:r>
      <w:bookmarkEnd w:id="1007"/>
    </w:p>
    <w:p>
      <w:pPr>
        <w:spacing w:after="130"/>
      </w:pPr>
      <w:r>
        <w:rPr>
          <w:b w:val="false"/>
          <w:bCs w:val="false"/>
          <w:i w:val="false"/>
          <w:iCs w:val="false"/>
          <w:color w:val="222222"/>
        </w:rPr>
        <w:t xml:space="preserve">TJF's governance framework is published in full and available for due-diligence review before any funding conversation begins:</w:t>
      </w:r>
    </w:p>
    <w:p>
      <w:pPr>
        <w:spacing w:after="90"/>
        <w:ind w:left="431"/>
      </w:pPr>
      <w:r>
        <w:rPr>
          <w:color w:val="222222"/>
        </w:rPr>
        <w:t xml:space="preserve">•  Constitution — legal structure, objects, powers, and dissolution provisions</w:t>
      </w:r>
    </w:p>
    <w:p>
      <w:pPr>
        <w:spacing w:after="90"/>
        <w:ind w:left="431"/>
      </w:pPr>
      <w:r>
        <w:rPr>
          <w:color w:val="222222"/>
        </w:rPr>
        <w:t xml:space="preserve">•  Board Charter — Board operating rules and delegation of authority</w:t>
      </w:r>
    </w:p>
    <w:p>
      <w:pPr>
        <w:spacing w:after="90"/>
        <w:ind w:left="431"/>
      </w:pPr>
      <w:r>
        <w:rPr>
          <w:color w:val="222222"/>
        </w:rPr>
        <w:t xml:space="preserve">•  Conflict of Interest Policy — individually signed by every Trustee, officer, and senior staff member</w:t>
      </w:r>
    </w:p>
    <w:p>
      <w:pPr>
        <w:spacing w:after="90"/>
        <w:ind w:left="431"/>
      </w:pPr>
      <w:r>
        <w:rPr>
          <w:color w:val="222222"/>
        </w:rPr>
        <w:t xml:space="preserve">•  Whistleblower Policy — confidential reporting channels and anti-retaliation protections</w:t>
      </w:r>
    </w:p>
    <w:p>
      <w:pPr>
        <w:spacing w:after="90"/>
        <w:ind w:left="431"/>
      </w:pPr>
      <w:r>
        <w:rPr>
          <w:color w:val="222222"/>
        </w:rPr>
        <w:t xml:space="preserve">•  Safeguarding Policy — child and vulnerable-person protection standards</w:t>
      </w:r>
    </w:p>
    <w:p>
      <w:pPr>
        <w:spacing w:after="130"/>
      </w:pPr>
      <w:r>
        <w:rPr>
          <w:b w:val="false"/>
          <w:bCs w:val="false"/>
          <w:i w:val="false"/>
          <w:iCs w:val="false"/>
          <w:color w:val="222222"/>
        </w:rPr>
        <w:t xml:space="preserve">These five documents are Board-approved and available as TJF's Governance Document Bundle.</w:t>
      </w:r>
    </w:p>
    <w:p>
      <w:pPr>
        <w:pStyle w:val="Heading1"/>
        <w:pageBreakBefore/>
        <w:pBdr>
          <w:bottom w:val="single" w:color="B8543E" w:sz="8" w:space="4"/>
        </w:pBdr>
        <w:spacing w:after="200" w:before="240"/>
      </w:pPr>
      <w:bookmarkStart w:name="6-financial-stewardship-and-controls" w:id="1008"/>
      <w:r>
        <w:rPr>
          <w:b/>
          <w:bCs/>
          <w:color w:val="1E2761"/>
        </w:rPr>
        <w:t xml:space="preserve">6. Financial Stewardship and Controls</w:t>
      </w:r>
      <w:bookmarkEnd w:id="1008"/>
    </w:p>
    <w:p>
      <w:pPr>
        <w:spacing w:after="130"/>
      </w:pPr>
      <w:r>
        <w:rPr>
          <w:b w:val="false"/>
          <w:bCs w:val="false"/>
          <w:i w:val="false"/>
          <w:iCs w:val="false"/>
          <w:color w:val="222222"/>
        </w:rPr>
        <w:t xml:space="preserve">TJF's Operations Manual sets out documented financial procedures, including segregated approval authority, competitive-quote procurement thresholds, monthly bank reconciliation, and a defined financial reporting cadence — monthly management accounts, quarterly Board reporting, and annual audited financial statements once TJF is operational.</w:t>
      </w:r>
    </w:p>
    <w:p>
      <w:pPr>
        <w:pStyle w:val="Heading1"/>
        <w:pageBreakBefore/>
        <w:pBdr>
          <w:bottom w:val="single" w:color="B8543E" w:sz="8" w:space="4"/>
        </w:pBdr>
        <w:spacing w:after="200" w:before="240"/>
      </w:pPr>
      <w:bookmarkStart w:name="7-where-we-are-today-an-honest-account" w:id="1009"/>
      <w:r>
        <w:rPr>
          <w:b/>
          <w:bCs/>
          <w:color w:val="1E2761"/>
        </w:rPr>
        <w:t xml:space="preserve">7. Where We Are Today — An Honest Account</w:t>
      </w:r>
      <w:bookmarkEnd w:id="1009"/>
    </w:p>
    <w:p>
      <w:pPr>
        <w:spacing w:after="130"/>
      </w:pPr>
      <w:r>
        <w:rPr>
          <w:b w:val="false"/>
          <w:bCs w:val="false"/>
          <w:i w:val="false"/>
          <w:iCs w:val="false"/>
          <w:color w:val="222222"/>
        </w:rPr>
        <w:t xml:space="preserve">Consistent with the evidence-over-exaggeration principle in Part One, TJF states its current status plainly rather than implying more than is true: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E2761" w:val="clear"/>
            <w:vAlign w:val="center"/>
          </w:tcPr>
          <w:p>
            <w:r>
              <w:rPr>
                <w:b/>
                <w:bCs/>
                <w:color w:val="FFFFFF"/>
                <w:sz w:val="19"/>
                <w:szCs w:val="19"/>
              </w:rPr>
              <w:t xml:space="preserve">Category</w:t>
            </w:r>
          </w:p>
        </w:tc>
        <w:tc>
          <w:tcPr>
            <w:tcW w:type="dxa" w:w="6350"/>
            <w:shd w:fill="1E2761" w:val="clear"/>
            <w:vAlign w:val="center"/>
          </w:tcPr>
          <w:p>
            <w:r>
              <w:rPr>
                <w:b/>
                <w:bCs/>
                <w:color w:val="FFFFFF"/>
                <w:sz w:val="19"/>
                <w:szCs w:val="19"/>
              </w:rPr>
              <w:t xml:space="preserve">Status</w:t>
            </w:r>
          </w:p>
        </w:tc>
      </w:tr>
      <w:tr>
        <w:tc>
          <w:tcPr>
            <w:tcW w:type="dxa" w:w="3000"/>
            <w:vAlign w:val="center"/>
          </w:tcPr>
          <w:p>
            <w:pPr>
              <w:spacing w:after="80" w:before="80"/>
            </w:pPr>
            <w:r>
              <w:rPr>
                <w:b/>
                <w:bCs/>
                <w:i w:val="false"/>
                <w:iCs w:val="false"/>
                <w:color w:val="222222"/>
                <w:sz w:val="19"/>
                <w:szCs w:val="19"/>
              </w:rPr>
              <w:t xml:space="preserve">Legal registration</w:t>
            </w:r>
          </w:p>
        </w:tc>
        <w:tc>
          <w:tcPr>
            <w:tcW w:type="dxa" w:w="6350"/>
            <w:vAlign w:val="center"/>
          </w:tcPr>
          <w:p>
            <w:pPr>
              <w:spacing w:after="80" w:before="80"/>
            </w:pPr>
            <w:r>
              <w:rPr>
                <w:b w:val="false"/>
                <w:bCs w:val="false"/>
                <w:i w:val="false"/>
                <w:iCs w:val="false"/>
                <w:color w:val="222222"/>
                <w:sz w:val="19"/>
                <w:szCs w:val="19"/>
              </w:rPr>
              <w:t xml:space="preserve">In progress — Company Limited by Guarantee and NGO registration in Uganda</w:t>
            </w:r>
          </w:p>
        </w:tc>
      </w:tr>
      <w:tr>
        <w:tc>
          <w:tcPr>
            <w:tcW w:type="dxa" w:w="3000"/>
            <w:shd w:fill="F1E9DD" w:val="clear"/>
            <w:vAlign w:val="center"/>
          </w:tcPr>
          <w:p>
            <w:pPr>
              <w:spacing w:after="80" w:before="80"/>
            </w:pPr>
            <w:r>
              <w:rPr>
                <w:b/>
                <w:bCs/>
                <w:i w:val="false"/>
                <w:iCs w:val="false"/>
                <w:color w:val="222222"/>
                <w:sz w:val="19"/>
                <w:szCs w:val="19"/>
              </w:rPr>
              <w:t xml:space="preserve">Governance</w:t>
            </w:r>
          </w:p>
        </w:tc>
        <w:tc>
          <w:tcPr>
            <w:tcW w:type="dxa" w:w="6350"/>
            <w:shd w:fill="F1E9DD" w:val="clear"/>
            <w:vAlign w:val="center"/>
          </w:tcPr>
          <w:p>
            <w:pPr>
              <w:spacing w:after="80" w:before="80"/>
            </w:pPr>
            <w:r>
              <w:rPr>
                <w:b w:val="false"/>
                <w:bCs w:val="false"/>
                <w:i w:val="false"/>
                <w:iCs w:val="false"/>
                <w:color w:val="222222"/>
                <w:sz w:val="19"/>
                <w:szCs w:val="19"/>
              </w:rPr>
              <w:t xml:space="preserve">Complete — five documents Board-approved and published</w:t>
            </w:r>
          </w:p>
        </w:tc>
      </w:tr>
      <w:tr>
        <w:tc>
          <w:tcPr>
            <w:tcW w:type="dxa" w:w="3000"/>
            <w:vAlign w:val="center"/>
          </w:tcPr>
          <w:p>
            <w:pPr>
              <w:spacing w:after="80" w:before="80"/>
            </w:pPr>
            <w:r>
              <w:rPr>
                <w:b/>
                <w:bCs/>
                <w:i w:val="false"/>
                <w:iCs w:val="false"/>
                <w:color w:val="222222"/>
                <w:sz w:val="19"/>
                <w:szCs w:val="19"/>
              </w:rPr>
              <w:t xml:space="preserve">Programs</w:t>
            </w:r>
          </w:p>
        </w:tc>
        <w:tc>
          <w:tcPr>
            <w:tcW w:type="dxa" w:w="6350"/>
            <w:vAlign w:val="center"/>
          </w:tcPr>
          <w:p>
            <w:pPr>
              <w:spacing w:after="80" w:before="80"/>
            </w:pPr>
            <w:r>
              <w:rPr>
                <w:b w:val="false"/>
                <w:bCs w:val="false"/>
                <w:i w:val="false"/>
                <w:iCs w:val="false"/>
                <w:color w:val="222222"/>
                <w:sz w:val="19"/>
                <w:szCs w:val="19"/>
              </w:rPr>
              <w:t xml:space="preserve">Year 1 pilot targets defined; implementation has not yet begun</w:t>
            </w:r>
          </w:p>
        </w:tc>
      </w:tr>
      <w:tr>
        <w:tc>
          <w:tcPr>
            <w:tcW w:type="dxa" w:w="3000"/>
            <w:shd w:fill="F1E9DD" w:val="clear"/>
            <w:vAlign w:val="center"/>
          </w:tcPr>
          <w:p>
            <w:pPr>
              <w:spacing w:after="80" w:before="80"/>
            </w:pPr>
            <w:r>
              <w:rPr>
                <w:b/>
                <w:bCs/>
                <w:i w:val="false"/>
                <w:iCs w:val="false"/>
                <w:color w:val="222222"/>
                <w:sz w:val="19"/>
                <w:szCs w:val="19"/>
              </w:rPr>
              <w:t xml:space="preserve">Beneficiary outcomes</w:t>
            </w:r>
          </w:p>
        </w:tc>
        <w:tc>
          <w:tcPr>
            <w:tcW w:type="dxa" w:w="6350"/>
            <w:shd w:fill="F1E9DD" w:val="clear"/>
            <w:vAlign w:val="center"/>
          </w:tcPr>
          <w:p>
            <w:pPr>
              <w:spacing w:after="80" w:before="80"/>
            </w:pPr>
            <w:r>
              <w:rPr>
                <w:b w:val="false"/>
                <w:bCs w:val="false"/>
                <w:i w:val="false"/>
                <w:iCs w:val="false"/>
                <w:color w:val="222222"/>
                <w:sz w:val="19"/>
                <w:szCs w:val="19"/>
              </w:rPr>
              <w:t xml:space="preserve">None yet to report — no case studies or results exist until programs launch</w:t>
            </w:r>
          </w:p>
        </w:tc>
      </w:tr>
      <w:tr>
        <w:tc>
          <w:tcPr>
            <w:tcW w:type="dxa" w:w="3000"/>
            <w:vAlign w:val="center"/>
          </w:tcPr>
          <w:p>
            <w:pPr>
              <w:spacing w:after="80" w:before="80"/>
            </w:pPr>
            <w:r>
              <w:rPr>
                <w:b/>
                <w:bCs/>
                <w:i w:val="false"/>
                <w:iCs w:val="false"/>
                <w:color w:val="222222"/>
                <w:sz w:val="19"/>
                <w:szCs w:val="19"/>
              </w:rPr>
              <w:t xml:space="preserve">Financial infrastructure</w:t>
            </w:r>
          </w:p>
        </w:tc>
        <w:tc>
          <w:tcPr>
            <w:tcW w:type="dxa" w:w="6350"/>
            <w:vAlign w:val="center"/>
          </w:tcPr>
          <w:p>
            <w:pPr>
              <w:spacing w:after="80" w:before="80"/>
            </w:pPr>
            <w:r>
              <w:rPr>
                <w:b w:val="false"/>
                <w:bCs w:val="false"/>
                <w:i w:val="false"/>
                <w:iCs w:val="false"/>
                <w:color w:val="222222"/>
                <w:sz w:val="19"/>
                <w:szCs w:val="19"/>
              </w:rPr>
              <w:t xml:space="preserve">Bank account and payment processing in progress; fiscal sponsorship pathway (GlobalGiving) being pursued</w:t>
            </w:r>
          </w:p>
        </w:tc>
      </w:tr>
      <w:tr>
        <w:tc>
          <w:tcPr>
            <w:tcW w:type="dxa" w:w="3000"/>
            <w:shd w:fill="F1E9DD" w:val="clear"/>
            <w:vAlign w:val="center"/>
          </w:tcPr>
          <w:p>
            <w:pPr>
              <w:spacing w:after="80" w:before="80"/>
            </w:pPr>
            <w:r>
              <w:rPr>
                <w:b/>
                <w:bCs/>
                <w:i w:val="false"/>
                <w:iCs w:val="false"/>
                <w:color w:val="222222"/>
                <w:sz w:val="19"/>
                <w:szCs w:val="19"/>
              </w:rPr>
              <w:t xml:space="preserve">Funding received</w:t>
            </w:r>
          </w:p>
        </w:tc>
        <w:tc>
          <w:tcPr>
            <w:tcW w:type="dxa" w:w="6350"/>
            <w:shd w:fill="F1E9DD" w:val="clear"/>
            <w:vAlign w:val="center"/>
          </w:tcPr>
          <w:p>
            <w:pPr>
              <w:spacing w:after="80" w:before="80"/>
            </w:pPr>
            <w:r>
              <w:rPr>
                <w:b w:val="false"/>
                <w:bCs w:val="false"/>
                <w:i w:val="false"/>
                <w:iCs w:val="false"/>
                <w:color w:val="222222"/>
                <w:sz w:val="19"/>
                <w:szCs w:val="19"/>
              </w:rPr>
              <w:t xml:space="preserve">None to date — this document is part of TJF's first institutional fundraising effort</w:t>
            </w:r>
          </w:p>
        </w:tc>
      </w:tr>
    </w:tbl>
    <w:p>
      <w:pPr>
        <w:pBdr>
          <w:top w:val="single" w:color="B8543E" w:sz="4" w:space="4"/>
          <w:bottom w:val="single" w:color="B8543E" w:sz="4" w:space="4"/>
        </w:pBdr>
        <w:shd w:fill="F1E9DD" w:val="clear"/>
        <w:spacing w:after="200" w:before="100"/>
      </w:pPr>
      <w:r>
        <w:rPr>
          <w:i/>
          <w:iCs/>
          <w:color w:val="5A3A28"/>
        </w:rPr>
        <w:t xml:space="preserve">A serious institutional partner will notice this table contains no beneficiary numbers, no dollar figures raised, and no completed projects. That is deliberate. Any version of this document that implied otherwise would violate the evidence standard this document sets out — and would be exactly the kind of claim a due-diligence review is designed to catch.</w:t>
      </w:r>
    </w:p>
    <w:p>
      <w:pPr>
        <w:pStyle w:val="Heading1"/>
        <w:pageBreakBefore/>
        <w:pBdr>
          <w:bottom w:val="single" w:color="B8543E" w:sz="8" w:space="4"/>
        </w:pBdr>
        <w:spacing w:after="200" w:before="240"/>
      </w:pPr>
      <w:bookmarkStart w:name="part-three-the-measurement" w:id="1010"/>
      <w:r>
        <w:rPr>
          <w:b/>
          <w:bCs/>
          <w:color w:val="1E2761"/>
        </w:rPr>
        <w:t xml:space="preserve">Part Three — The Measurement</w:t>
      </w:r>
      <w:bookmarkEnd w:id="1010"/>
    </w:p>
    <w:p>
      <w:pPr>
        <w:pStyle w:val="Heading1"/>
        <w:pBdr>
          <w:bottom w:val="single" w:color="B8543E" w:sz="8" w:space="4"/>
        </w:pBdr>
        <w:spacing w:after="200" w:before="240"/>
      </w:pPr>
      <w:bookmarkStart w:name="8-the-tjf-impact-measurement-framework" w:id="1011"/>
      <w:r>
        <w:rPr>
          <w:b/>
          <w:bCs/>
          <w:color w:val="1E2761"/>
        </w:rPr>
        <w:t xml:space="preserve">8. The TJF Impact Measurement Framework</w:t>
      </w:r>
      <w:bookmarkEnd w:id="1011"/>
    </w:p>
    <w:p>
      <w:pPr>
        <w:spacing w:after="130"/>
      </w:pPr>
      <w:r>
        <w:rPr>
          <w:b w:val="false"/>
          <w:bCs w:val="false"/>
          <w:i w:val="false"/>
          <w:iCs w:val="false"/>
          <w:color w:val="222222"/>
        </w:rPr>
        <w:t xml:space="preserve">Every major TJF program is intended to establish a baseline, define measurable indicators, set targets, and report results across six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2761" w:val="clear"/>
            <w:vAlign w:val="center"/>
          </w:tcPr>
          <w:p>
            <w:r>
              <w:rPr>
                <w:b/>
                <w:bCs/>
                <w:color w:val="FFFFFF"/>
                <w:sz w:val="19"/>
                <w:szCs w:val="19"/>
              </w:rPr>
              <w:t xml:space="preserve">Level</w:t>
            </w:r>
          </w:p>
        </w:tc>
        <w:tc>
          <w:tcPr>
            <w:tcW w:type="dxa" w:w="3150"/>
            <w:shd w:fill="1E2761" w:val="clear"/>
            <w:vAlign w:val="center"/>
          </w:tcPr>
          <w:p>
            <w:r>
              <w:rPr>
                <w:b/>
                <w:bCs/>
                <w:color w:val="FFFFFF"/>
                <w:sz w:val="19"/>
                <w:szCs w:val="19"/>
              </w:rPr>
              <w:t xml:space="preserve">Question</w:t>
            </w:r>
          </w:p>
        </w:tc>
        <w:tc>
          <w:tcPr>
            <w:tcW w:type="dxa" w:w="4000"/>
            <w:shd w:fill="1E2761" w:val="clear"/>
            <w:vAlign w:val="center"/>
          </w:tcPr>
          <w:p>
            <w:r>
              <w:rPr>
                <w:b/>
                <w:bCs/>
                <w:color w:val="FFFFFF"/>
                <w:sz w:val="19"/>
                <w:szCs w:val="19"/>
              </w:rPr>
              <w:t xml:space="preserve">Example Indicators</w:t>
            </w:r>
          </w:p>
        </w:tc>
      </w:tr>
      <w:tr>
        <w:tc>
          <w:tcPr>
            <w:tcW w:type="dxa" w:w="2200"/>
            <w:vAlign w:val="center"/>
          </w:tcPr>
          <w:p>
            <w:pPr>
              <w:spacing w:after="80" w:before="80"/>
            </w:pPr>
            <w:r>
              <w:rPr>
                <w:b/>
                <w:bCs/>
                <w:i w:val="false"/>
                <w:iCs w:val="false"/>
                <w:color w:val="222222"/>
                <w:sz w:val="19"/>
                <w:szCs w:val="19"/>
              </w:rPr>
              <w:t xml:space="preserve">1. Reach</w:t>
            </w:r>
          </w:p>
        </w:tc>
        <w:tc>
          <w:tcPr>
            <w:tcW w:type="dxa" w:w="3150"/>
            <w:vAlign w:val="center"/>
          </w:tcPr>
          <w:p>
            <w:pPr>
              <w:spacing w:after="80" w:before="80"/>
            </w:pPr>
            <w:r>
              <w:rPr>
                <w:b w:val="false"/>
                <w:bCs w:val="false"/>
                <w:i w:val="false"/>
                <w:iCs w:val="false"/>
                <w:color w:val="222222"/>
                <w:sz w:val="19"/>
                <w:szCs w:val="19"/>
              </w:rPr>
              <w:t xml:space="preserve">Who did we reach?</w:t>
            </w:r>
          </w:p>
        </w:tc>
        <w:tc>
          <w:tcPr>
            <w:tcW w:type="dxa" w:w="4000"/>
            <w:vAlign w:val="center"/>
          </w:tcPr>
          <w:p>
            <w:pPr>
              <w:spacing w:after="80" w:before="80"/>
            </w:pPr>
            <w:r>
              <w:rPr>
                <w:b w:val="false"/>
                <w:bCs w:val="false"/>
                <w:i w:val="false"/>
                <w:iCs w:val="false"/>
                <w:color w:val="222222"/>
                <w:sz w:val="19"/>
                <w:szCs w:val="19"/>
              </w:rPr>
              <w:t xml:space="preserve">Beneficiaries reached; communities served; students supported</w:t>
            </w:r>
          </w:p>
        </w:tc>
      </w:tr>
      <w:tr>
        <w:tc>
          <w:tcPr>
            <w:tcW w:type="dxa" w:w="2200"/>
            <w:shd w:fill="F1E9DD" w:val="clear"/>
            <w:vAlign w:val="center"/>
          </w:tcPr>
          <w:p>
            <w:pPr>
              <w:spacing w:after="80" w:before="80"/>
            </w:pPr>
            <w:r>
              <w:rPr>
                <w:b/>
                <w:bCs/>
                <w:i w:val="false"/>
                <w:iCs w:val="false"/>
                <w:color w:val="222222"/>
                <w:sz w:val="19"/>
                <w:szCs w:val="19"/>
              </w:rPr>
              <w:t xml:space="preserve">2. Access</w:t>
            </w:r>
          </w:p>
        </w:tc>
        <w:tc>
          <w:tcPr>
            <w:tcW w:type="dxa" w:w="3150"/>
            <w:shd w:fill="F1E9DD" w:val="clear"/>
            <w:vAlign w:val="center"/>
          </w:tcPr>
          <w:p>
            <w:pPr>
              <w:spacing w:after="80" w:before="80"/>
            </w:pPr>
            <w:r>
              <w:rPr>
                <w:b w:val="false"/>
                <w:bCs w:val="false"/>
                <w:i w:val="false"/>
                <w:iCs w:val="false"/>
                <w:color w:val="222222"/>
                <w:sz w:val="19"/>
                <w:szCs w:val="19"/>
              </w:rPr>
              <w:t xml:space="preserve">Did people gain access to something they lacked?</w:t>
            </w:r>
          </w:p>
        </w:tc>
        <w:tc>
          <w:tcPr>
            <w:tcW w:type="dxa" w:w="4000"/>
            <w:shd w:fill="F1E9DD" w:val="clear"/>
            <w:vAlign w:val="center"/>
          </w:tcPr>
          <w:p>
            <w:pPr>
              <w:spacing w:after="80" w:before="80"/>
            </w:pPr>
            <w:r>
              <w:rPr>
                <w:b w:val="false"/>
                <w:bCs w:val="false"/>
                <w:i w:val="false"/>
                <w:iCs w:val="false"/>
                <w:color w:val="222222"/>
                <w:sz w:val="19"/>
                <w:szCs w:val="19"/>
              </w:rPr>
              <w:t xml:space="preserve">Access to educational resources, health information, training, markets</w:t>
            </w:r>
          </w:p>
        </w:tc>
      </w:tr>
      <w:tr>
        <w:tc>
          <w:tcPr>
            <w:tcW w:type="dxa" w:w="2200"/>
            <w:vAlign w:val="center"/>
          </w:tcPr>
          <w:p>
            <w:pPr>
              <w:spacing w:after="80" w:before="80"/>
            </w:pPr>
            <w:r>
              <w:rPr>
                <w:b/>
                <w:bCs/>
                <w:i w:val="false"/>
                <w:iCs w:val="false"/>
                <w:color w:val="222222"/>
                <w:sz w:val="19"/>
                <w:szCs w:val="19"/>
              </w:rPr>
              <w:t xml:space="preserve">3. Capability</w:t>
            </w:r>
          </w:p>
        </w:tc>
        <w:tc>
          <w:tcPr>
            <w:tcW w:type="dxa" w:w="3150"/>
            <w:vAlign w:val="center"/>
          </w:tcPr>
          <w:p>
            <w:pPr>
              <w:spacing w:after="80" w:before="80"/>
            </w:pPr>
            <w:r>
              <w:rPr>
                <w:b w:val="false"/>
                <w:bCs w:val="false"/>
                <w:i w:val="false"/>
                <w:iCs w:val="false"/>
                <w:color w:val="222222"/>
                <w:sz w:val="19"/>
                <w:szCs w:val="19"/>
              </w:rPr>
              <w:t xml:space="preserve">Did beneficiaries become more capable?</w:t>
            </w:r>
          </w:p>
        </w:tc>
        <w:tc>
          <w:tcPr>
            <w:tcW w:type="dxa" w:w="4000"/>
            <w:vAlign w:val="center"/>
          </w:tcPr>
          <w:p>
            <w:pPr>
              <w:spacing w:after="80" w:before="80"/>
            </w:pPr>
            <w:r>
              <w:rPr>
                <w:b w:val="false"/>
                <w:bCs w:val="false"/>
                <w:i w:val="false"/>
                <w:iCs w:val="false"/>
                <w:color w:val="222222"/>
                <w:sz w:val="19"/>
                <w:szCs w:val="19"/>
              </w:rPr>
              <w:t xml:space="preserve">Literacy, vocational skills, financial literacy, health knowledge</w:t>
            </w:r>
          </w:p>
        </w:tc>
      </w:tr>
      <w:tr>
        <w:tc>
          <w:tcPr>
            <w:tcW w:type="dxa" w:w="2200"/>
            <w:shd w:fill="F1E9DD" w:val="clear"/>
            <w:vAlign w:val="center"/>
          </w:tcPr>
          <w:p>
            <w:pPr>
              <w:spacing w:after="80" w:before="80"/>
            </w:pPr>
            <w:r>
              <w:rPr>
                <w:b/>
                <w:bCs/>
                <w:i w:val="false"/>
                <w:iCs w:val="false"/>
                <w:color w:val="222222"/>
                <w:sz w:val="19"/>
                <w:szCs w:val="19"/>
              </w:rPr>
              <w:t xml:space="preserve">4. Behavior</w:t>
            </w:r>
          </w:p>
        </w:tc>
        <w:tc>
          <w:tcPr>
            <w:tcW w:type="dxa" w:w="3150"/>
            <w:shd w:fill="F1E9DD" w:val="clear"/>
            <w:vAlign w:val="center"/>
          </w:tcPr>
          <w:p>
            <w:pPr>
              <w:spacing w:after="80" w:before="80"/>
            </w:pPr>
            <w:r>
              <w:rPr>
                <w:b w:val="false"/>
                <w:bCs w:val="false"/>
                <w:i w:val="false"/>
                <w:iCs w:val="false"/>
                <w:color w:val="222222"/>
                <w:sz w:val="19"/>
                <w:szCs w:val="19"/>
              </w:rPr>
              <w:t xml:space="preserve">Did how people act change?</w:t>
            </w:r>
          </w:p>
        </w:tc>
        <w:tc>
          <w:tcPr>
            <w:tcW w:type="dxa" w:w="4000"/>
            <w:shd w:fill="F1E9DD" w:val="clear"/>
            <w:vAlign w:val="center"/>
          </w:tcPr>
          <w:p>
            <w:pPr>
              <w:spacing w:after="80" w:before="80"/>
            </w:pPr>
            <w:r>
              <w:rPr>
                <w:b w:val="false"/>
                <w:bCs w:val="false"/>
                <w:i w:val="false"/>
                <w:iCs w:val="false"/>
                <w:color w:val="222222"/>
                <w:sz w:val="19"/>
                <w:szCs w:val="19"/>
              </w:rPr>
              <w:t xml:space="preserve">School retention, healthier practices, sustainable agricultural adoption</w:t>
            </w:r>
          </w:p>
        </w:tc>
      </w:tr>
      <w:tr>
        <w:tc>
          <w:tcPr>
            <w:tcW w:type="dxa" w:w="2200"/>
            <w:vAlign w:val="center"/>
          </w:tcPr>
          <w:p>
            <w:pPr>
              <w:spacing w:after="80" w:before="80"/>
            </w:pPr>
            <w:r>
              <w:rPr>
                <w:b/>
                <w:bCs/>
                <w:i w:val="false"/>
                <w:iCs w:val="false"/>
                <w:color w:val="222222"/>
                <w:sz w:val="19"/>
                <w:szCs w:val="19"/>
              </w:rPr>
              <w:t xml:space="preserve">5. Outcomes</w:t>
            </w:r>
          </w:p>
        </w:tc>
        <w:tc>
          <w:tcPr>
            <w:tcW w:type="dxa" w:w="3150"/>
            <w:vAlign w:val="center"/>
          </w:tcPr>
          <w:p>
            <w:pPr>
              <w:spacing w:after="80" w:before="80"/>
            </w:pPr>
            <w:r>
              <w:rPr>
                <w:b w:val="false"/>
                <w:bCs w:val="false"/>
                <w:i w:val="false"/>
                <w:iCs w:val="false"/>
                <w:color w:val="222222"/>
                <w:sz w:val="19"/>
                <w:szCs w:val="19"/>
              </w:rPr>
              <w:t xml:space="preserve">Did circumstances actually improve?</w:t>
            </w:r>
          </w:p>
        </w:tc>
        <w:tc>
          <w:tcPr>
            <w:tcW w:type="dxa" w:w="4000"/>
            <w:vAlign w:val="center"/>
          </w:tcPr>
          <w:p>
            <w:pPr>
              <w:spacing w:after="80" w:before="80"/>
            </w:pPr>
            <w:r>
              <w:rPr>
                <w:b w:val="false"/>
                <w:bCs w:val="false"/>
                <w:i w:val="false"/>
                <w:iCs w:val="false"/>
                <w:color w:val="222222"/>
                <w:sz w:val="19"/>
                <w:szCs w:val="19"/>
              </w:rPr>
              <w:t xml:space="preserve">Household income, employment, educational progression, resilience</w:t>
            </w:r>
          </w:p>
        </w:tc>
      </w:tr>
      <w:tr>
        <w:tc>
          <w:tcPr>
            <w:tcW w:type="dxa" w:w="2200"/>
            <w:shd w:fill="F1E9DD" w:val="clear"/>
            <w:vAlign w:val="center"/>
          </w:tcPr>
          <w:p>
            <w:pPr>
              <w:spacing w:after="80" w:before="80"/>
            </w:pPr>
            <w:r>
              <w:rPr>
                <w:b/>
                <w:bCs/>
                <w:i w:val="false"/>
                <w:iCs w:val="false"/>
                <w:color w:val="222222"/>
                <w:sz w:val="19"/>
                <w:szCs w:val="19"/>
              </w:rPr>
              <w:t xml:space="preserve">6. Long-Term Impact</w:t>
            </w:r>
          </w:p>
        </w:tc>
        <w:tc>
          <w:tcPr>
            <w:tcW w:type="dxa" w:w="3150"/>
            <w:shd w:fill="F1E9DD" w:val="clear"/>
            <w:vAlign w:val="center"/>
          </w:tcPr>
          <w:p>
            <w:pPr>
              <w:spacing w:after="80" w:before="80"/>
            </w:pPr>
            <w:r>
              <w:rPr>
                <w:b w:val="false"/>
                <w:bCs w:val="false"/>
                <w:i w:val="false"/>
                <w:iCs w:val="false"/>
                <w:color w:val="222222"/>
                <w:sz w:val="19"/>
                <w:szCs w:val="19"/>
              </w:rPr>
              <w:t xml:space="preserve">Did the intervention contribute to durable improvement?</w:t>
            </w:r>
          </w:p>
        </w:tc>
        <w:tc>
          <w:tcPr>
            <w:tcW w:type="dxa" w:w="4000"/>
            <w:shd w:fill="F1E9DD" w:val="clear"/>
            <w:vAlign w:val="center"/>
          </w:tcPr>
          <w:p>
            <w:pPr>
              <w:spacing w:after="80" w:before="80"/>
            </w:pPr>
            <w:r>
              <w:rPr>
                <w:b w:val="false"/>
                <w:bCs w:val="false"/>
                <w:i w:val="false"/>
                <w:iCs w:val="false"/>
                <w:color w:val="222222"/>
                <w:sz w:val="19"/>
                <w:szCs w:val="19"/>
              </w:rPr>
              <w:t xml:space="preserve">Sustained community resilience beyond the funding period</w:t>
            </w:r>
          </w:p>
        </w:tc>
      </w:tr>
    </w:tbl>
    <w:p>
      <w:pPr>
        <w:spacing w:after="130"/>
      </w:pPr>
      <w:r>
        <w:rPr>
          <w:b w:val="false"/>
          <w:bCs w:val="false"/>
          <w:i w:val="false"/>
          <w:iCs w:val="false"/>
          <w:color w:val="222222"/>
        </w:rPr>
        <w:t xml:space="preserve">Numbers alone can mislead — "10,000 people trained" says nothing about what happened to those people afterward. TJF's reporting is intended to combine quantitative evidence (numbers, outcome data, financial accountability) with qualitative evidence (stories, beneficiary voices, case studies) once programs are underway.</w:t>
      </w:r>
    </w:p>
    <w:p>
      <w:pPr>
        <w:pStyle w:val="Heading1"/>
        <w:pageBreakBefore/>
        <w:pBdr>
          <w:bottom w:val="single" w:color="B8543E" w:sz="8" w:space="4"/>
        </w:pBdr>
        <w:spacing w:after="200" w:before="240"/>
      </w:pPr>
      <w:bookmarkStart w:name="9-the-impact-chain" w:id="1012"/>
      <w:r>
        <w:rPr>
          <w:b/>
          <w:bCs/>
          <w:color w:val="1E2761"/>
        </w:rPr>
        <w:t xml:space="preserve">9. The Impact Chain</w:t>
      </w:r>
      <w:bookmarkEnd w:id="1012"/>
    </w:p>
    <w:p>
      <w:pPr>
        <w:spacing w:after="130"/>
      </w:pPr>
      <w:r>
        <w:rPr>
          <w:b w:val="false"/>
          <w:bCs w:val="false"/>
          <w:i w:val="false"/>
          <w:iCs w:val="false"/>
          <w:color w:val="222222"/>
        </w:rPr>
        <w:t xml:space="preserve">Every major contribution is intended to have a traceable pathway, so a donor can ask "what happened to our contribution?" and receive a structured answer:</w:t>
      </w:r>
    </w:p>
    <w:p>
      <w:pPr>
        <w:spacing w:after="130"/>
      </w:pPr>
      <w:r>
        <w:rPr>
          <w:b/>
          <w:bCs/>
          <w:i w:val="false"/>
          <w:iCs w:val="false"/>
          <w:color w:val="222222"/>
        </w:rPr>
        <w:t xml:space="preserve">Donor contribution  →  TJF program allocation  →  Program activities  →  Beneficiaries reached  →  Outputs delivered  →  Capabilities developed  →  Behavior or condition changed  →  Measured outcome  →  Long-term contribution to community resilience</w:t>
      </w:r>
    </w:p>
    <w:p>
      <w:pPr>
        <w:pStyle w:val="Heading1"/>
        <w:pageBreakBefore/>
        <w:pBdr>
          <w:bottom w:val="single" w:color="B8543E" w:sz="8" w:space="4"/>
        </w:pBdr>
        <w:spacing w:after="200" w:before="240"/>
      </w:pPr>
      <w:bookmarkStart w:name="10-reporting-commitments" w:id="1013"/>
      <w:r>
        <w:rPr>
          <w:b/>
          <w:bCs/>
          <w:color w:val="1E2761"/>
        </w:rPr>
        <w:t xml:space="preserve">10. Reporting Commitments</w:t>
      </w:r>
      <w:bookmarkEnd w:id="1013"/>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00"/>
            <w:shd w:fill="1E2761" w:val="clear"/>
            <w:vAlign w:val="center"/>
          </w:tcPr>
          <w:p>
            <w:r>
              <w:rPr>
                <w:b/>
                <w:bCs/>
                <w:color w:val="FFFFFF"/>
                <w:sz w:val="19"/>
                <w:szCs w:val="19"/>
              </w:rPr>
              <w:t xml:space="preserve">Stage</w:t>
            </w:r>
          </w:p>
        </w:tc>
        <w:tc>
          <w:tcPr>
            <w:tcW w:type="dxa" w:w="7050"/>
            <w:shd w:fill="1E2761" w:val="clear"/>
            <w:vAlign w:val="center"/>
          </w:tcPr>
          <w:p>
            <w:r>
              <w:rPr>
                <w:b/>
                <w:bCs/>
                <w:color w:val="FFFFFF"/>
                <w:sz w:val="19"/>
                <w:szCs w:val="19"/>
              </w:rPr>
              <w:t xml:space="preserve">What TJF Intends to Provide</w:t>
            </w:r>
          </w:p>
        </w:tc>
      </w:tr>
      <w:tr>
        <w:tc>
          <w:tcPr>
            <w:tcW w:type="dxa" w:w="2300"/>
            <w:vAlign w:val="center"/>
          </w:tcPr>
          <w:p>
            <w:pPr>
              <w:spacing w:after="80" w:before="80"/>
            </w:pPr>
            <w:r>
              <w:rPr>
                <w:b/>
                <w:bCs/>
                <w:i w:val="false"/>
                <w:iCs w:val="false"/>
                <w:color w:val="222222"/>
                <w:sz w:val="19"/>
                <w:szCs w:val="19"/>
              </w:rPr>
              <w:t xml:space="preserve">Before funding</w:t>
            </w:r>
          </w:p>
        </w:tc>
        <w:tc>
          <w:tcPr>
            <w:tcW w:type="dxa" w:w="7050"/>
            <w:vAlign w:val="center"/>
          </w:tcPr>
          <w:p>
            <w:pPr>
              <w:spacing w:after="80" w:before="80"/>
            </w:pPr>
            <w:r>
              <w:rPr>
                <w:b w:val="false"/>
                <w:bCs w:val="false"/>
                <w:i w:val="false"/>
                <w:iCs w:val="false"/>
                <w:color w:val="222222"/>
                <w:sz w:val="19"/>
                <w:szCs w:val="19"/>
              </w:rPr>
              <w:t xml:space="preserve">Defined objectives, beneficiary profile, needs assessment, theory of change, implementation plan, budget, risk assessment, monitoring framework</w:t>
            </w:r>
          </w:p>
        </w:tc>
      </w:tr>
      <w:tr>
        <w:tc>
          <w:tcPr>
            <w:tcW w:type="dxa" w:w="2300"/>
            <w:shd w:fill="F1E9DD" w:val="clear"/>
            <w:vAlign w:val="center"/>
          </w:tcPr>
          <w:p>
            <w:pPr>
              <w:spacing w:after="80" w:before="80"/>
            </w:pPr>
            <w:r>
              <w:rPr>
                <w:b/>
                <w:bCs/>
                <w:i w:val="false"/>
                <w:iCs w:val="false"/>
                <w:color w:val="222222"/>
                <w:sz w:val="19"/>
                <w:szCs w:val="19"/>
              </w:rPr>
              <w:t xml:space="preserve">During implementation</w:t>
            </w:r>
          </w:p>
        </w:tc>
        <w:tc>
          <w:tcPr>
            <w:tcW w:type="dxa" w:w="7050"/>
            <w:shd w:fill="F1E9DD" w:val="clear"/>
            <w:vAlign w:val="center"/>
          </w:tcPr>
          <w:p>
            <w:pPr>
              <w:spacing w:after="80" w:before="80"/>
            </w:pPr>
            <w:r>
              <w:rPr>
                <w:b w:val="false"/>
                <w:bCs w:val="false"/>
                <w:i w:val="false"/>
                <w:iCs w:val="false"/>
                <w:color w:val="222222"/>
                <w:sz w:val="19"/>
                <w:szCs w:val="19"/>
              </w:rPr>
              <w:t xml:space="preserve">Financial controls, progress monitoring, beneficiary tracking, risk monitoring, partner coordination, documentation</w:t>
            </w:r>
          </w:p>
        </w:tc>
      </w:tr>
      <w:tr>
        <w:tc>
          <w:tcPr>
            <w:tcW w:type="dxa" w:w="2300"/>
            <w:vAlign w:val="center"/>
          </w:tcPr>
          <w:p>
            <w:pPr>
              <w:spacing w:after="80" w:before="80"/>
            </w:pPr>
            <w:r>
              <w:rPr>
                <w:b/>
                <w:bCs/>
                <w:i w:val="false"/>
                <w:iCs w:val="false"/>
                <w:color w:val="222222"/>
                <w:sz w:val="19"/>
                <w:szCs w:val="19"/>
              </w:rPr>
              <w:t xml:space="preserve">After implementation</w:t>
            </w:r>
          </w:p>
        </w:tc>
        <w:tc>
          <w:tcPr>
            <w:tcW w:type="dxa" w:w="7050"/>
            <w:vAlign w:val="center"/>
          </w:tcPr>
          <w:p>
            <w:pPr>
              <w:spacing w:after="80" w:before="80"/>
            </w:pPr>
            <w:r>
              <w:rPr>
                <w:b w:val="false"/>
                <w:bCs w:val="false"/>
                <w:i w:val="false"/>
                <w:iCs w:val="false"/>
                <w:color w:val="222222"/>
                <w:sz w:val="19"/>
                <w:szCs w:val="19"/>
              </w:rPr>
              <w:t xml:space="preserve">Financial and program reporting, output and outcome data, lessons learned, beneficiary perspectives, sustainability assessment</w:t>
            </w:r>
          </w:p>
        </w:tc>
      </w:tr>
    </w:tbl>
    <w:p>
      <w:pPr>
        <w:pStyle w:val="Heading1"/>
        <w:pageBreakBefore/>
        <w:pBdr>
          <w:bottom w:val="single" w:color="B8543E" w:sz="8" w:space="4"/>
        </w:pBdr>
        <w:spacing w:after="200" w:before="240"/>
      </w:pPr>
      <w:bookmarkStart w:name="part-four-how-to-engage" w:id="1014"/>
      <w:r>
        <w:rPr>
          <w:b/>
          <w:bCs/>
          <w:color w:val="1E2761"/>
        </w:rPr>
        <w:t xml:space="preserve">Part Four — How to Engage</w:t>
      </w:r>
      <w:bookmarkEnd w:id="1014"/>
    </w:p>
    <w:p>
      <w:pPr>
        <w:pStyle w:val="Heading1"/>
        <w:pBdr>
          <w:bottom w:val="single" w:color="B8543E" w:sz="8" w:space="4"/>
        </w:pBdr>
        <w:spacing w:after="200" w:before="240"/>
      </w:pPr>
      <w:bookmarkStart w:name="11-ways-to-partner" w:id="1015"/>
      <w:r>
        <w:rPr>
          <w:b/>
          <w:bCs/>
          <w:color w:val="1E2761"/>
        </w:rPr>
        <w:t xml:space="preserve">11. Ways to Partner</w:t>
      </w:r>
      <w:bookmarkEnd w:id="1015"/>
    </w:p>
    <w:p>
      <w:pPr>
        <w:spacing w:after="130"/>
      </w:pPr>
      <w:r>
        <w:rPr>
          <w:b w:val="false"/>
          <w:bCs w:val="false"/>
          <w:i w:val="false"/>
          <w:iCs w:val="false"/>
          <w:color w:val="222222"/>
        </w:rPr>
        <w:t xml:space="preserve">A partnership with TJF is not simply "give us money." It can instead be: bring your capability, knowledge, network, technology, capital, or institutional strength, and let us convert it together into measurable social impact.</w:t>
      </w:r>
    </w:p>
    <w:p>
      <w:pPr>
        <w:pStyle w:val="Heading2"/>
        <w:spacing w:after="110" w:before="220"/>
      </w:pPr>
      <w:r>
        <w:rPr>
          <w:b/>
          <w:bCs/>
          <w:color w:val="B8543E"/>
        </w:rPr>
        <w:t xml:space="preserve">Financial Partners</w:t>
      </w:r>
    </w:p>
    <w:p>
      <w:pPr>
        <w:spacing w:after="130"/>
      </w:pPr>
      <w:r>
        <w:rPr>
          <w:b w:val="false"/>
          <w:bCs w:val="false"/>
          <w:i w:val="false"/>
          <w:iCs w:val="false"/>
          <w:color w:val="222222"/>
        </w:rPr>
        <w:t xml:space="preserve">Funding treated as development capital directed across Education, Health, Livelihoods, and Environment for the same communities — see TJF's Funding Strategy for current giving tiers and in-kind giving pathways.</w:t>
      </w:r>
    </w:p>
    <w:p>
      <w:pPr>
        <w:pStyle w:val="Heading2"/>
        <w:spacing w:after="110" w:before="220"/>
      </w:pPr>
      <w:r>
        <w:rPr>
          <w:b/>
          <w:bCs/>
          <w:color w:val="B8543E"/>
        </w:rPr>
        <w:t xml:space="preserve">Corporate &amp; Institutional Partners</w:t>
      </w:r>
    </w:p>
    <w:p>
      <w:pPr>
        <w:spacing w:after="130"/>
      </w:pPr>
      <w:r>
        <w:rPr>
          <w:b w:val="false"/>
          <w:bCs w:val="false"/>
          <w:i w:val="false"/>
          <w:iCs w:val="false"/>
          <w:color w:val="222222"/>
        </w:rPr>
        <w:t xml:space="preserve">Not every partner needs to provide money. Technology, equipment, professional expertise, employee volunteering, mentorship, market access, logistics, or training can all be a starting point — a technology company might help build digital-learning capacity; a financial institution might support financial literacy programs; a healthcare organization might strengthen community health delivery.</w:t>
      </w:r>
    </w:p>
    <w:p>
      <w:pPr>
        <w:pStyle w:val="Heading2"/>
        <w:spacing w:after="110" w:before="220"/>
      </w:pPr>
      <w:r>
        <w:rPr>
          <w:b/>
          <w:bCs/>
          <w:color w:val="B8543E"/>
        </w:rPr>
        <w:t xml:space="preserve">Knowledge Partners</w:t>
      </w:r>
    </w:p>
    <w:p>
      <w:pPr>
        <w:spacing w:after="130"/>
      </w:pPr>
      <w:r>
        <w:rPr>
          <w:b w:val="false"/>
          <w:bCs w:val="false"/>
          <w:i w:val="false"/>
          <w:iCs w:val="false"/>
          <w:color w:val="222222"/>
        </w:rPr>
        <w:t xml:space="preserve">Development suffers from a lack of evidence as much as a lack of money. Universities and research institutions can help TJF establish baselines, conduct impact evaluations, and improve program design — knowledge feeding directly into better decisions and better outcomes.</w:t>
      </w:r>
    </w:p>
    <w:p>
      <w:pPr>
        <w:pStyle w:val="Heading1"/>
        <w:pageBreakBefore/>
        <w:pBdr>
          <w:bottom w:val="single" w:color="B8543E" w:sz="8" w:space="4"/>
        </w:pBdr>
        <w:spacing w:after="200" w:before="240"/>
      </w:pPr>
      <w:bookmarkStart w:name="12-the-investment-case" w:id="1016"/>
      <w:r>
        <w:rPr>
          <w:b/>
          <w:bCs/>
          <w:color w:val="1E2761"/>
        </w:rPr>
        <w:t xml:space="preserve">12. The Investment Case</w:t>
      </w:r>
      <w:bookmarkEnd w:id="1016"/>
    </w:p>
    <w:p>
      <w:pPr>
        <w:spacing w:after="130"/>
      </w:pPr>
      <w:r>
        <w:rPr>
          <w:b w:val="false"/>
          <w:bCs w:val="false"/>
          <w:i w:val="false"/>
          <w:iCs w:val="false"/>
          <w:color w:val="222222"/>
        </w:rPr>
        <w:t xml:space="preserve">Donors and partners are invited to consider three levels of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E2761" w:val="clear"/>
            <w:vAlign w:val="center"/>
          </w:tcPr>
          <w:p>
            <w:r>
              <w:rPr>
                <w:b/>
                <w:bCs/>
                <w:color w:val="FFFFFF"/>
                <w:sz w:val="19"/>
                <w:szCs w:val="19"/>
              </w:rPr>
              <w:t xml:space="preserve">Level</w:t>
            </w:r>
          </w:p>
        </w:tc>
        <w:tc>
          <w:tcPr>
            <w:tcW w:type="dxa" w:w="6950"/>
            <w:shd w:fill="1E2761" w:val="clear"/>
            <w:vAlign w:val="center"/>
          </w:tcPr>
          <w:p>
            <w:r>
              <w:rPr>
                <w:b/>
                <w:bCs/>
                <w:color w:val="FFFFFF"/>
                <w:sz w:val="19"/>
                <w:szCs w:val="19"/>
              </w:rPr>
              <w:t xml:space="preserve">What Your Support Builds</w:t>
            </w:r>
          </w:p>
        </w:tc>
      </w:tr>
      <w:tr>
        <w:tc>
          <w:tcPr>
            <w:tcW w:type="dxa" w:w="2400"/>
            <w:vAlign w:val="center"/>
          </w:tcPr>
          <w:p>
            <w:pPr>
              <w:spacing w:after="80" w:before="80"/>
            </w:pPr>
            <w:r>
              <w:rPr>
                <w:b/>
                <w:bCs/>
                <w:i w:val="false"/>
                <w:iCs w:val="false"/>
                <w:color w:val="222222"/>
                <w:sz w:val="19"/>
                <w:szCs w:val="19"/>
              </w:rPr>
              <w:t xml:space="preserve">1. Direct Impact</w:t>
            </w:r>
          </w:p>
        </w:tc>
        <w:tc>
          <w:tcPr>
            <w:tcW w:type="dxa" w:w="6950"/>
            <w:vAlign w:val="center"/>
          </w:tcPr>
          <w:p>
            <w:pPr>
              <w:spacing w:after="80" w:before="80"/>
            </w:pPr>
            <w:r>
              <w:rPr>
                <w:b w:val="false"/>
                <w:bCs w:val="false"/>
                <w:i w:val="false"/>
                <w:iCs w:val="false"/>
                <w:color w:val="222222"/>
                <w:sz w:val="19"/>
                <w:szCs w:val="19"/>
              </w:rPr>
              <w:t xml:space="preserve">Services, resources, and opportunities delivered to people who need them</w:t>
            </w:r>
          </w:p>
        </w:tc>
      </w:tr>
      <w:tr>
        <w:tc>
          <w:tcPr>
            <w:tcW w:type="dxa" w:w="2400"/>
            <w:shd w:fill="F1E9DD" w:val="clear"/>
            <w:vAlign w:val="center"/>
          </w:tcPr>
          <w:p>
            <w:pPr>
              <w:spacing w:after="80" w:before="80"/>
            </w:pPr>
            <w:r>
              <w:rPr>
                <w:b/>
                <w:bCs/>
                <w:i w:val="false"/>
                <w:iCs w:val="false"/>
                <w:color w:val="222222"/>
                <w:sz w:val="19"/>
                <w:szCs w:val="19"/>
              </w:rPr>
              <w:t xml:space="preserve">2. Capacity</w:t>
            </w:r>
          </w:p>
        </w:tc>
        <w:tc>
          <w:tcPr>
            <w:tcW w:type="dxa" w:w="6950"/>
            <w:shd w:fill="F1E9DD" w:val="clear"/>
            <w:vAlign w:val="center"/>
          </w:tcPr>
          <w:p>
            <w:pPr>
              <w:spacing w:after="80" w:before="80"/>
            </w:pPr>
            <w:r>
              <w:rPr>
                <w:b w:val="false"/>
                <w:bCs w:val="false"/>
                <w:i w:val="false"/>
                <w:iCs w:val="false"/>
                <w:color w:val="222222"/>
                <w:sz w:val="19"/>
                <w:szCs w:val="19"/>
              </w:rPr>
              <w:t xml:space="preserve">People, enterprises, and communities better equipped to solve problems themselves</w:t>
            </w:r>
          </w:p>
        </w:tc>
      </w:tr>
      <w:tr>
        <w:tc>
          <w:tcPr>
            <w:tcW w:type="dxa" w:w="2400"/>
            <w:vAlign w:val="center"/>
          </w:tcPr>
          <w:p>
            <w:pPr>
              <w:spacing w:after="80" w:before="80"/>
            </w:pPr>
            <w:r>
              <w:rPr>
                <w:b/>
                <w:bCs/>
                <w:i w:val="false"/>
                <w:iCs w:val="false"/>
                <w:color w:val="222222"/>
                <w:sz w:val="19"/>
                <w:szCs w:val="19"/>
              </w:rPr>
              <w:t xml:space="preserve">3. Systemic Value</w:t>
            </w:r>
          </w:p>
        </w:tc>
        <w:tc>
          <w:tcPr>
            <w:tcW w:type="dxa" w:w="6950"/>
            <w:vAlign w:val="center"/>
          </w:tcPr>
          <w:p>
            <w:pPr>
              <w:spacing w:after="80" w:before="80"/>
            </w:pPr>
            <w:r>
              <w:rPr>
                <w:b w:val="false"/>
                <w:bCs w:val="false"/>
                <w:i w:val="false"/>
                <w:iCs w:val="false"/>
                <w:color w:val="222222"/>
                <w:sz w:val="19"/>
                <w:szCs w:val="19"/>
              </w:rPr>
              <w:t xml:space="preserve">Knowledge, partnerships, and models TJF can replicate beyond a single project or community</w:t>
            </w:r>
          </w:p>
        </w:tc>
      </w:tr>
    </w:tbl>
    <w:p>
      <w:pPr>
        <w:pStyle w:val="Heading1"/>
        <w:pageBreakBefore/>
        <w:pBdr>
          <w:bottom w:val="single" w:color="B8543E" w:sz="8" w:space="4"/>
        </w:pBdr>
        <w:spacing w:after="200" w:before="240"/>
      </w:pPr>
      <w:bookmarkStart w:name="13-our-promise-to-you" w:id="1017"/>
      <w:r>
        <w:rPr>
          <w:b/>
          <w:bCs/>
          <w:color w:val="1E2761"/>
        </w:rPr>
        <w:t xml:space="preserve">13. Our Promise to You</w:t>
      </w:r>
      <w:bookmarkEnd w:id="1017"/>
    </w:p>
    <w:p>
      <w:pPr>
        <w:pBdr>
          <w:left w:val="single" w:color="B8543E" w:sz="24" w:space="12"/>
        </w:pBdr>
        <w:spacing w:after="200" w:before="160"/>
        <w:ind w:left="431" w:right="431"/>
      </w:pPr>
      <w:r>
        <w:rPr>
          <w:b/>
          <w:bCs/>
          <w:i/>
          <w:iCs/>
          <w:color w:val="1E2761"/>
          <w:sz w:val="24"/>
          <w:szCs w:val="24"/>
        </w:rPr>
        <w:t xml:space="preserve">Your money should become opportunity. Your knowledge should become capability. Your partnership should become institutional strength. Your support should become measurable change — and measurable change should become something communities can sustain.</w:t>
      </w:r>
    </w:p>
    <w:p>
      <w:pPr>
        <w:spacing w:after="130"/>
      </w:pPr>
      <w:r>
        <w:rPr>
          <w:b w:val="false"/>
          <w:bCs w:val="false"/>
          <w:i w:val="false"/>
          <w:iCs w:val="false"/>
          <w:color w:val="222222"/>
        </w:rPr>
        <w:t xml:space="preserve">That is the standard TJF intends to hold itself to, from its founding stage onward.</w:t>
      </w:r>
    </w:p>
    <w:p>
      <w:pPr>
        <w:spacing w:after="130"/>
      </w:pPr>
      <w:r>
        <w:rPr>
          <w:b w:val="false"/>
          <w:bCs w:val="false"/>
          <w:i/>
          <w:iCs/>
          <w:color w:val="222222"/>
        </w:rPr>
        <w:t xml:space="preserve">Contact: thejopetnahfoundation@gmail.com (interim address — will move to a dedicated domain email once live) · Kampala, Republic of Uganda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Donor, Partnership &amp; Impact Investment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2026-08-06T10:02:29.755Z</dcterms:created>
  <dcterms:modified xsi:type="dcterms:W3CDTF">2026-08-06T10:02:29.755Z</dcterms:modified>
</cp:coreProperties>
</file>

<file path=docProps/custom.xml><?xml version="1.0" encoding="utf-8"?>
<Properties xmlns="http://schemas.openxmlformats.org/officeDocument/2006/custom-properties" xmlns:vt="http://schemas.openxmlformats.org/officeDocument/2006/docPropsVTypes"/>
</file>