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onsolas" w:cs="Consolas" w:eastAsia="Consolas" w:hAnsi="Consolas"/>
          <w:b/>
          <w:bCs/>
          <w:color w:val="8F4A31"/>
          <w:sz w:val="18"/>
          <w:szCs w:val="18"/>
        </w:rPr>
        <w:t xml:space="preserve">FOUR PILLARS  ·  THIRTEEN PROGRAM PATHWAYS  ·  ONE INTEGRATED PURPOSE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32211A"/>
          <w:sz w:val="44"/>
          <w:szCs w:val="44"/>
        </w:rPr>
        <w:t xml:space="preserve">Program Pathways at a Glance</w:t>
      </w:r>
    </w:p>
    <w:p>
      <w:pPr>
        <w:spacing w:after="220"/>
        <w:jc w:val="center"/>
      </w:pPr>
      <w:r>
        <w:rPr>
          <w:i/>
          <w:iCs/>
          <w:color w:val="6B5B4E"/>
          <w:sz w:val="18"/>
          <w:szCs w:val="18"/>
        </w:rPr>
        <w:t xml:space="preserve">A quick reference to how TJF's four pillars translate into thirteen concrete program pathways, working together toward one family, one gift.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50"/>
        <w:gridCol w:w="6428"/>
      </w:tblGrid>
      <w:tr>
        <w:tc>
          <w:tcPr>
            <w:tcW w:type="dxa" w:w="9638"/>
            <w:gridSpan w:val="3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C4623C" w:color="auto" w:val="clear"/>
            <w:tcMar>
              <w:top w:type="dxa" w:w="90"/>
              <w:left w:type="dxa" w:w="110"/>
              <w:bottom w:type="dxa" w:w="90"/>
              <w:right w:type="dxa" w:w="9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🎓  Education &amp; Youth Development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4623C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Jopetnah Scholars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Need-based scholarships and mentorship for secondary and tertiary students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4623C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Future-Ready Labs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Digital literacy and vocational skills hubs in underserved schools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4623C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Read to Lead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Community libraries and literacy campaigns for early learners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50"/>
        <w:gridCol w:w="6428"/>
      </w:tblGrid>
      <w:tr>
        <w:tc>
          <w:tcPr>
            <w:tcW w:type="dxa" w:w="9638"/>
            <w:gridSpan w:val="3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8F4A31" w:color="auto" w:val="clear"/>
            <w:tcMar>
              <w:top w:type="dxa" w:w="90"/>
              <w:left w:type="dxa" w:w="110"/>
              <w:bottom w:type="dxa" w:w="90"/>
              <w:right w:type="dxa" w:w="9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🩺  Health &amp; Wellbeing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F4A31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Community Health Champions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Trains local volunteers as first-line health educators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F4A31"/>
                <w:sz w:val="20"/>
                <w:szCs w:val="20"/>
              </w:rPr>
              <w:t xml:space="preserve">5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Mobile Wellness Clinics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Periodic outreach to remote areas — maternal health, screenings, vaccinations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F4A31"/>
                <w:sz w:val="20"/>
                <w:szCs w:val="20"/>
              </w:rPr>
              <w:t xml:space="preserve">6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Malaria Prevention &amp; Response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Bed net distribution, rapid diagnostic referrals and community education, alongside Mobile Wellness Clinic visits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F4A31"/>
                <w:sz w:val="20"/>
                <w:szCs w:val="20"/>
              </w:rPr>
              <w:t xml:space="preserve">7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Mind &amp; Body Program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Mental health awareness, nutrition and adolescent health education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50"/>
        <w:gridCol w:w="6428"/>
      </w:tblGrid>
      <w:tr>
        <w:tc>
          <w:tcPr>
            <w:tcW w:type="dxa" w:w="9638"/>
            <w:gridSpan w:val="3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D8A63D" w:color="auto" w:val="clear"/>
            <w:tcMar>
              <w:top w:type="dxa" w:w="90"/>
              <w:left w:type="dxa" w:w="110"/>
              <w:bottom w:type="dxa" w:w="90"/>
              <w:right w:type="dxa" w:w="9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2211A"/>
                <w:sz w:val="21"/>
                <w:szCs w:val="21"/>
              </w:rPr>
              <w:t xml:space="preserve">💰  Poverty Alleviation &amp; Livelihoods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D8A63D"/>
                <w:sz w:val="20"/>
                <w:szCs w:val="20"/>
              </w:rPr>
              <w:t xml:space="preserve">8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Jopetnah Micro-Grants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Seed capital and training for small entrepreneurs, especially women and youth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D8A63D"/>
                <w:sz w:val="20"/>
                <w:szCs w:val="20"/>
              </w:rPr>
              <w:t xml:space="preserve">9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Skills-to-Income Pipeline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Vocational training tied directly to job placement or self-employment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D8A63D"/>
                <w:sz w:val="20"/>
                <w:szCs w:val="20"/>
              </w:rPr>
              <w:t xml:space="preserve">10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Cooperative Savings Circles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Savings groups paired with financial literacy training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50"/>
        <w:gridCol w:w="6428"/>
      </w:tblGrid>
      <w:tr>
        <w:tc>
          <w:tcPr>
            <w:tcW w:type="dxa" w:w="9638"/>
            <w:gridSpan w:val="3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7C9473" w:color="auto" w:val="clear"/>
            <w:tcMar>
              <w:top w:type="dxa" w:w="90"/>
              <w:left w:type="dxa" w:w="110"/>
              <w:bottom w:type="dxa" w:w="90"/>
              <w:right w:type="dxa" w:w="9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🌱  Environment &amp; Community Development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C9473"/>
                <w:sz w:val="20"/>
                <w:szCs w:val="20"/>
              </w:rPr>
              <w:t xml:space="preserve">11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Green Neighborhoods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Tree planting, clean-up drives, community gardens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C9473"/>
                <w:sz w:val="20"/>
                <w:szCs w:val="20"/>
              </w:rPr>
              <w:t xml:space="preserve">12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Water &amp; Sanitation Access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Boreholes, filtration units, hygiene education</w:t>
            </w:r>
          </w:p>
        </w:tc>
      </w:tr>
      <w:tr>
        <w:tc>
          <w:tcPr>
            <w:tcW w:type="dxa" w:w="56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shd w:fill="FAF5EC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C9473"/>
                <w:sz w:val="20"/>
                <w:szCs w:val="20"/>
              </w:rPr>
              <w:t xml:space="preserve">13</w:t>
            </w:r>
          </w:p>
        </w:tc>
        <w:tc>
          <w:tcPr>
            <w:tcW w:type="dxa" w:w="2650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2211A"/>
                <w:sz w:val="18"/>
                <w:szCs w:val="18"/>
              </w:rPr>
              <w:t xml:space="preserve">Climate-Smart Livelihoods</w:t>
            </w:r>
          </w:p>
        </w:tc>
        <w:tc>
          <w:tcPr>
            <w:tcW w:type="dxa" w:w="6428"/>
            <w:tcBorders>
              <w:top w:val="single" w:color="D9CDBE" w:sz="4"/>
              <w:left w:val="single" w:color="D9CDBE" w:sz="4"/>
              <w:bottom w:val="single" w:color="D9CDBE" w:sz="4"/>
              <w:right w:val="single" w:color="D9CDBE" w:sz="4"/>
            </w:tcBorders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2B2622"/>
                <w:sz w:val="17"/>
                <w:szCs w:val="17"/>
              </w:rPr>
              <w:t xml:space="preserve">Links environment back to livelihoods — e.g. eco-friendly agribusiness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4623C" w:sz="12"/>
              <w:left w:val="single" w:color="D9CDBE" w:sz="4"/>
              <w:bottom w:val="single" w:color="D9CDBE" w:sz="4"/>
              <w:right w:val="single" w:color="D9CDBE" w:sz="4"/>
            </w:tcBorders>
            <w:shd w:fill="F3E9DC" w:color="auto" w:val="clear"/>
            <w:tcMar>
              <w:top w:type="dxa" w:w="130"/>
              <w:left w:type="dxa" w:w="160"/>
              <w:bottom w:type="dxa" w:w="13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8F4A31"/>
                <w:sz w:val="18"/>
                <w:szCs w:val="18"/>
              </w:rPr>
              <w:t xml:space="preserve">🐾  PLUS ONE CROSS-CUTTING THREAD — not a fifth pillar</w:t>
            </w:r>
          </w:p>
          <w:p>
            <w:r>
              <w:rPr>
                <w:color w:val="2B2622"/>
                <w:sz w:val="17"/>
                <w:szCs w:val="17"/>
              </w:rPr>
              <w:t xml:space="preserve">The </w:t>
            </w:r>
            <w:r>
              <w:rPr>
                <w:b/>
                <w:bCs/>
                <w:color w:val="2B2622"/>
                <w:sz w:val="17"/>
                <w:szCs w:val="17"/>
              </w:rPr>
              <w:t xml:space="preserve">Jopetnah Animal Health Initiative</w:t>
            </w:r>
            <w:r>
              <w:rPr>
                <w:color w:val="2B2622"/>
                <w:sz w:val="17"/>
                <w:szCs w:val="17"/>
              </w:rPr>
              <w:t xml:space="preserve"> (Rabies Zero · Community Animal Health Workers · Schools &amp; Faith Communities · Evidence &amp; Partnerships) runs across all four pillars, protecting families and animals together — vaccination and bite response reinforce Health, school sessions reinforce Education, animal-health-worker enterprise reinforces Livelihoods, and stray-animal and waste work reinforces Environment.</w:t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6B5B4E"/>
          <w:sz w:val="15"/>
          <w:szCs w:val="15"/>
        </w:rPr>
        <w:t xml:space="preserve">As of September 2026: 4 of the 13 pathways carry a published Year‑1 Pilot Goal (Jopetnah Scholars · Community Health Champions · Cooperative Savings Circles · Green Neighborhoods + Water &amp; Sanitation Access). The remaining pathways are part of the long-term model but not yet scoped as active pilots.</w:t>
      </w:r>
    </w:p>
    <w:sectPr>
      <w:headerReference w:type="default" r:id="rId7"/>
      <w:footerReference w:type="default" r:id="rId8"/>
      <w:pgSz w:w="11906" w:h="16838" w:orient="portrait"/>
      <w:pgMar w:top="700" w:right="900" w:bottom="500" w:left="900" w:header="4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DBE" w:sz="4" w:space="4"/>
      </w:pBdr>
      <w:spacing w:before="0"/>
      <w:jc w:val="center"/>
    </w:pPr>
    <w:r>
      <w:rPr>
        <w:color w:val="6B5B4E"/>
        <w:sz w:val="15"/>
        <w:szCs w:val="15"/>
      </w:rPr>
      <w:t xml:space="preserve">thejopetnahfoundation@gmail.com   ·   the-jopetnah-foundation-tjf.github.io/the-jopetnah-foundation   ·   Stage: Founding (legal registration in progress)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"/>
      <w:gridCol w:w="3400"/>
      <w:gridCol w:w="5438"/>
    </w:tblGrid>
    <w:tr>
      <w:tc>
        <w:tcPr>
          <w:tcW w:type="dxa" w:w="800"/>
          <w:tcBorders>
            <w:top w:val="none" w:color="FFFFFF" w:sz="0"/>
            <w:left w:val="none" w:color="FFFFFF" w:sz="0"/>
            <w:bottom w:val="single" w:color="D8A63D" w:sz="8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38150" cy="285750"/>
                <wp:effectExtent t="0" r="0" b="0" l="0"/>
                <wp:docPr id="1" name="tjf-logo" descr="The Jopetnah Foundation logomark" title="TJF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0"/>
          <w:tcBorders>
            <w:top w:val="none" w:color="FFFFFF" w:sz="0"/>
            <w:left w:val="none" w:color="FFFFFF" w:sz="0"/>
            <w:bottom w:val="single" w:color="D8A63D" w:sz="8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Georgia" w:cs="Georgia" w:eastAsia="Georgia" w:hAnsi="Georgia"/>
              <w:b/>
              <w:bCs/>
              <w:color w:val="32211A"/>
              <w:sz w:val="19"/>
              <w:szCs w:val="19"/>
            </w:rPr>
            <w:t xml:space="preserve">The Jopetnah Foundation</w:t>
          </w:r>
        </w:p>
      </w:tc>
      <w:tc>
        <w:tcPr>
          <w:tcW w:type="dxa" w:w="5438"/>
          <w:tcBorders>
            <w:top w:val="none" w:color="FFFFFF" w:sz="0"/>
            <w:left w:val="none" w:color="FFFFFF" w:sz="0"/>
            <w:bottom w:val="single" w:color="D8A63D" w:sz="8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Georgia" w:cs="Georgia" w:eastAsia="Georgia" w:hAnsi="Georgia"/>
              <w:i/>
              <w:iCs/>
              <w:color w:val="8F4A31"/>
              <w:sz w:val="16"/>
              <w:szCs w:val="16"/>
            </w:rPr>
            <w:t xml:space="preserve">Building whole communities, one life at a time.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eeab30e164d9d6085be8c6a7437cb69826167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TJF Program Pathways at a Glance</dc:title>
  <dc:creator>The Jopetnah Foundation</dc:creator>
  <cp:lastModifiedBy>Un-named</cp:lastModifiedBy>
  <cp:revision>1</cp:revision>
  <dcterms:created xsi:type="dcterms:W3CDTF">2026-09-22T07:18:15.152Z</dcterms:created>
  <dcterms:modified xsi:type="dcterms:W3CDTF">2026-09-22T07:18:15.159Z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