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60"/>
        <w:jc w:val="center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GRANT APPLICATION TEMPLATE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B8543E"/>
          <w:sz w:val="32"/>
          <w:szCs w:val="32"/>
        </w:rPr>
        <w:t xml:space="preserve">&amp; ADAPTATION GUIDE</w:t>
      </w:r>
    </w:p>
    <w:p>
      <w:pPr>
        <w:spacing w:after="200"/>
        <w:jc w:val="center"/>
      </w:pPr>
      <w:r>
        <w:rPr>
          <w:b/>
          <w:bCs/>
          <w:color w:val="222222"/>
          <w:sz w:val="26"/>
          <w:szCs w:val="26"/>
        </w:rPr>
        <w:t xml:space="preserve">THE JOPETNAH FOUNDATION  ( TJF )</w:t>
      </w:r>
    </w:p>
    <w:p>
      <w:pPr>
        <w:spacing w:after="500"/>
        <w:jc w:val="center"/>
      </w:pPr>
      <w:r>
        <w:rPr>
          <w:i/>
          <w:iCs/>
          <w:color w:val="5A5A5A"/>
          <w:sz w:val="22"/>
          <w:szCs w:val="22"/>
        </w:rPr>
        <w:t xml:space="preserve">A master narrative bank for local and international grant applications</w:t>
      </w:r>
    </w:p>
    <w:p>
      <w:pPr>
        <w:spacing w:after="100"/>
        <w:jc w:val="center"/>
      </w:pPr>
      <w:r>
        <w:rPr>
          <w:color w:val="5A5A5A"/>
          <w:sz w:val="20"/>
          <w:szCs w:val="20"/>
        </w:rPr>
        <w:t xml:space="preserve">Kampala, Republic of Uganda  ·  2026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This is a reusable template, not a single funder's form. Most grant-makers — local and international — provide their own application portal or format with specific word limits. Use this document as source content to adapt into whatever form a specific funder requires. Bracketed text in [RULE-COLORED ITALICS] marks content to be filled in per application; sample language elsewhere can be used directly or adapted.</w:t>
      </w:r>
    </w:p>
    <w:p>
      <w:pPr>
        <w:pStyle w:val="Heading1"/>
        <w:pageBreakBefore/>
      </w:pPr>
      <w:r>
        <w:rPr>
          <w:b/>
          <w:bCs/>
          <w:color w:val="1E2761"/>
        </w:rPr>
        <w:t xml:space="preserve">Table of Contents</w:t>
      </w:r>
    </w:p>
    <w:p>
      <w:pPr>
        <w:spacing w:after="110"/>
      </w:pPr>
      <w:hyperlink w:history="1" w:anchor="0-how-to-use-this-template">
        <w:r>
          <w:rPr>
            <w:color w:val="1E2761"/>
            <w:u w:val="single" w:color="1E2761"/>
          </w:rPr>
          <w:t xml:space="preserve">0. How to Use This Template</w:t>
        </w:r>
      </w:hyperlink>
    </w:p>
    <w:p>
      <w:pPr>
        <w:spacing w:after="110"/>
      </w:pPr>
      <w:hyperlink w:history="1" w:anchor="1-cover-face-sheet">
        <w:r>
          <w:rPr>
            <w:color w:val="1E2761"/>
            <w:u w:val="single" w:color="1E2761"/>
          </w:rPr>
          <w:t xml:space="preserve">1. Cover / Face Sheet</w:t>
        </w:r>
      </w:hyperlink>
    </w:p>
    <w:p>
      <w:pPr>
        <w:spacing w:after="110"/>
      </w:pPr>
      <w:hyperlink w:history="1" w:anchor="2-executive-summary">
        <w:r>
          <w:rPr>
            <w:color w:val="1E2761"/>
            <w:u w:val="single" w:color="1E2761"/>
          </w:rPr>
          <w:t xml:space="preserve">2. Executive Summary</w:t>
        </w:r>
      </w:hyperlink>
    </w:p>
    <w:p>
      <w:pPr>
        <w:spacing w:after="110"/>
      </w:pPr>
      <w:hyperlink w:history="1" w:anchor="3-organizational-background-and-capacity">
        <w:r>
          <w:rPr>
            <w:color w:val="1E2761"/>
            <w:u w:val="single" w:color="1E2761"/>
          </w:rPr>
          <w:t xml:space="preserve">3. Organizational Background and Capacity</w:t>
        </w:r>
      </w:hyperlink>
    </w:p>
    <w:p>
      <w:pPr>
        <w:spacing w:after="110"/>
      </w:pPr>
      <w:hyperlink w:history="1" w:anchor="4-statement-of-need">
        <w:r>
          <w:rPr>
            <w:color w:val="1E2761"/>
            <w:u w:val="single" w:color="1E2761"/>
          </w:rPr>
          <w:t xml:space="preserve">4. Statement of Need</w:t>
        </w:r>
      </w:hyperlink>
    </w:p>
    <w:p>
      <w:pPr>
        <w:spacing w:after="110"/>
      </w:pPr>
      <w:hyperlink w:history="1" w:anchor="5-project-description">
        <w:r>
          <w:rPr>
            <w:color w:val="1E2761"/>
            <w:u w:val="single" w:color="1E2761"/>
          </w:rPr>
          <w:t xml:space="preserve">5. Project Description</w:t>
        </w:r>
      </w:hyperlink>
    </w:p>
    <w:p>
      <w:pPr>
        <w:spacing w:after="110"/>
      </w:pPr>
      <w:hyperlink w:history="1" w:anchor="6-theory-of-change">
        <w:r>
          <w:rPr>
            <w:color w:val="1E2761"/>
            <w:u w:val="single" w:color="1E2761"/>
          </w:rPr>
          <w:t xml:space="preserve">6. Theory of Change</w:t>
        </w:r>
      </w:hyperlink>
    </w:p>
    <w:p>
      <w:pPr>
        <w:spacing w:after="110"/>
      </w:pPr>
      <w:hyperlink w:history="1" w:anchor="7-target-beneficiaries">
        <w:r>
          <w:rPr>
            <w:color w:val="1E2761"/>
            <w:u w:val="single" w:color="1E2761"/>
          </w:rPr>
          <w:t xml:space="preserve">7. Target Beneficiaries</w:t>
        </w:r>
      </w:hyperlink>
    </w:p>
    <w:p>
      <w:pPr>
        <w:spacing w:after="110"/>
      </w:pPr>
      <w:hyperlink w:history="1" w:anchor="8-monitoring-evaluation-and-learning-plan">
        <w:r>
          <w:rPr>
            <w:color w:val="1E2761"/>
            <w:u w:val="single" w:color="1E2761"/>
          </w:rPr>
          <w:t xml:space="preserve">8. Monitoring, Evaluation and Learning Plan</w:t>
        </w:r>
      </w:hyperlink>
    </w:p>
    <w:p>
      <w:pPr>
        <w:spacing w:after="110"/>
      </w:pPr>
      <w:hyperlink w:history="1" w:anchor="9-budget-summary-and-narrative">
        <w:r>
          <w:rPr>
            <w:color w:val="1E2761"/>
            <w:u w:val="single" w:color="1E2761"/>
          </w:rPr>
          <w:t xml:space="preserve">9. Budget Summary and Narrative</w:t>
        </w:r>
      </w:hyperlink>
    </w:p>
    <w:p>
      <w:pPr>
        <w:spacing w:after="110"/>
      </w:pPr>
      <w:hyperlink w:history="1" w:anchor="10-sustainability-plan">
        <w:r>
          <w:rPr>
            <w:color w:val="1E2761"/>
            <w:u w:val="single" w:color="1E2761"/>
          </w:rPr>
          <w:t xml:space="preserve">10. Sustainability Plan</w:t>
        </w:r>
      </w:hyperlink>
    </w:p>
    <w:p>
      <w:pPr>
        <w:spacing w:after="110"/>
      </w:pPr>
      <w:hyperlink w:history="1" w:anchor="11-governance-and-compliance-statement">
        <w:r>
          <w:rPr>
            <w:color w:val="1E2761"/>
            <w:u w:val="single" w:color="1E2761"/>
          </w:rPr>
          <w:t xml:space="preserve">11. Governance and Compliance Statement</w:t>
        </w:r>
      </w:hyperlink>
    </w:p>
    <w:p>
      <w:pPr>
        <w:spacing w:after="110"/>
      </w:pPr>
      <w:hyperlink w:history="1" w:anchor="12-risk-management">
        <w:r>
          <w:rPr>
            <w:color w:val="1E2761"/>
            <w:u w:val="single" w:color="1E2761"/>
          </w:rPr>
          <w:t xml:space="preserve">12. Risk Management</w:t>
        </w:r>
      </w:hyperlink>
    </w:p>
    <w:p>
      <w:pPr>
        <w:spacing w:after="110"/>
      </w:pPr>
      <w:hyperlink w:history="1" w:anchor="13-appendices-checklist">
        <w:r>
          <w:rPr>
            <w:color w:val="1E2761"/>
            <w:u w:val="single" w:color="1E2761"/>
          </w:rPr>
          <w:t xml:space="preserve">13. Appendices Checklist</w:t>
        </w:r>
      </w:hyperlink>
    </w:p>
    <w:p>
      <w:pPr>
        <w:spacing w:after="110"/>
      </w:pPr>
      <w:hyperlink w:history="1" w:anchor="14-adapting-for-local-vs-international-funders">
        <w:r>
          <w:rPr>
            <w:color w:val="1E2761"/>
            <w:u w:val="single" w:color="1E2761"/>
          </w:rPr>
          <w:t xml:space="preserve">14. Adapting for Local vs. International Funders</w:t>
        </w:r>
      </w:hyperlink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0-how-to-use-this-template" w:id="1000"/>
      <w:r>
        <w:rPr>
          <w:b/>
          <w:bCs/>
          <w:color w:val="1E2761"/>
        </w:rPr>
        <w:t xml:space="preserve">0. How to Use This Template</w:t>
      </w:r>
      <w:bookmarkEnd w:id="1000"/>
    </w:p>
    <w:p>
      <w:pPr>
        <w:spacing w:after="90"/>
        <w:ind w:left="431"/>
      </w:pPr>
      <w:r>
        <w:rPr>
          <w:color w:val="222222"/>
        </w:rPr>
        <w:t xml:space="preserve">•  Copy the relevant sections into the specific funder's application form or portal — most funders have their own structure and strict word/character limits, so treat this as source material, not a form to submit as-is.</w:t>
      </w:r>
    </w:p>
    <w:p>
      <w:pPr>
        <w:spacing w:after="90"/>
        <w:ind w:left="431"/>
      </w:pPr>
      <w:r>
        <w:rPr>
          <w:color w:val="222222"/>
        </w:rPr>
        <w:t xml:space="preserve">•  Fill every bracketed placeholder before submission. A proposal with visible template brackets is an instant credibility loss.</w:t>
      </w:r>
    </w:p>
    <w:p>
      <w:pPr>
        <w:spacing w:after="90"/>
        <w:ind w:left="431"/>
      </w:pPr>
      <w:r>
        <w:rPr>
          <w:color w:val="222222"/>
        </w:rPr>
        <w:t xml:space="preserve">•  For a first local-funder application, Sections 1–5, 9, and 13 are usually sufficient. For international/institutional funders, expect to need every section, especially 6, 8, and 12.</w:t>
      </w:r>
    </w:p>
    <w:p>
      <w:pPr>
        <w:spacing w:after="90"/>
        <w:ind w:left="431"/>
      </w:pPr>
      <w:r>
        <w:rPr>
          <w:color w:val="222222"/>
        </w:rPr>
        <w:t xml:space="preserve">•  Read Section 14 before choosing which funders to approach — it's the most important section in this document for a founding-stage organization.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-cover-face-sheet" w:id="1001"/>
      <w:r>
        <w:rPr>
          <w:b/>
          <w:bCs/>
          <w:color w:val="1E2761"/>
        </w:rPr>
        <w:t xml:space="preserve">1. Cover / Face Sheet</w:t>
      </w:r>
      <w:bookmarkEnd w:id="1001"/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Organization Name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Jopetnah Foundation (TJF)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Legal Status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[Registration status / certificate number — insert once registration complete]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Year Founded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Headquarters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Kampala, Republic of Uganda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[Executive Director / authorized signatory name]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partnerships@jopetnahfoundation.org*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project title]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Pillar(s) Addressed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[Education / Health / Livelihoods / Environment — select]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Amount Requested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amount and currency]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Project Duration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start and end dates]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Funding Program Applied To</w:t>
            </w:r>
          </w:p>
        </w:tc>
        <w:tc>
          <w:tcPr>
            <w:tcW w:type="dxa" w:w="61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funder / call name]</w:t>
            </w:r>
          </w:p>
        </w:tc>
      </w:tr>
    </w:tbl>
    <w:p>
      <w:pPr>
        <w:spacing w:before="160"/>
      </w:pPr>
      <w:r>
        <w:rPr>
          <w:i/>
          <w:iCs/>
          <w:color w:val="5A5A5A"/>
          <w:sz w:val="19"/>
          <w:szCs w:val="19"/>
        </w:rPr>
        <w:t xml:space="preserve">* Domain and dedicated email in progress — see Section 0 note in the Foundation Profile for current contact channel.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2-executive-summary" w:id="1002"/>
      <w:r>
        <w:rPr>
          <w:b/>
          <w:bCs/>
          <w:color w:val="1E2761"/>
        </w:rPr>
        <w:t xml:space="preserve">2. Executive Summary</w:t>
      </w:r>
      <w:bookmarkEnd w:id="1002"/>
    </w:p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Sample template paragraph — adapt to the specific project and funder: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"[PROJECT TITLE] is a [X]-month initiative by The Jopetnah Foundation (TJF) to [specific objective, e.g., 'expand access to primary health outreach'] for [target group, e.g., '500 households'] in [location]. Through TJF's integrated four-pillar model, this project will [core intervention], reaching an estimated [X] direct beneficiaries and [X] indirect beneficiaries. TJF requests [amount] from [funder name] to fund [core budget use, e.g., 'community health worker salaries and outreach supplies'] over [duration]."</w:t>
      </w:r>
    </w:p>
    <w:p>
      <w:pPr>
        <w:spacing w:after="90"/>
        <w:ind w:left="431"/>
      </w:pPr>
      <w:r>
        <w:rPr>
          <w:color w:val="222222"/>
        </w:rPr>
        <w:t xml:space="preserve">•  Keep this to one paragraph (150–250 words) even where the funder allows more — reviewers read this first and decide whether to keep reading.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3-organizational-background-and-capacity" w:id="1003"/>
      <w:r>
        <w:rPr>
          <w:b/>
          <w:bCs/>
          <w:color w:val="1E2761"/>
        </w:rPr>
        <w:t xml:space="preserve">3. Organizational Background and Capacity</w:t>
      </w:r>
      <w:bookmarkEnd w:id="1003"/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Mission and Model</w:t>
      </w:r>
    </w:p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The Jopetnah Foundation is a founding-stage nonprofit advancing education, health, livelihoods, and environmental resilience in underserved communities — treating the whole family, not a single issue, as our unit of change. Rather than fund a single-issue program, TJF channels each gift through all four pillars for the same family or community.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Governance Snapshot</w:t>
      </w:r>
    </w:p>
    <w:p>
      <w:pPr>
        <w:spacing w:after="90"/>
        <w:ind w:left="431"/>
      </w:pPr>
      <w:r>
        <w:rPr>
          <w:color w:val="222222"/>
        </w:rPr>
        <w:t xml:space="preserve">•  Independent Board of Trustees providing fiduciary oversight</w:t>
      </w:r>
    </w:p>
    <w:p>
      <w:pPr>
        <w:spacing w:after="90"/>
        <w:ind w:left="431"/>
      </w:pPr>
      <w:r>
        <w:rPr>
          <w:color w:val="222222"/>
        </w:rPr>
        <w:t xml:space="preserve">•  Five governance documents — Constitution, Board Charter, Conflict of Interest, Whistleblower, and Safeguarding policies — reviewed, approved, and published in full (see Section 11 and Appendices)</w:t>
      </w:r>
    </w:p>
    <w:p>
      <w:pPr>
        <w:spacing w:after="90"/>
        <w:ind w:left="431"/>
      </w:pPr>
      <w:r>
        <w:rPr>
          <w:color w:val="222222"/>
        </w:rPr>
        <w:t xml:space="preserve">•  Documented financial management and procurement procedures (TJF Operations Manual)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Relevant Experience</w:t>
      </w:r>
    </w:p>
    <w:p>
      <w:pPr>
        <w:spacing w:after="130"/>
      </w:pPr>
      <w:r>
        <w:rPr>
          <w:b/>
          <w:bCs/>
          <w:i/>
          <w:iCs/>
          <w:color w:val="B8543E"/>
        </w:rPr>
        <w:t xml:space="preserve">[Insert any founding team members' prior sector experience, prior programs delivered under Jopetnah International Limited's CSR activity, or other track record available — international funders weigh this heavily even at founding stage]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4-statement-of-need" w:id="1004"/>
      <w:r>
        <w:rPr>
          <w:b/>
          <w:bCs/>
          <w:color w:val="1E2761"/>
        </w:rPr>
        <w:t xml:space="preserve">4. Statement of Need</w:t>
      </w:r>
      <w:bookmarkEnd w:id="1004"/>
    </w:p>
    <w:p>
      <w:pPr>
        <w:spacing w:after="90"/>
        <w:ind w:left="431"/>
      </w:pPr>
      <w:r>
        <w:rPr>
          <w:color w:val="222222"/>
        </w:rPr>
        <w:t xml:space="preserve">•  Open with specific, cited local data — not general statements. "X% of households in [district] report..." is far stronger than "many families struggle."</w:t>
      </w:r>
    </w:p>
    <w:p>
      <w:pPr>
        <w:spacing w:after="90"/>
        <w:ind w:left="431"/>
      </w:pPr>
      <w:r>
        <w:rPr>
          <w:color w:val="222222"/>
        </w:rPr>
        <w:t xml:space="preserve">•  Connect the need directly to the specific pillar(s) this project addresses — avoid restating all four pillars if the project only addresses one or two.</w:t>
      </w:r>
    </w:p>
    <w:p>
      <w:pPr>
        <w:spacing w:after="90"/>
        <w:ind w:left="431"/>
      </w:pPr>
      <w:r>
        <w:rPr>
          <w:color w:val="222222"/>
        </w:rPr>
        <w:t xml:space="preserve">•  Explain why TJF's integrated model is specifically suited to this need, not just that a need exists.</w:t>
      </w:r>
    </w:p>
    <w:p>
      <w:pPr>
        <w:spacing w:after="130"/>
      </w:pPr>
      <w:r>
        <w:rPr>
          <w:b/>
          <w:bCs/>
          <w:i/>
          <w:iCs/>
          <w:color w:val="B8543E"/>
        </w:rPr>
        <w:t xml:space="preserve">[Insert 2–3 paragraphs: local context, supporting data with citations, and the specific gap this project fills]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5-project-description" w:id="1005"/>
      <w:r>
        <w:rPr>
          <w:b/>
          <w:bCs/>
          <w:color w:val="1E2761"/>
        </w:rPr>
        <w:t xml:space="preserve">5. Project Description</w:t>
      </w:r>
      <w:bookmarkEnd w:id="1005"/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Goal</w:t>
      </w:r>
    </w:p>
    <w:p>
      <w:pPr>
        <w:spacing w:after="130"/>
      </w:pPr>
      <w:r>
        <w:rPr>
          <w:b/>
          <w:bCs/>
          <w:i/>
          <w:iCs/>
          <w:color w:val="B8543E"/>
        </w:rPr>
        <w:t xml:space="preserve">[Insert one overarching goal statement]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Objectives</w:t>
      </w:r>
    </w:p>
    <w:p>
      <w:pPr>
        <w:spacing w:after="130"/>
      </w:pPr>
      <w:r>
        <w:rPr>
          <w:b/>
          <w:bCs/>
          <w:i/>
          <w:iCs/>
          <w:color w:val="B8543E"/>
        </w:rPr>
        <w:t xml:space="preserve">[Insert 2–4 SMART objectives (Specific, Measurable, Achievable, Relevant, Time-bound)]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Activities</w:t>
      </w:r>
    </w:p>
    <w:p>
      <w:pPr>
        <w:spacing w:after="130"/>
      </w:pPr>
      <w:r>
        <w:rPr>
          <w:b/>
          <w:bCs/>
          <w:i/>
          <w:iCs/>
          <w:color w:val="B8543E"/>
        </w:rPr>
        <w:t xml:space="preserve">[Insert activities mapped to each objective]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8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20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Phase 1: Mobilization</w:t>
            </w:r>
          </w:p>
        </w:tc>
        <w:tc>
          <w:tcPr>
            <w:tcW w:type="dxa" w:w="48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0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25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Phase 2: Implementation</w:t>
            </w:r>
          </w:p>
        </w:tc>
        <w:tc>
          <w:tcPr>
            <w:tcW w:type="dxa" w:w="485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0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Phase 3: Close-out &amp; Reporting</w:t>
            </w:r>
          </w:p>
        </w:tc>
        <w:tc>
          <w:tcPr>
            <w:tcW w:type="dxa" w:w="48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0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</w:tbl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6-theory-of-change" w:id="1006"/>
      <w:r>
        <w:rPr>
          <w:b/>
          <w:bCs/>
          <w:color w:val="1E2761"/>
        </w:rPr>
        <w:t xml:space="preserve">6. Theory of Change</w:t>
      </w:r>
      <w:bookmarkEnd w:id="1006"/>
    </w:p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International and institutional funders in particular expect this. Keep it on one page, one row per pillar addressed: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19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9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  <w:tc>
          <w:tcPr>
            <w:tcW w:type="dxa" w:w="19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Outcomes</w:t>
            </w:r>
          </w:p>
        </w:tc>
        <w:tc>
          <w:tcPr>
            <w:tcW w:type="dxa" w:w="18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[Funding, staff, partners]</w:t>
            </w:r>
          </w:p>
        </w:tc>
        <w:tc>
          <w:tcPr>
            <w:tcW w:type="dxa" w:w="19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[What TJF does]</w:t>
            </w:r>
          </w:p>
        </w:tc>
        <w:tc>
          <w:tcPr>
            <w:tcW w:type="dxa" w:w="19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[Immediate, countable results]</w:t>
            </w:r>
          </w:p>
        </w:tc>
        <w:tc>
          <w:tcPr>
            <w:tcW w:type="dxa" w:w="19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[Medium-term change]</w:t>
            </w:r>
          </w:p>
        </w:tc>
        <w:tc>
          <w:tcPr>
            <w:tcW w:type="dxa" w:w="18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[Long-term, whole-family change]</w:t>
            </w:r>
          </w:p>
        </w:tc>
      </w:tr>
    </w:tbl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7-target-beneficiaries" w:id="1007"/>
      <w:r>
        <w:rPr>
          <w:b/>
          <w:bCs/>
          <w:color w:val="1E2761"/>
        </w:rPr>
        <w:t xml:space="preserve">7. Target Beneficiaries</w:t>
      </w:r>
      <w:bookmarkEnd w:id="1007"/>
    </w:p>
    <w:p>
      <w:pPr>
        <w:spacing w:after="90"/>
        <w:ind w:left="431"/>
      </w:pPr>
      <w:r>
        <w:rPr>
          <w:color w:val="222222"/>
        </w:rPr>
        <w:t xml:space="preserve">•  Direct beneficiaries: [insert number and description]</w:t>
      </w:r>
    </w:p>
    <w:p>
      <w:pPr>
        <w:spacing w:after="90"/>
        <w:ind w:left="431"/>
      </w:pPr>
      <w:r>
        <w:rPr>
          <w:color w:val="222222"/>
        </w:rPr>
        <w:t xml:space="preserve">•  Indirect beneficiaries (household/community members): [insert estimate]</w:t>
      </w:r>
    </w:p>
    <w:p>
      <w:pPr>
        <w:spacing w:after="90"/>
        <w:ind w:left="431"/>
      </w:pPr>
      <w:r>
        <w:rPr>
          <w:color w:val="222222"/>
        </w:rPr>
        <w:t xml:space="preserve">•  Selection criteria: [insert — e.g., geographic area, income threshold, referral pathway]</w:t>
      </w:r>
    </w:p>
    <w:p>
      <w:pPr>
        <w:spacing w:after="90"/>
        <w:ind w:left="431"/>
      </w:pPr>
      <w:r>
        <w:rPr>
          <w:color w:val="222222"/>
        </w:rPr>
        <w:t xml:space="preserve">•  Inclusion approach: without regard to religion, ethnicity, gender, or political affiliation, per TJF's Constitution Article 3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8-monitoring-evaluation-and-learning-plan" w:id="1008"/>
      <w:r>
        <w:rPr>
          <w:b/>
          <w:bCs/>
          <w:color w:val="1E2761"/>
        </w:rPr>
        <w:t xml:space="preserve">8. Monitoring, Evaluation and Learning Plan</w:t>
      </w:r>
      <w:bookmarkEnd w:id="1008"/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16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6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6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6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indicator]</w:t>
            </w:r>
          </w:p>
        </w:tc>
        <w:tc>
          <w:tcPr>
            <w:tcW w:type="dxa" w:w="16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16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16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16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</w:tbl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Cross-reference: TJF's Operations Manual Section 6.2 sets out the internal monthly program-reporting procedure that feeds this plan.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9-budget-summary-and-narrative" w:id="1009"/>
      <w:r>
        <w:rPr>
          <w:b/>
          <w:bCs/>
          <w:color w:val="1E2761"/>
        </w:rPr>
        <w:t xml:space="preserve">9. Budget Summary and Narrative</w:t>
      </w:r>
      <w:bookmarkEnd w:id="1009"/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3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 Category</w:t>
            </w:r>
          </w:p>
        </w:tc>
        <w:tc>
          <w:tcPr>
            <w:tcW w:type="dxa" w:w="25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5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3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Personnel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435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Program Activities / Supplies</w:t>
            </w:r>
          </w:p>
        </w:tc>
        <w:tc>
          <w:tcPr>
            <w:tcW w:type="dxa" w:w="25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5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43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Monitoring &amp; Evaluation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435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Administration / Overhead</w:t>
            </w:r>
          </w:p>
        </w:tc>
        <w:tc>
          <w:tcPr>
            <w:tcW w:type="dxa" w:w="25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 — most funders cap this at 10–15%]</w:t>
            </w:r>
          </w:p>
        </w:tc>
        <w:tc>
          <w:tcPr>
            <w:tcW w:type="dxa" w:w="25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4350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[Insert]</w:t>
            </w:r>
          </w:p>
        </w:tc>
        <w:tc>
          <w:tcPr>
            <w:tcW w:type="dxa" w:w="2500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Budget narrative: briefly justify each line item in one to two sentences — reviewers reject budgets that list only numbers with no explanation of what they buy.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0-sustainability-plan" w:id="1010"/>
      <w:r>
        <w:rPr>
          <w:b/>
          <w:bCs/>
          <w:color w:val="1E2761"/>
        </w:rPr>
        <w:t xml:space="preserve">10. Sustainability Plan</w:t>
      </w:r>
      <w:bookmarkEnd w:id="1010"/>
    </w:p>
    <w:p>
      <w:pPr>
        <w:spacing w:after="90"/>
        <w:ind w:left="431"/>
      </w:pPr>
      <w:r>
        <w:rPr>
          <w:color w:val="222222"/>
        </w:rPr>
        <w:t xml:space="preserve">•  How will benefits continue after the grant period ends? [Insert — e.g., community ownership, local government handover, revenue-generating component]</w:t>
      </w:r>
    </w:p>
    <w:p>
      <w:pPr>
        <w:spacing w:after="90"/>
        <w:ind w:left="431"/>
      </w:pPr>
      <w:r>
        <w:rPr>
          <w:color w:val="222222"/>
        </w:rPr>
        <w:t xml:space="preserve">•  What other funding sources support this work beyond this single grant? [Insert — diversified funding reduces perceived risk to the funder]</w:t>
      </w:r>
    </w:p>
    <w:p>
      <w:pPr>
        <w:spacing w:after="90"/>
        <w:ind w:left="431"/>
      </w:pPr>
      <w:r>
        <w:rPr>
          <w:color w:val="222222"/>
        </w:rPr>
        <w:t xml:space="preserve">•  Exit or transition plan, if applicable: [Insert]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1-governance-and-compliance-statement" w:id="1011"/>
      <w:r>
        <w:rPr>
          <w:b/>
          <w:bCs/>
          <w:color w:val="1E2761"/>
        </w:rPr>
        <w:t xml:space="preserve">11. Governance and Compliance Statement</w:t>
      </w:r>
      <w:bookmarkEnd w:id="1011"/>
    </w:p>
    <w:p>
      <w:pPr>
        <w:spacing w:after="130"/>
      </w:pPr>
      <w:r>
        <w:rPr>
          <w:b w:val="false"/>
          <w:bCs w:val="false"/>
          <w:i w:val="false"/>
          <w:iCs w:val="false"/>
          <w:color w:val="222222"/>
        </w:rPr>
        <w:t xml:space="preserve">Standard paragraph — use as-is or adapt: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"TJF's governance framework — Constitution, Board Charter, Conflict of Interest Policy, Whistleblower Policy, and Safeguarding Policy — has been reviewed and approved by our founding Board of Trustees and is available in full for due-diligence review. Financial management follows documented procedures set out in TJF's Operations Manual, including segregated approval authority and monthly reconciliation."</w:t>
      </w:r>
    </w:p>
    <w:p>
      <w:pPr>
        <w:spacing w:after="90"/>
        <w:ind w:left="431"/>
      </w:pPr>
      <w:r>
        <w:rPr>
          <w:color w:val="222222"/>
        </w:rPr>
        <w:t xml:space="preserve">•  Attach or link the governance bundle here (see Appendices).</w:t>
      </w:r>
    </w:p>
    <w:p>
      <w:pPr>
        <w:spacing w:after="90"/>
        <w:ind w:left="431"/>
      </w:pPr>
      <w:r>
        <w:rPr>
          <w:color w:val="222222"/>
        </w:rPr>
        <w:t xml:space="preserve">•  If the funder requires a specific safeguarding/PSEA (protection from sexual exploitation and abuse) compliance statement, TJF's Safeguarding Policy Articles 4–9 cover the substance — extract the relevant clauses rather than rewriting from scratch.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2-risk-management" w:id="1012"/>
      <w:r>
        <w:rPr>
          <w:b/>
          <w:bCs/>
          <w:color w:val="1E2761"/>
        </w:rPr>
        <w:t xml:space="preserve">12. Risk Management</w:t>
      </w:r>
      <w:bookmarkEnd w:id="1012"/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3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[e.g., Delayed community mobilization]</w:t>
            </w:r>
          </w:p>
        </w:tc>
        <w:tc>
          <w:tcPr>
            <w:tcW w:type="dxa" w:w="180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  <w:tc>
          <w:tcPr>
            <w:tcW w:type="dxa" w:w="4350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/>
                <w:iCs/>
                <w:color w:val="B8543E"/>
                <w:sz w:val="19"/>
                <w:szCs w:val="19"/>
              </w:rPr>
              <w:t xml:space="preserve">[Insert]</w:t>
            </w:r>
          </w:p>
        </w:tc>
      </w:tr>
      <w:tr>
        <w:tc>
          <w:tcPr>
            <w:tcW w:type="dxa" w:w="32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Founding-stage capacity constraints</w:t>
            </w:r>
          </w:p>
        </w:tc>
        <w:tc>
          <w:tcPr>
            <w:tcW w:type="dxa" w:w="180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shd w:fill="F1E9DD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Phased implementation; Executive Director directly oversees first cohort of activity before delegating</w:t>
            </w:r>
          </w:p>
        </w:tc>
      </w:tr>
    </w:tbl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3-appendices-checklist" w:id="1013"/>
      <w:r>
        <w:rPr>
          <w:b/>
          <w:bCs/>
          <w:color w:val="1E2761"/>
        </w:rPr>
        <w:t xml:space="preserve">13. Appendices Checklist</w:t>
      </w:r>
      <w:bookmarkEnd w:id="1013"/>
    </w:p>
    <w:p>
      <w:pPr>
        <w:spacing w:after="90"/>
        <w:ind w:left="431"/>
      </w:pPr>
      <w:r>
        <w:rPr>
          <w:color w:val="222222"/>
        </w:rPr>
        <w:t xml:space="preserve">•  NGO registration certificate — [pending; insert once available]</w:t>
      </w:r>
    </w:p>
    <w:p>
      <w:pPr>
        <w:spacing w:after="90"/>
        <w:ind w:left="431"/>
      </w:pPr>
      <w:r>
        <w:rPr>
          <w:color w:val="222222"/>
        </w:rPr>
        <w:t xml:space="preserve">•  Governance document bundle (Constitution, Board Charter, Conflict of Interest, Whistleblower, Safeguarding Policies)</w:t>
      </w:r>
    </w:p>
    <w:p>
      <w:pPr>
        <w:spacing w:after="90"/>
        <w:ind w:left="431"/>
      </w:pPr>
      <w:r>
        <w:rPr>
          <w:color w:val="222222"/>
        </w:rPr>
        <w:t xml:space="preserve">•  TJF Foundation Profile (organizational one-pager)</w:t>
      </w:r>
    </w:p>
    <w:p>
      <w:pPr>
        <w:spacing w:after="90"/>
        <w:ind w:left="431"/>
      </w:pPr>
      <w:r>
        <w:rPr>
          <w:color w:val="222222"/>
        </w:rPr>
        <w:t xml:space="preserve">•  Most recent audited financial statements or bank statements — [not yet available at founding stage; note this transparently rather than omit]</w:t>
      </w:r>
    </w:p>
    <w:p>
      <w:pPr>
        <w:spacing w:after="90"/>
        <w:ind w:left="431"/>
      </w:pPr>
      <w:r>
        <w:rPr>
          <w:color w:val="222222"/>
        </w:rPr>
        <w:t xml:space="preserve">•  List of current Board of Trustees with brief bios</w:t>
      </w:r>
    </w:p>
    <w:p>
      <w:pPr>
        <w:spacing w:after="90"/>
        <w:ind w:left="431"/>
      </w:pPr>
      <w:r>
        <w:rPr>
          <w:color w:val="222222"/>
        </w:rPr>
        <w:t xml:space="preserve">•  Letters of support or partnership, if any — [insert or omit]</w:t>
      </w:r>
    </w:p>
    <w:p>
      <w:pPr>
        <w:spacing w:after="90"/>
        <w:ind w:left="431"/>
      </w:pPr>
      <w:r>
        <w:rPr>
          <w:color w:val="222222"/>
        </w:rPr>
        <w:t xml:space="preserve">•  CVs of key project personnel, if required by the specific funder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bookmarkStart w:name="14-adapting-for-local-vs-international-funders" w:id="1014"/>
      <w:r>
        <w:rPr>
          <w:b/>
          <w:bCs/>
          <w:color w:val="1E2761"/>
        </w:rPr>
        <w:t xml:space="preserve">14. Adapting for Local vs. International Funders</w:t>
      </w:r>
      <w:bookmarkEnd w:id="1014"/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Local (Uganda-based) Funders</w:t>
      </w:r>
    </w:p>
    <w:p>
      <w:pPr>
        <w:spacing w:after="90"/>
        <w:ind w:left="431"/>
      </w:pPr>
      <w:r>
        <w:rPr>
          <w:color w:val="222222"/>
        </w:rPr>
        <w:t xml:space="preserve">•  Often accept a shorter concept note first (2–4 pages) rather than a full proposal — Sections 1–5, 9, and 13 above usually cover it</w:t>
      </w:r>
    </w:p>
    <w:p>
      <w:pPr>
        <w:spacing w:after="90"/>
        <w:ind w:left="431"/>
      </w:pPr>
      <w:r>
        <w:rPr>
          <w:color w:val="222222"/>
        </w:rPr>
        <w:t xml:space="preserve">•  Local government, council, and community relationships carry real weight — reference any existing local engagement</w:t>
      </w:r>
    </w:p>
    <w:p>
      <w:pPr>
        <w:spacing w:after="90"/>
        <w:ind w:left="431"/>
      </w:pPr>
      <w:r>
        <w:rPr>
          <w:color w:val="222222"/>
        </w:rPr>
        <w:t xml:space="preserve">•  NGO registration certificate and local tax compliance documents are typically checked early — have these ready before local corporate CSR conversations</w:t>
      </w:r>
    </w:p>
    <w:p>
      <w:pPr>
        <w:spacing w:after="90"/>
        <w:ind w:left="431"/>
      </w:pPr>
      <w:r>
        <w:rPr>
          <w:color w:val="222222"/>
        </w:rPr>
        <w:t xml:space="preserve">•  Local corporate CSR programs (including Jopetnah International Limited's own sector network) are realistic near-term targets given TJF's existing relationship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International / Institutional Funders</w:t>
      </w:r>
    </w:p>
    <w:p>
      <w:pPr>
        <w:spacing w:after="90"/>
        <w:ind w:left="431"/>
      </w:pPr>
      <w:r>
        <w:rPr>
          <w:color w:val="222222"/>
        </w:rPr>
        <w:t xml:space="preserve">•  Expect a full logframe or Theory of Change, detailed M&amp;E with baseline/target indicators, and an explicit safeguarding/PSEA compliance statement</w:t>
      </w:r>
    </w:p>
    <w:p>
      <w:pPr>
        <w:spacing w:after="90"/>
        <w:ind w:left="431"/>
      </w:pPr>
      <w:r>
        <w:rPr>
          <w:color w:val="222222"/>
        </w:rPr>
        <w:t xml:space="preserve">•  Multi-stage process is standard: concept note → full proposal → due-diligence review — budget significant lead time (often 3–6 months minimum)</w:t>
      </w:r>
    </w:p>
    <w:p>
      <w:pPr>
        <w:spacing w:after="90"/>
        <w:ind w:left="431"/>
      </w:pPr>
      <w:r>
        <w:rPr>
          <w:color w:val="222222"/>
        </w:rPr>
        <w:t xml:space="preserve">•  Most major restricted grants (large bilateral agencies, big-name foundations) require 2–3 years of operating history and audited financial statements — TJF does not yet meet this bar and should not spend limited capacity chasing these calls in year one</w:t>
      </w:r>
    </w:p>
    <w:p>
      <w:pPr>
        <w:pStyle w:val="Heading2"/>
        <w:spacing w:after="110" w:before="220"/>
      </w:pPr>
      <w:r>
        <w:rPr>
          <w:b/>
          <w:bCs/>
          <w:color w:val="B8543E"/>
        </w:rPr>
        <w:t xml:space="preserve">A Realistic Sequencing Strategy</w:t>
      </w:r>
    </w:p>
    <w:p>
      <w:pPr>
        <w:spacing w:after="90"/>
        <w:ind w:left="431"/>
      </w:pPr>
      <w:r>
        <w:rPr>
          <w:color w:val="222222"/>
        </w:rPr>
        <w:t xml:space="preserve">•  Year 1: local grants, corporate CSR, diaspora/community foundation grants, and seed-stage funds explicitly open to new organizations — these build the track record everything else depends on</w:t>
      </w:r>
    </w:p>
    <w:p>
      <w:pPr>
        <w:spacing w:after="90"/>
        <w:ind w:left="431"/>
      </w:pPr>
      <w:r>
        <w:rPr>
          <w:color w:val="222222"/>
        </w:rPr>
        <w:t xml:space="preserve">•  Year 2–3: use documented results from Year 1 to apply to mid-size international foundations and multi-year institutional calls</w:t>
      </w:r>
    </w:p>
    <w:p>
      <w:pPr>
        <w:spacing w:after="90"/>
        <w:ind w:left="431"/>
      </w:pPr>
      <w:r>
        <w:rPr>
          <w:color w:val="222222"/>
        </w:rPr>
        <w:t xml:space="preserve">•  Ongoing: keep the governance bundle, Operations Manual, and this template's placeholders updated as real data becomes available — a template filled with real, specific numbers is dramatically stronger than one still showing brackets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This sequencing advice is general nonprofit-sector guidance based on common funder eligibility patterns, not a guarantee of funding outcomes for any specific call — always confirm eligibility criteria directly against each funder's current guidelines before applying.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The Jopetnah Foundation — Grant Application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7a1a6450a4b404de80874c7a8790c81ebef6a6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2026-07-29T05:01:50.141Z</dcterms:created>
  <dcterms:modified xsi:type="dcterms:W3CDTF">2026-07-29T05:01:50.156Z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