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80" w:before="280"/>
        <w:jc w:val="center"/>
      </w:pPr>
      <w:r>
        <w:rPr>
          <w:rFonts w:ascii="Cambria" w:cs="Cambria" w:eastAsia="Cambria" w:hAnsi="Cambria"/>
          <w:b/>
          <w:bCs/>
          <w:color w:val="1E2761"/>
          <w:sz w:val="50"/>
          <w:szCs w:val="50"/>
        </w:rPr>
        <w:t xml:space="preserve">OPERATIONS MANUAL</w:t>
      </w:r>
    </w:p>
    <w:p>
      <w:pPr>
        <w:spacing w:after="200"/>
        <w:jc w:val="center"/>
      </w:pPr>
      <w:r>
        <w:rPr>
          <w:rFonts w:ascii="Cambria" w:cs="Cambria" w:eastAsia="Cambria" w:hAnsi="Cambria"/>
          <w:color w:val="5A5A5A"/>
          <w:sz w:val="26"/>
          <w:szCs w:val="26"/>
        </w:rPr>
        <w:t xml:space="preserve">OF</w:t>
      </w:r>
    </w:p>
    <w:p>
      <w:pPr>
        <w:spacing w:after="300"/>
        <w:jc w:val="center"/>
      </w:pPr>
      <w:r>
        <w:rPr>
          <w:rFonts w:ascii="Cambria" w:cs="Cambria" w:eastAsia="Cambria" w:hAnsi="Cambria"/>
          <w:b/>
          <w:bCs/>
          <w:color w:val="B8543E"/>
          <w:sz w:val="40"/>
          <w:szCs w:val="40"/>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2"/>
          <w:szCs w:val="22"/>
        </w:rPr>
        <w:t xml:space="preserve">Day-to-day operating procedures for staff, volunteers, and management</w:t>
      </w:r>
    </w:p>
    <w:p>
      <w:pPr>
        <w:spacing w:after="100" w:before="500"/>
        <w:jc w:val="center"/>
      </w:pPr>
      <w:r>
        <w:rPr>
          <w:b/>
          <w:bCs/>
          <w:color w:val="222222"/>
          <w:sz w:val="22"/>
          <w:szCs w:val="22"/>
        </w:rPr>
        <w:t xml:space="preserve">DRAFT FOR BOARD ADOPTION</w:t>
      </w:r>
    </w:p>
    <w:p>
      <w:pPr>
        <w:spacing w:after="3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Manual sits below TJF's Constitution and Board Charter in the governance hierarchy, and operationalizes them at the day-to-day level. It is a working draft: many procedures are written for activation once TJF hires its first staff, launches its first program, or opens its first bank account, and are marked accordingly. It should be reviewed by the Board alongside the Finance and Audit Committee before adoption, and revisited at least annually as the Foundation grows.</w:t>
      </w:r>
    </w:p>
    <w:p>
      <w:pPr>
        <w:pStyle w:val="Heading1"/>
        <w:pageBreakBefore/>
      </w:pPr>
      <w:r>
        <w:rPr>
          <w:b/>
          <w:bCs/>
          <w:color w:val="1E2761"/>
        </w:rPr>
        <w:t xml:space="preserve">Table of Contents</w:t>
      </w:r>
    </w:p>
    <w:p>
      <w:pPr>
        <w:spacing w:after="110"/>
      </w:pPr>
      <w:hyperlink w:history="1" w:anchor="1-introduction-and-purpose-of-this-manual">
        <w:r>
          <w:rPr>
            <w:color w:val="1E2761"/>
            <w:u w:val="single" w:color="1E2761"/>
          </w:rPr>
          <w:t xml:space="preserve">1. Introduction and Purpose of this Manual</w:t>
        </w:r>
      </w:hyperlink>
    </w:p>
    <w:p>
      <w:pPr>
        <w:spacing w:after="110"/>
      </w:pPr>
      <w:hyperlink w:history="1" w:anchor="2-organizational-overview">
        <w:r>
          <w:rPr>
            <w:color w:val="1E2761"/>
            <w:u w:val="single" w:color="1E2761"/>
          </w:rPr>
          <w:t xml:space="preserve">2. Organizational Overview</w:t>
        </w:r>
      </w:hyperlink>
    </w:p>
    <w:p>
      <w:pPr>
        <w:spacing w:after="110"/>
      </w:pPr>
      <w:hyperlink w:history="1" w:anchor="3-human-resources-policies">
        <w:r>
          <w:rPr>
            <w:color w:val="1E2761"/>
            <w:u w:val="single" w:color="1E2761"/>
          </w:rPr>
          <w:t xml:space="preserve">3. Human Resources Policies</w:t>
        </w:r>
      </w:hyperlink>
    </w:p>
    <w:p>
      <w:pPr>
        <w:spacing w:after="110"/>
      </w:pPr>
      <w:hyperlink w:history="1" w:anchor="4-financial-management-procedures">
        <w:r>
          <w:rPr>
            <w:color w:val="1E2761"/>
            <w:u w:val="single" w:color="1E2761"/>
          </w:rPr>
          <w:t xml:space="preserve">4. Financial Management Procedures</w:t>
        </w:r>
      </w:hyperlink>
    </w:p>
    <w:p>
      <w:pPr>
        <w:spacing w:after="110"/>
      </w:pPr>
      <w:hyperlink w:history="1" w:anchor="5-procurement-and-vendor-management">
        <w:r>
          <w:rPr>
            <w:color w:val="1E2761"/>
            <w:u w:val="single" w:color="1E2761"/>
          </w:rPr>
          <w:t xml:space="preserve">5. Procurement and Vendor Management</w:t>
        </w:r>
      </w:hyperlink>
    </w:p>
    <w:p>
      <w:pPr>
        <w:spacing w:after="110"/>
      </w:pPr>
      <w:hyperlink w:history="1" w:anchor="6-program-management-cycle">
        <w:r>
          <w:rPr>
            <w:color w:val="1E2761"/>
            <w:u w:val="single" w:color="1E2761"/>
          </w:rPr>
          <w:t xml:space="preserve">6. Program Management Cycle</w:t>
        </w:r>
      </w:hyperlink>
    </w:p>
    <w:p>
      <w:pPr>
        <w:spacing w:after="110"/>
      </w:pPr>
      <w:hyperlink w:history="1" w:anchor="7-communications-and-branding-protocols">
        <w:r>
          <w:rPr>
            <w:color w:val="1E2761"/>
            <w:u w:val="single" w:color="1E2761"/>
          </w:rPr>
          <w:t xml:space="preserve">7. Communications and Branding Protocols</w:t>
        </w:r>
      </w:hyperlink>
    </w:p>
    <w:p>
      <w:pPr>
        <w:spacing w:after="110"/>
      </w:pPr>
      <w:hyperlink w:history="1" w:anchor="8-data-protection-and-it-policy">
        <w:r>
          <w:rPr>
            <w:color w:val="1E2761"/>
            <w:u w:val="single" w:color="1E2761"/>
          </w:rPr>
          <w:t xml:space="preserve">8. Data Protection and IT Policy</w:t>
        </w:r>
      </w:hyperlink>
    </w:p>
    <w:p>
      <w:pPr>
        <w:spacing w:after="110"/>
      </w:pPr>
      <w:hyperlink w:history="1" w:anchor="9-travel-and-expense-policy">
        <w:r>
          <w:rPr>
            <w:color w:val="1E2761"/>
            <w:u w:val="single" w:color="1E2761"/>
          </w:rPr>
          <w:t xml:space="preserve">9. Travel and Expense Policy</w:t>
        </w:r>
      </w:hyperlink>
    </w:p>
    <w:p>
      <w:pPr>
        <w:spacing w:after="110"/>
      </w:pPr>
      <w:hyperlink w:history="1" w:anchor="10-health-safety-and-security">
        <w:r>
          <w:rPr>
            <w:color w:val="1E2761"/>
            <w:u w:val="single" w:color="1E2761"/>
          </w:rPr>
          <w:t xml:space="preserve">10. Health, Safety and Security</w:t>
        </w:r>
      </w:hyperlink>
    </w:p>
    <w:p>
      <w:pPr>
        <w:spacing w:after="110"/>
      </w:pPr>
      <w:hyperlink w:history="1" w:anchor="11-record-keeping-and-document-management">
        <w:r>
          <w:rPr>
            <w:color w:val="1E2761"/>
            <w:u w:val="single" w:color="1E2761"/>
          </w:rPr>
          <w:t xml:space="preserve">11. Record-Keeping and Document Management</w:t>
        </w:r>
      </w:hyperlink>
    </w:p>
    <w:p>
      <w:pPr>
        <w:spacing w:after="110"/>
      </w:pPr>
      <w:hyperlink w:history="1" w:anchor="12-emergency-and-crisis-response-procedures">
        <w:r>
          <w:rPr>
            <w:color w:val="1E2761"/>
            <w:u w:val="single" w:color="1E2761"/>
          </w:rPr>
          <w:t xml:space="preserve">12. Emergency and Crisis Response Procedures</w:t>
        </w:r>
      </w:hyperlink>
    </w:p>
    <w:p>
      <w:pPr>
        <w:spacing w:after="110"/>
      </w:pPr>
      <w:hyperlink w:history="1" w:anchor="13-annual-operational-calendar">
        <w:r>
          <w:rPr>
            <w:color w:val="1E2761"/>
            <w:u w:val="single" w:color="1E2761"/>
          </w:rPr>
          <w:t xml:space="preserve">13. Annual Operational Calendar</w:t>
        </w:r>
      </w:hyperlink>
    </w:p>
    <w:p>
      <w:pPr>
        <w:spacing w:after="110"/>
      </w:pPr>
      <w:hyperlink w:history="1" w:anchor="14-appendix-forms-and-templates">
        <w:r>
          <w:rPr>
            <w:color w:val="1E2761"/>
            <w:u w:val="single" w:color="1E2761"/>
          </w:rPr>
          <w:t xml:space="preserve">14. Appendix: Forms and Templates</w:t>
        </w:r>
      </w:hyperlink>
    </w:p>
    <w:p>
      <w:pPr>
        <w:pStyle w:val="Heading1"/>
        <w:pageBreakBefore/>
        <w:pBdr>
          <w:bottom w:val="single" w:color="B8543E" w:sz="8" w:space="4"/>
        </w:pBdr>
        <w:spacing w:after="200" w:before="240"/>
      </w:pPr>
      <w:bookmarkStart w:name="1-introduction-and-purpose-of-this-manual" w:id="1000"/>
      <w:r>
        <w:rPr>
          <w:b/>
          <w:bCs/>
          <w:color w:val="1E2761"/>
        </w:rPr>
        <w:t xml:space="preserve">1. Introduction and Purpose of this Manual</w:t>
      </w:r>
      <w:bookmarkEnd w:id="1000"/>
    </w:p>
    <w:p>
      <w:pPr>
        <w:spacing w:after="130"/>
        <w:ind w:left="72"/>
      </w:pPr>
      <w:r>
        <w:rPr>
          <w:b/>
          <w:bCs/>
          <w:color w:val="222222"/>
        </w:rPr>
        <w:t xml:space="preserve">1.1  </w:t>
      </w:r>
      <w:r>
        <w:rPr>
          <w:color w:val="222222"/>
        </w:rPr>
        <w:t xml:space="preserve">This Operations Manual sets out the practical procedures by which The Jopetnah Foundation ("TJF") conducts its day-to-day work. Where the Constitution establishes TJF's legal existence and the Board Charter governs the Board of Trustees, this Manual governs how staff, volunteers, and management actually carry out that work.</w:t>
      </w:r>
    </w:p>
    <w:p>
      <w:pPr>
        <w:spacing w:after="130"/>
        <w:ind w:left="72"/>
      </w:pPr>
      <w:r>
        <w:rPr>
          <w:b/>
          <w:bCs/>
          <w:color w:val="222222"/>
        </w:rPr>
        <w:t xml:space="preserve">1.2  </w:t>
      </w:r>
      <w:r>
        <w:rPr>
          <w:color w:val="222222"/>
        </w:rPr>
        <w:t xml:space="preserve">This Manual applies to all TJF staff, volunteers, interns, and consultants. Program partners and sub-grantees are expected to meet equivalent standards as a condition of any partnership agreement.</w:t>
      </w:r>
    </w:p>
    <w:p>
      <w:pPr>
        <w:spacing w:after="130"/>
        <w:ind w:left="72"/>
      </w:pPr>
      <w:r>
        <w:rPr>
          <w:b/>
          <w:bCs/>
          <w:color w:val="222222"/>
        </w:rPr>
        <w:t xml:space="preserve">1.3  </w:t>
      </w:r>
      <w:r>
        <w:rPr>
          <w:color w:val="222222"/>
        </w:rPr>
        <w:t xml:space="preserve">Where this Manual conflicts with the Constitution, Board Charter, or any Board-approved policy (Conflict of Interest, Whistleblower, or Safeguarding), the higher instrument prevails.</w:t>
      </w:r>
    </w:p>
    <w:p>
      <w:pPr>
        <w:spacing w:after="130"/>
        <w:ind w:left="72"/>
      </w:pPr>
      <w:r>
        <w:rPr>
          <w:b/>
          <w:bCs/>
          <w:color w:val="222222"/>
        </w:rPr>
        <w:t xml:space="preserve">1.4  </w:t>
      </w:r>
      <w:r>
        <w:rPr>
          <w:color w:val="222222"/>
        </w:rPr>
        <w:t xml:space="preserve">This Manual shall be reviewed by the Executive Director and the Finance and Audit Committee at least annually, and updated as TJF's staffing, programs, and operating context evolve.</w:t>
      </w:r>
    </w:p>
    <w:p>
      <w:pPr>
        <w:pStyle w:val="Heading1"/>
        <w:pageBreakBefore/>
        <w:pBdr>
          <w:bottom w:val="single" w:color="B8543E" w:sz="8" w:space="4"/>
        </w:pBdr>
        <w:spacing w:after="200" w:before="240"/>
      </w:pPr>
      <w:bookmarkStart w:name="2-organizational-overview" w:id="1001"/>
      <w:r>
        <w:rPr>
          <w:b/>
          <w:bCs/>
          <w:color w:val="1E2761"/>
        </w:rPr>
        <w:t xml:space="preserve">2. Organizational Overview</w:t>
      </w:r>
      <w:bookmarkEnd w:id="1001"/>
    </w:p>
    <w:p>
      <w:pPr>
        <w:pStyle w:val="Heading2"/>
        <w:spacing w:after="110" w:before="220"/>
      </w:pPr>
      <w:r>
        <w:rPr>
          <w:b/>
          <w:bCs/>
          <w:color w:val="B8543E"/>
        </w:rPr>
        <w:t xml:space="preserve">Structure</w:t>
      </w:r>
    </w:p>
    <w:p>
      <w:pPr>
        <w:spacing w:after="130"/>
      </w:pPr>
      <w:r>
        <w:rPr>
          <w:b w:val="false"/>
          <w:bCs w:val="false"/>
          <w:i w:val="false"/>
          <w:iCs w:val="false"/>
          <w:color w:val="222222"/>
        </w:rPr>
        <w:t xml:space="preserve">TJF's organizational layers are set out in full in the Constitution and Board Charter. In summary: Board of Trustees → Executive Director → Program Directors (one per Pillar: Education, Health, Livelihoods, Environment) → Program/Support Staff. This Manual assumes that structure is in place; where a role does not yet exist (e.g., before the first staff hire), the Executive Director or a designated Trustee performs the relevant function.</w:t>
      </w:r>
    </w:p>
    <w:p>
      <w:pPr>
        <w:pStyle w:val="Heading2"/>
        <w:spacing w:after="110" w:before="220"/>
      </w:pPr>
      <w:r>
        <w:rPr>
          <w:b/>
          <w:bCs/>
          <w:color w:val="B8543E"/>
        </w:rPr>
        <w:t xml:space="preserve">The Four Pillars</w:t>
      </w:r>
    </w:p>
    <w:p>
      <w:pPr>
        <w:spacing w:after="90"/>
        <w:ind w:left="431"/>
      </w:pPr>
      <w:r>
        <w:rPr>
          <w:color w:val="222222"/>
        </w:rPr>
        <w:t xml:space="preserve">•  Education &amp; Youth Development</w:t>
      </w:r>
    </w:p>
    <w:p>
      <w:pPr>
        <w:spacing w:after="90"/>
        <w:ind w:left="431"/>
      </w:pPr>
      <w:r>
        <w:rPr>
          <w:color w:val="222222"/>
        </w:rPr>
        <w:t xml:space="preserve">•  Health &amp; Wellbeing</w:t>
      </w:r>
    </w:p>
    <w:p>
      <w:pPr>
        <w:spacing w:after="90"/>
        <w:ind w:left="431"/>
      </w:pPr>
      <w:r>
        <w:rPr>
          <w:color w:val="222222"/>
        </w:rPr>
        <w:t xml:space="preserve">•  Poverty Alleviation &amp; Livelihoods</w:t>
      </w:r>
    </w:p>
    <w:p>
      <w:pPr>
        <w:spacing w:after="90"/>
        <w:ind w:left="431"/>
      </w:pPr>
      <w:r>
        <w:rPr>
          <w:color w:val="222222"/>
        </w:rPr>
        <w:t xml:space="preserve">•  Environment &amp; Community Development</w:t>
      </w:r>
    </w:p>
    <w:p>
      <w:pPr>
        <w:pStyle w:val="Heading2"/>
        <w:spacing w:after="110" w:before="220"/>
      </w:pPr>
      <w:r>
        <w:rPr>
          <w:b/>
          <w:bCs/>
          <w:color w:val="B8543E"/>
        </w:rPr>
        <w:t xml:space="preserve">Key Reference Documents</w:t>
      </w:r>
    </w:p>
    <w:p>
      <w:pPr>
        <w:spacing w:after="90"/>
        <w:ind w:left="431"/>
      </w:pPr>
      <w:r>
        <w:rPr>
          <w:color w:val="222222"/>
        </w:rPr>
        <w:t xml:space="preserve">•  Constitution — legal structure, objects, powers, dissolution</w:t>
      </w:r>
    </w:p>
    <w:p>
      <w:pPr>
        <w:spacing w:after="90"/>
        <w:ind w:left="431"/>
      </w:pPr>
      <w:r>
        <w:rPr>
          <w:color w:val="222222"/>
        </w:rPr>
        <w:t xml:space="preserve">•  Board Charter — Board operating rules, delegation of authority</w:t>
      </w:r>
    </w:p>
    <w:p>
      <w:pPr>
        <w:spacing w:after="90"/>
        <w:ind w:left="431"/>
      </w:pPr>
      <w:r>
        <w:rPr>
          <w:color w:val="222222"/>
        </w:rPr>
        <w:t xml:space="preserve">•  Conflict of Interest Policy, Whistleblower Policy, Safeguarding Policy — individually signed compliance documents</w:t>
      </w:r>
    </w:p>
    <w:p>
      <w:pPr>
        <w:spacing w:after="90"/>
        <w:ind w:left="431"/>
      </w:pPr>
      <w:r>
        <w:rPr>
          <w:color w:val="222222"/>
        </w:rPr>
        <w:t xml:space="preserve">•  This Operations Manual — day-to-day procedures (you are here)</w:t>
      </w:r>
    </w:p>
    <w:p>
      <w:pPr>
        <w:pStyle w:val="Heading1"/>
        <w:pageBreakBefore/>
        <w:pBdr>
          <w:bottom w:val="single" w:color="B8543E" w:sz="8" w:space="4"/>
        </w:pBdr>
        <w:spacing w:after="200" w:before="240"/>
      </w:pPr>
      <w:bookmarkStart w:name="3-human-resources-policies" w:id="1002"/>
      <w:r>
        <w:rPr>
          <w:b/>
          <w:bCs/>
          <w:color w:val="1E2761"/>
        </w:rPr>
        <w:t xml:space="preserve">3. Human Resources Policies</w:t>
      </w:r>
      <w:bookmarkEnd w:id="1002"/>
    </w:p>
    <w:p>
      <w:pPr>
        <w:pStyle w:val="Heading2"/>
        <w:spacing w:after="110" w:before="220"/>
      </w:pPr>
      <w:r>
        <w:rPr>
          <w:b/>
          <w:bCs/>
          <w:color w:val="B8543E"/>
        </w:rPr>
        <w:t xml:space="preserve">3.1 Recruitment and Onboarding</w:t>
      </w:r>
    </w:p>
    <w:p>
      <w:pPr>
        <w:spacing w:after="130"/>
        <w:ind w:left="72"/>
      </w:pPr>
      <w:r>
        <w:rPr>
          <w:b/>
          <w:bCs/>
          <w:color w:val="222222"/>
        </w:rPr>
        <w:t xml:space="preserve">3.1.1  </w:t>
      </w:r>
      <w:r>
        <w:rPr>
          <w:color w:val="222222"/>
        </w:rPr>
        <w:t xml:space="preserve">All paid positions shall be advertised with a written job description, including an explicit safeguarding and conflict-of-interest responsibility where the role involves beneficiary contact or financial authority.</w:t>
      </w:r>
    </w:p>
    <w:p>
      <w:pPr>
        <w:spacing w:after="130"/>
        <w:ind w:left="72"/>
      </w:pPr>
      <w:r>
        <w:rPr>
          <w:b/>
          <w:bCs/>
          <w:color w:val="222222"/>
        </w:rPr>
        <w:t xml:space="preserve">3.1.2  </w:t>
      </w:r>
      <w:r>
        <w:rPr>
          <w:color w:val="222222"/>
        </w:rPr>
        <w:t xml:space="preserve">Candidates for beneficiary-facing roles shall undergo reference checks and, where available, a police clearance or equivalent background check before starting work, per the Safeguarding Policy.</w:t>
      </w:r>
    </w:p>
    <w:p>
      <w:pPr>
        <w:spacing w:after="130"/>
        <w:ind w:left="72"/>
      </w:pPr>
      <w:r>
        <w:rPr>
          <w:b/>
          <w:bCs/>
          <w:color w:val="222222"/>
        </w:rPr>
        <w:t xml:space="preserve">3.1.3  </w:t>
      </w:r>
      <w:r>
        <w:rPr>
          <w:color w:val="222222"/>
        </w:rPr>
        <w:t xml:space="preserve">Every new staff member or long-term volunteer shall receive, within their first week: a copy of this Manual, the Constitution summary, the Conflict of Interest Policy, the Whistleblower Policy, and the Safeguarding Policy, and shall sign the Conflict of Interest Declaration and Safeguarding acknowledgment before commencing beneficiary-facing work.</w:t>
      </w:r>
    </w:p>
    <w:p>
      <w:pPr>
        <w:pStyle w:val="Heading2"/>
        <w:spacing w:after="110" w:before="220"/>
      </w:pPr>
      <w:r>
        <w:rPr>
          <w:b/>
          <w:bCs/>
          <w:color w:val="B8543E"/>
        </w:rPr>
        <w:t xml:space="preserve">3.2 Code of Conduct</w:t>
      </w:r>
    </w:p>
    <w:p>
      <w:pPr>
        <w:spacing w:after="90"/>
        <w:ind w:left="431"/>
      </w:pPr>
      <w:r>
        <w:rPr>
          <w:color w:val="222222"/>
        </w:rPr>
        <w:t xml:space="preserve">•  Act with honesty, professionalism, and respect for beneficiaries, colleagues, and partners at all times</w:t>
      </w:r>
    </w:p>
    <w:p>
      <w:pPr>
        <w:spacing w:after="90"/>
        <w:ind w:left="431"/>
      </w:pPr>
      <w:r>
        <w:rPr>
          <w:color w:val="222222"/>
        </w:rPr>
        <w:t xml:space="preserve">•  Disclose conflicts of interest as soon as they arise, per the Conflict of Interest Policy</w:t>
      </w:r>
    </w:p>
    <w:p>
      <w:pPr>
        <w:spacing w:after="90"/>
        <w:ind w:left="431"/>
      </w:pPr>
      <w:r>
        <w:rPr>
          <w:color w:val="222222"/>
        </w:rPr>
        <w:t xml:space="preserve">•  Follow the Safeguarding Policy's code of conduct in any interaction with children or vulnerable persons</w:t>
      </w:r>
    </w:p>
    <w:p>
      <w:pPr>
        <w:spacing w:after="90"/>
        <w:ind w:left="431"/>
      </w:pPr>
      <w:r>
        <w:rPr>
          <w:color w:val="222222"/>
        </w:rPr>
        <w:t xml:space="preserve">•  Represent TJF publicly only within one's authorized role, per the Communications Protocol in Section 7</w:t>
      </w:r>
    </w:p>
    <w:p>
      <w:pPr>
        <w:pStyle w:val="Heading2"/>
        <w:spacing w:after="110" w:before="220"/>
      </w:pPr>
      <w:r>
        <w:rPr>
          <w:b/>
          <w:bCs/>
          <w:color w:val="B8543E"/>
        </w:rPr>
        <w:t xml:space="preserve">3.3 Leave and Attendance</w:t>
      </w:r>
    </w:p>
    <w:p>
      <w:pPr>
        <w:spacing w:after="130"/>
        <w:ind w:left="72"/>
      </w:pPr>
      <w:r>
        <w:rPr>
          <w:b/>
          <w:bCs/>
          <w:color w:val="222222"/>
        </w:rPr>
        <w:t xml:space="preserve">3.3.1  </w:t>
      </w:r>
      <w:r>
        <w:rPr>
          <w:color w:val="222222"/>
        </w:rPr>
        <w:t xml:space="preserve">Leave entitlements and public holiday schedules shall be set out in individual employment contracts, consistent with the Employment Act of Uganda, once TJF has paid staff.</w:t>
      </w:r>
    </w:p>
    <w:p>
      <w:pPr>
        <w:spacing w:after="130"/>
        <w:ind w:left="72"/>
      </w:pPr>
      <w:r>
        <w:rPr>
          <w:b/>
          <w:bCs/>
          <w:color w:val="222222"/>
        </w:rPr>
        <w:t xml:space="preserve">3.3.2  </w:t>
      </w:r>
      <w:r>
        <w:rPr>
          <w:color w:val="222222"/>
        </w:rPr>
        <w:t xml:space="preserve">Staff shall record leave requests using the Leave Request Form at Section 14, submitted to the Executive Director (or, for the Executive Director, to the Board Chairperson) for approval.</w:t>
      </w:r>
    </w:p>
    <w:p>
      <w:pPr>
        <w:pStyle w:val="Heading2"/>
        <w:spacing w:after="110" w:before="220"/>
      </w:pPr>
      <w:r>
        <w:rPr>
          <w:b/>
          <w:bCs/>
          <w:color w:val="B8543E"/>
        </w:rPr>
        <w:t xml:space="preserve">3.4 Performance Review</w:t>
      </w:r>
    </w:p>
    <w:p>
      <w:pPr>
        <w:spacing w:after="130"/>
        <w:ind w:left="72"/>
      </w:pPr>
      <w:r>
        <w:rPr>
          <w:b/>
          <w:bCs/>
          <w:color w:val="222222"/>
        </w:rPr>
        <w:t xml:space="preserve">3.4.1  </w:t>
      </w:r>
      <w:r>
        <w:rPr>
          <w:color w:val="222222"/>
        </w:rPr>
        <w:t xml:space="preserve">Each staff member shall receive a documented performance review at least annually, conducted by their direct supervisor, covering objectives met, areas for development, and alignment with TJF's values.</w:t>
      </w:r>
    </w:p>
    <w:p>
      <w:pPr>
        <w:pStyle w:val="Heading2"/>
        <w:spacing w:after="110" w:before="220"/>
      </w:pPr>
      <w:r>
        <w:rPr>
          <w:b/>
          <w:bCs/>
          <w:color w:val="B8543E"/>
        </w:rPr>
        <w:t xml:space="preserve">3.5 Termination and Offboarding</w:t>
      </w:r>
    </w:p>
    <w:p>
      <w:pPr>
        <w:spacing w:after="130"/>
        <w:ind w:left="72"/>
      </w:pPr>
      <w:r>
        <w:rPr>
          <w:b/>
          <w:bCs/>
          <w:color w:val="222222"/>
        </w:rPr>
        <w:t xml:space="preserve">3.5.1  </w:t>
      </w:r>
      <w:r>
        <w:rPr>
          <w:color w:val="222222"/>
        </w:rPr>
        <w:t xml:space="preserve">Upon termination or resignation, the departing individual's access to TJF's financial systems, email, and beneficiary data shall be revoked on their last working day, and all TJF property (devices, documents, keys) returned.</w:t>
      </w:r>
    </w:p>
    <w:p>
      <w:pPr>
        <w:spacing w:after="130"/>
        <w:ind w:left="72"/>
      </w:pPr>
      <w:r>
        <w:rPr>
          <w:b/>
          <w:bCs/>
          <w:color w:val="222222"/>
        </w:rPr>
        <w:t xml:space="preserve">3.5.2  </w:t>
      </w:r>
      <w:r>
        <w:rPr>
          <w:color w:val="222222"/>
        </w:rPr>
        <w:t xml:space="preserve">An exit interview shall be offered to departing staff to capture institutional knowledge and any unresolved concerns.</w:t>
      </w:r>
    </w:p>
    <w:p>
      <w:pPr>
        <w:pStyle w:val="Heading1"/>
        <w:pageBreakBefore/>
        <w:pBdr>
          <w:bottom w:val="single" w:color="B8543E" w:sz="8" w:space="4"/>
        </w:pBdr>
        <w:spacing w:after="200" w:before="240"/>
      </w:pPr>
      <w:bookmarkStart w:name="4-financial-management-procedures" w:id="1003"/>
      <w:r>
        <w:rPr>
          <w:b/>
          <w:bCs/>
          <w:color w:val="1E2761"/>
        </w:rPr>
        <w:t xml:space="preserve">4. Financial Management Procedures</w:t>
      </w:r>
      <w:bookmarkEnd w:id="1003"/>
    </w:p>
    <w:p>
      <w:pPr>
        <w:pStyle w:val="Heading2"/>
        <w:spacing w:after="110" w:before="220"/>
      </w:pPr>
      <w:r>
        <w:rPr>
          <w:b/>
          <w:bCs/>
          <w:color w:val="B8543E"/>
        </w:rPr>
        <w:t xml:space="preserve">4.1 Budgeting</w:t>
      </w:r>
    </w:p>
    <w:p>
      <w:pPr>
        <w:spacing w:after="130"/>
        <w:ind w:left="72"/>
      </w:pPr>
      <w:r>
        <w:rPr>
          <w:b/>
          <w:bCs/>
          <w:color w:val="222222"/>
        </w:rPr>
        <w:t xml:space="preserve">4.1.1  </w:t>
      </w:r>
      <w:r>
        <w:rPr>
          <w:color w:val="222222"/>
        </w:rPr>
        <w:t xml:space="preserve">An annual budget shall be prepared by the Executive Director and approved by the Board before the start of each Financial Year, per Constitution Article 12.</w:t>
      </w:r>
    </w:p>
    <w:p>
      <w:pPr>
        <w:spacing w:after="130"/>
        <w:ind w:left="72"/>
      </w:pPr>
      <w:r>
        <w:rPr>
          <w:b/>
          <w:bCs/>
          <w:color w:val="222222"/>
        </w:rPr>
        <w:t xml:space="preserve">4.1.2  </w:t>
      </w:r>
      <w:r>
        <w:rPr>
          <w:color w:val="222222"/>
        </w:rPr>
        <w:t xml:space="preserve">Program Directors shall submit budget requests for their Pillar at least six weeks before the Financial Year begins.</w:t>
      </w:r>
    </w:p>
    <w:p>
      <w:pPr>
        <w:pStyle w:val="Heading2"/>
        <w:spacing w:after="110" w:before="220"/>
      </w:pPr>
      <w:r>
        <w:rPr>
          <w:b/>
          <w:bCs/>
          <w:color w:val="B8543E"/>
        </w:rPr>
        <w:t xml:space="preserve">4.2 Expenditure Approval</w:t>
      </w:r>
    </w:p>
    <w:p>
      <w:pPr>
        <w:spacing w:after="130"/>
      </w:pPr>
      <w:r>
        <w:rPr>
          <w:b w:val="false"/>
          <w:bCs w:val="false"/>
          <w:i w:val="false"/>
          <w:iCs w:val="false"/>
          <w:color w:val="222222"/>
        </w:rPr>
        <w:t xml:space="preserve">Expenditure thresholds follow the Delegation of Authority table in the Board Charter. In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350"/>
            <w:shd w:fill="1E2761" w:val="clear"/>
            <w:vAlign w:val="center"/>
          </w:tcPr>
          <w:p>
            <w:r>
              <w:rPr>
                <w:b/>
                <w:bCs/>
                <w:color w:val="FFFFFF"/>
                <w:sz w:val="19"/>
                <w:szCs w:val="19"/>
              </w:rPr>
              <w:t xml:space="preserve">Expenditure</w:t>
            </w:r>
          </w:p>
        </w:tc>
        <w:tc>
          <w:tcPr>
            <w:tcW w:type="dxa" w:w="4000"/>
            <w:shd w:fill="1E2761" w:val="clear"/>
            <w:vAlign w:val="center"/>
          </w:tcPr>
          <w:p>
            <w:r>
              <w:rPr>
                <w:b/>
                <w:bCs/>
                <w:color w:val="FFFFFF"/>
                <w:sz w:val="19"/>
                <w:szCs w:val="19"/>
              </w:rPr>
              <w:t xml:space="preserve">Approval Required</w:t>
            </w:r>
          </w:p>
        </w:tc>
      </w:tr>
      <w:tr>
        <w:tc>
          <w:tcPr>
            <w:tcW w:type="dxa" w:w="5350"/>
            <w:vAlign w:val="center"/>
          </w:tcPr>
          <w:p>
            <w:pPr>
              <w:spacing w:after="80" w:before="80"/>
            </w:pPr>
            <w:r>
              <w:rPr>
                <w:b w:val="false"/>
                <w:bCs w:val="false"/>
                <w:color w:val="222222"/>
                <w:sz w:val="19"/>
                <w:szCs w:val="19"/>
              </w:rPr>
              <w:t xml:space="preserve">Within approved budget line</w:t>
            </w:r>
          </w:p>
        </w:tc>
        <w:tc>
          <w:tcPr>
            <w:tcW w:type="dxa" w:w="4000"/>
            <w:vAlign w:val="center"/>
          </w:tcPr>
          <w:p>
            <w:pPr>
              <w:spacing w:after="80" w:before="80"/>
            </w:pPr>
            <w:r>
              <w:rPr>
                <w:b w:val="false"/>
                <w:bCs w:val="false"/>
                <w:color w:val="222222"/>
                <w:sz w:val="19"/>
                <w:szCs w:val="19"/>
              </w:rPr>
              <w:t xml:space="preserve">Executive Director</w:t>
            </w:r>
          </w:p>
        </w:tc>
      </w:tr>
      <w:tr>
        <w:tc>
          <w:tcPr>
            <w:tcW w:type="dxa" w:w="5350"/>
            <w:shd w:fill="F1E9DD" w:val="clear"/>
            <w:vAlign w:val="center"/>
          </w:tcPr>
          <w:p>
            <w:pPr>
              <w:spacing w:after="80" w:before="80"/>
            </w:pPr>
            <w:r>
              <w:rPr>
                <w:b w:val="false"/>
                <w:bCs w:val="false"/>
                <w:color w:val="222222"/>
                <w:sz w:val="19"/>
                <w:szCs w:val="19"/>
              </w:rPr>
              <w:t xml:space="preserve">Exceeding 5% of annual budget (single item)</w:t>
            </w:r>
          </w:p>
        </w:tc>
        <w:tc>
          <w:tcPr>
            <w:tcW w:type="dxa" w:w="4000"/>
            <w:shd w:fill="F1E9DD" w:val="clear"/>
            <w:vAlign w:val="center"/>
          </w:tcPr>
          <w:p>
            <w:pPr>
              <w:spacing w:after="80" w:before="80"/>
            </w:pPr>
            <w:r>
              <w:rPr>
                <w:b w:val="false"/>
                <w:bCs w:val="false"/>
                <w:color w:val="222222"/>
                <w:sz w:val="19"/>
                <w:szCs w:val="19"/>
              </w:rPr>
              <w:t xml:space="preserve">Board resolution</w:t>
            </w:r>
          </w:p>
        </w:tc>
      </w:tr>
      <w:tr>
        <w:tc>
          <w:tcPr>
            <w:tcW w:type="dxa" w:w="5350"/>
            <w:vAlign w:val="center"/>
          </w:tcPr>
          <w:p>
            <w:pPr>
              <w:spacing w:after="80" w:before="80"/>
            </w:pPr>
            <w:r>
              <w:rPr>
                <w:b w:val="false"/>
                <w:bCs w:val="false"/>
                <w:color w:val="222222"/>
                <w:sz w:val="19"/>
                <w:szCs w:val="19"/>
              </w:rPr>
              <w:t xml:space="preserve">Not in approved budget</w:t>
            </w:r>
          </w:p>
        </w:tc>
        <w:tc>
          <w:tcPr>
            <w:tcW w:type="dxa" w:w="4000"/>
            <w:vAlign w:val="center"/>
          </w:tcPr>
          <w:p>
            <w:pPr>
              <w:spacing w:after="80" w:before="80"/>
            </w:pPr>
            <w:r>
              <w:rPr>
                <w:b w:val="false"/>
                <w:bCs w:val="false"/>
                <w:color w:val="222222"/>
                <w:sz w:val="19"/>
                <w:szCs w:val="19"/>
              </w:rPr>
              <w:t xml:space="preserve">Board resolution</w:t>
            </w:r>
          </w:p>
        </w:tc>
      </w:tr>
    </w:tbl>
    <w:p>
      <w:pPr>
        <w:pStyle w:val="Heading2"/>
        <w:spacing w:after="110" w:before="220"/>
      </w:pPr>
      <w:r>
        <w:rPr>
          <w:b/>
          <w:bCs/>
          <w:color w:val="B8543E"/>
        </w:rPr>
        <w:t xml:space="preserve">4.3 Petty Cash</w:t>
      </w:r>
    </w:p>
    <w:p>
      <w:pPr>
        <w:spacing w:after="130"/>
        <w:ind w:left="72"/>
      </w:pPr>
      <w:r>
        <w:rPr>
          <w:b/>
          <w:bCs/>
          <w:color w:val="222222"/>
        </w:rPr>
        <w:t xml:space="preserve">4.3.1  </w:t>
      </w:r>
      <w:r>
        <w:rPr>
          <w:color w:val="222222"/>
        </w:rPr>
        <w:t xml:space="preserve">A petty cash float, capped at an amount set by the Board, may be held for minor operational expenses, reconciled and replenished monthly with receipts retained for every transaction.</w:t>
      </w:r>
    </w:p>
    <w:p>
      <w:pPr>
        <w:pStyle w:val="Heading2"/>
        <w:spacing w:after="110" w:before="220"/>
      </w:pPr>
      <w:r>
        <w:rPr>
          <w:b/>
          <w:bCs/>
          <w:color w:val="B8543E"/>
        </w:rPr>
        <w:t xml:space="preserve">4.4 Banking and Reconciliation</w:t>
      </w:r>
    </w:p>
    <w:p>
      <w:pPr>
        <w:spacing w:after="130"/>
        <w:ind w:left="72"/>
      </w:pPr>
      <w:r>
        <w:rPr>
          <w:b/>
          <w:bCs/>
          <w:color w:val="222222"/>
        </w:rPr>
        <w:t xml:space="preserve">4.4.1  </w:t>
      </w:r>
      <w:r>
        <w:rPr>
          <w:color w:val="222222"/>
        </w:rPr>
        <w:t xml:space="preserve">Bank accounts are operated per Constitution Article 12.3 — at least two authorized signatories, one being the Treasurer or Executive Director.</w:t>
      </w:r>
    </w:p>
    <w:p>
      <w:pPr>
        <w:spacing w:after="130"/>
        <w:ind w:left="72"/>
      </w:pPr>
      <w:r>
        <w:rPr>
          <w:b/>
          <w:bCs/>
          <w:color w:val="222222"/>
        </w:rPr>
        <w:t xml:space="preserve">4.4.2  </w:t>
      </w:r>
      <w:r>
        <w:rPr>
          <w:color w:val="222222"/>
        </w:rPr>
        <w:t xml:space="preserve">Bank statements shall be reconciled against internal accounting records monthly, reviewed by the Treasurer.</w:t>
      </w:r>
    </w:p>
    <w:p>
      <w:pPr>
        <w:pStyle w:val="Heading2"/>
        <w:spacing w:after="110" w:before="220"/>
      </w:pPr>
      <w:r>
        <w:rPr>
          <w:b/>
          <w:bCs/>
          <w:color w:val="B8543E"/>
        </w:rPr>
        <w:t xml:space="preserve">4.5 Financial Reporting Cadence</w:t>
      </w:r>
    </w:p>
    <w:p>
      <w:pPr>
        <w:spacing w:after="90"/>
        <w:ind w:left="431"/>
      </w:pPr>
      <w:r>
        <w:rPr>
          <w:color w:val="222222"/>
        </w:rPr>
        <w:t xml:space="preserve">•  Monthly: management accounts to the Executive Director and Treasurer</w:t>
      </w:r>
    </w:p>
    <w:p>
      <w:pPr>
        <w:spacing w:after="90"/>
        <w:ind w:left="431"/>
      </w:pPr>
      <w:r>
        <w:rPr>
          <w:color w:val="222222"/>
        </w:rPr>
        <w:t xml:space="preserve">•  Quarterly: financial summary to the full Board</w:t>
      </w:r>
    </w:p>
    <w:p>
      <w:pPr>
        <w:spacing w:after="90"/>
        <w:ind w:left="431"/>
      </w:pPr>
      <w:r>
        <w:rPr>
          <w:color w:val="222222"/>
        </w:rPr>
        <w:t xml:space="preserve">•  Annually: audited financial statements per Constitution Article 12.5</w:t>
      </w:r>
    </w:p>
    <w:p>
      <w:pPr>
        <w:pStyle w:val="Heading1"/>
        <w:pageBreakBefore/>
        <w:pBdr>
          <w:bottom w:val="single" w:color="B8543E" w:sz="8" w:space="4"/>
        </w:pBdr>
        <w:spacing w:after="200" w:before="240"/>
      </w:pPr>
      <w:bookmarkStart w:name="5-procurement-and-vendor-management" w:id="1004"/>
      <w:r>
        <w:rPr>
          <w:b/>
          <w:bCs/>
          <w:color w:val="1E2761"/>
        </w:rPr>
        <w:t xml:space="preserve">5. Procurement and Vendor Management</w:t>
      </w:r>
      <w:bookmarkEnd w:id="1004"/>
    </w:p>
    <w:p>
      <w:pPr>
        <w:spacing w:after="130"/>
        <w:ind w:left="72"/>
      </w:pPr>
      <w:r>
        <w:rPr>
          <w:b/>
          <w:bCs/>
          <w:color w:val="222222"/>
        </w:rPr>
        <w:t xml:space="preserve">5.1  </w:t>
      </w:r>
      <w:r>
        <w:rPr>
          <w:color w:val="222222"/>
        </w:rPr>
        <w:t xml:space="preserve">Purchases below a threshold set annually by the Board may be made directly by the Executive Director or authorized Program Director within budget.</w:t>
      </w:r>
    </w:p>
    <w:p>
      <w:pPr>
        <w:spacing w:after="130"/>
        <w:ind w:left="72"/>
      </w:pPr>
      <w:r>
        <w:rPr>
          <w:b/>
          <w:bCs/>
          <w:color w:val="222222"/>
        </w:rPr>
        <w:t xml:space="preserve">5.2  </w:t>
      </w:r>
      <w:r>
        <w:rPr>
          <w:color w:val="222222"/>
        </w:rPr>
        <w:t xml:space="preserve">Purchases above that threshold require at least three competitive quotes, with the selection and reasoning documented, before an order is placed.</w:t>
      </w:r>
    </w:p>
    <w:p>
      <w:pPr>
        <w:spacing w:after="130"/>
        <w:ind w:left="72"/>
      </w:pPr>
      <w:r>
        <w:rPr>
          <w:b/>
          <w:bCs/>
          <w:color w:val="222222"/>
        </w:rPr>
        <w:t xml:space="preserve">5.3  </w:t>
      </w:r>
      <w:r>
        <w:rPr>
          <w:color w:val="222222"/>
        </w:rPr>
        <w:t xml:space="preserve">Any vendor in which a Trustee, officer, or staff member (or their family) has an interest must be disclosed and handled per the Conflict of Interest Policy's Related-Party Transactions provisions.</w:t>
      </w:r>
    </w:p>
    <w:p>
      <w:pPr>
        <w:spacing w:after="130"/>
        <w:ind w:left="72"/>
      </w:pPr>
      <w:r>
        <w:rPr>
          <w:b/>
          <w:bCs/>
          <w:color w:val="222222"/>
        </w:rPr>
        <w:t xml:space="preserve">5.4  </w:t>
      </w:r>
      <w:r>
        <w:rPr>
          <w:color w:val="222222"/>
        </w:rPr>
        <w:t xml:space="preserve">A vendor register shall be maintained recording all suppliers engaged above the competitive-quote threshold.</w:t>
      </w:r>
    </w:p>
    <w:p>
      <w:pPr>
        <w:pStyle w:val="Heading1"/>
        <w:pageBreakBefore/>
        <w:pBdr>
          <w:bottom w:val="single" w:color="B8543E" w:sz="8" w:space="4"/>
        </w:pBdr>
        <w:spacing w:after="200" w:before="240"/>
      </w:pPr>
      <w:bookmarkStart w:name="6-program-management-cycle" w:id="1005"/>
      <w:r>
        <w:rPr>
          <w:b/>
          <w:bCs/>
          <w:color w:val="1E2761"/>
        </w:rPr>
        <w:t xml:space="preserve">6. Program Management Cycle</w:t>
      </w:r>
      <w:bookmarkEnd w:id="1005"/>
    </w:p>
    <w:p>
      <w:pPr>
        <w:pStyle w:val="Heading2"/>
        <w:spacing w:after="110" w:before="220"/>
      </w:pPr>
      <w:r>
        <w:rPr>
          <w:b/>
          <w:bCs/>
          <w:color w:val="B8543E"/>
        </w:rPr>
        <w:t xml:space="preserve">6.1 The Program Cycle</w:t>
      </w:r>
    </w:p>
    <w:p>
      <w:pPr>
        <w:spacing w:after="130"/>
      </w:pPr>
      <w:r>
        <w:rPr>
          <w:b w:val="false"/>
          <w:bCs w:val="false"/>
          <w:i w:val="false"/>
          <w:iCs w:val="false"/>
          <w:color w:val="222222"/>
        </w:rPr>
        <w:t xml:space="preserve">Design → Board/Committee Approval → Implementation → Monitoring, Evaluation &amp; Learning (MEL) → Reporting → Review. No program activity shall begin implementation without a written concept note and budget approved per Section 4.</w:t>
      </w:r>
    </w:p>
    <w:p>
      <w:pPr>
        <w:pStyle w:val="Heading2"/>
        <w:spacing w:after="110" w:before="220"/>
      </w:pPr>
      <w:r>
        <w:rPr>
          <w:b/>
          <w:bCs/>
          <w:color w:val="B8543E"/>
        </w:rPr>
        <w:t xml:space="preserve">6.2 Monitoring, Evaluation and Learning (MEL)</w:t>
      </w:r>
    </w:p>
    <w:p>
      <w:pPr>
        <w:spacing w:after="130"/>
        <w:ind w:left="72"/>
      </w:pPr>
      <w:r>
        <w:rPr>
          <w:b/>
          <w:bCs/>
          <w:color w:val="222222"/>
        </w:rPr>
        <w:t xml:space="preserve">6.2.1  </w:t>
      </w:r>
      <w:r>
        <w:rPr>
          <w:color w:val="222222"/>
        </w:rPr>
        <w:t xml:space="preserve">Each program shall define, before launch, the specific KPIs it will track (see the Blueprint's suggested KPIs: beneficiaries per pillar, cost-per-beneficiary, donor retention, grant win-rate).</w:t>
      </w:r>
    </w:p>
    <w:p>
      <w:pPr>
        <w:spacing w:after="130"/>
        <w:ind w:left="72"/>
      </w:pPr>
      <w:r>
        <w:rPr>
          <w:b/>
          <w:bCs/>
          <w:color w:val="222222"/>
        </w:rPr>
        <w:t xml:space="preserve">6.2.2  </w:t>
      </w:r>
      <w:r>
        <w:rPr>
          <w:color w:val="222222"/>
        </w:rPr>
        <w:t xml:space="preserve">Program Directors shall submit a brief activity report each month using the template at Section 14, feeding into the quarterly Board report.</w:t>
      </w:r>
    </w:p>
    <w:p>
      <w:pPr>
        <w:pStyle w:val="Heading2"/>
        <w:spacing w:after="110" w:before="220"/>
      </w:pPr>
      <w:r>
        <w:rPr>
          <w:b/>
          <w:bCs/>
          <w:color w:val="B8543E"/>
        </w:rPr>
        <w:t xml:space="preserve">6.3 Partner and Sub-Grantee Management</w:t>
      </w:r>
    </w:p>
    <w:p>
      <w:pPr>
        <w:spacing w:after="130"/>
        <w:ind w:left="72"/>
      </w:pPr>
      <w:r>
        <w:rPr>
          <w:b/>
          <w:bCs/>
          <w:color w:val="222222"/>
        </w:rPr>
        <w:t xml:space="preserve">6.3.1  </w:t>
      </w:r>
      <w:r>
        <w:rPr>
          <w:color w:val="222222"/>
        </w:rPr>
        <w:t xml:space="preserve">Any partner or sub-grantee receiving TJF funds for beneficiary-facing activity shall sign an agreement requiring an equivalent safeguarding standard, per the Safeguarding Policy Article 11.</w:t>
      </w:r>
    </w:p>
    <w:p>
      <w:pPr>
        <w:spacing w:after="130"/>
        <w:ind w:left="72"/>
      </w:pPr>
      <w:r>
        <w:rPr>
          <w:b/>
          <w:bCs/>
          <w:color w:val="222222"/>
        </w:rPr>
        <w:t xml:space="preserve">6.3.2  </w:t>
      </w:r>
      <w:r>
        <w:rPr>
          <w:color w:val="222222"/>
        </w:rPr>
        <w:t xml:space="preserve">Partner performance shall be reviewed at least at the midpoint and close of any funded activity.</w:t>
      </w:r>
    </w:p>
    <w:p>
      <w:pPr>
        <w:pStyle w:val="Heading2"/>
        <w:spacing w:after="110" w:before="220"/>
      </w:pPr>
      <w:r>
        <w:rPr>
          <w:b/>
          <w:bCs/>
          <w:color w:val="B8543E"/>
        </w:rPr>
        <w:t xml:space="preserve">6.4 Beneficiary Data and Consent</w:t>
      </w:r>
    </w:p>
    <w:p>
      <w:pPr>
        <w:spacing w:after="130"/>
        <w:ind w:left="72"/>
      </w:pPr>
      <w:r>
        <w:rPr>
          <w:b/>
          <w:bCs/>
          <w:color w:val="222222"/>
        </w:rPr>
        <w:t xml:space="preserve">6.4.1  </w:t>
      </w:r>
      <w:r>
        <w:rPr>
          <w:color w:val="222222"/>
        </w:rPr>
        <w:t xml:space="preserve">Beneficiary personal data (names, photos, stories) shall only be collected and used with informed consent, and only for the purpose disclosed at the time of consent.</w:t>
      </w:r>
    </w:p>
    <w:p>
      <w:pPr>
        <w:spacing w:after="130"/>
        <w:ind w:left="72"/>
      </w:pPr>
      <w:r>
        <w:rPr>
          <w:b/>
          <w:bCs/>
          <w:color w:val="222222"/>
        </w:rPr>
        <w:t xml:space="preserve">6.4.2  </w:t>
      </w:r>
      <w:r>
        <w:rPr>
          <w:color w:val="222222"/>
        </w:rPr>
        <w:t xml:space="preserve">Beneficiary data is subject to the same protections set out in Section 8 (Data Protection and IT Policy).</w:t>
      </w:r>
    </w:p>
    <w:p>
      <w:pPr>
        <w:pStyle w:val="Heading1"/>
        <w:pageBreakBefore/>
        <w:pBdr>
          <w:bottom w:val="single" w:color="B8543E" w:sz="8" w:space="4"/>
        </w:pBdr>
        <w:spacing w:after="200" w:before="240"/>
      </w:pPr>
      <w:bookmarkStart w:name="7-communications-and-branding-protocols" w:id="1006"/>
      <w:r>
        <w:rPr>
          <w:b/>
          <w:bCs/>
          <w:color w:val="1E2761"/>
        </w:rPr>
        <w:t xml:space="preserve">7. Communications and Branding Protocols</w:t>
      </w:r>
      <w:bookmarkEnd w:id="1006"/>
    </w:p>
    <w:p>
      <w:pPr>
        <w:pStyle w:val="Heading2"/>
        <w:spacing w:after="110" w:before="220"/>
      </w:pPr>
      <w:r>
        <w:rPr>
          <w:b/>
          <w:bCs/>
          <w:color w:val="B8543E"/>
        </w:rPr>
        <w:t xml:space="preserve">7.1 Internal Communications</w:t>
      </w:r>
    </w:p>
    <w:p>
      <w:pPr>
        <w:spacing w:after="90"/>
        <w:ind w:left="431"/>
      </w:pPr>
      <w:r>
        <w:rPr>
          <w:color w:val="222222"/>
        </w:rPr>
        <w:t xml:space="preserve">•  Board-to-staff communication flows through the Executive Director unless the Board specifically authorizes otherwise (Board Charter Article 12.3)</w:t>
      </w:r>
    </w:p>
    <w:p>
      <w:pPr>
        <w:spacing w:after="90"/>
        <w:ind w:left="431"/>
      </w:pPr>
      <w:r>
        <w:rPr>
          <w:color w:val="222222"/>
        </w:rPr>
        <w:t xml:space="preserve">•  Significant operational decisions are documented in writing (email or minutes), not agreed verbally only</w:t>
      </w:r>
    </w:p>
    <w:p>
      <w:pPr>
        <w:pStyle w:val="Heading2"/>
        <w:spacing w:after="110" w:before="220"/>
      </w:pPr>
      <w:r>
        <w:rPr>
          <w:b/>
          <w:bCs/>
          <w:color w:val="B8543E"/>
        </w:rPr>
        <w:t xml:space="preserve">7.2 External and Media Communications</w:t>
      </w:r>
    </w:p>
    <w:p>
      <w:pPr>
        <w:spacing w:after="130"/>
        <w:ind w:left="72"/>
      </w:pPr>
      <w:r>
        <w:rPr>
          <w:b/>
          <w:bCs/>
          <w:color w:val="222222"/>
        </w:rPr>
        <w:t xml:space="preserve">7.2.1  </w:t>
      </w:r>
      <w:r>
        <w:rPr>
          <w:color w:val="222222"/>
        </w:rPr>
        <w:t xml:space="preserve">Only the Executive Director, the Board Chairperson, or an explicitly designated spokesperson may speak to press or make public statements on TJF's behalf.</w:t>
      </w:r>
    </w:p>
    <w:p>
      <w:pPr>
        <w:spacing w:after="130"/>
        <w:ind w:left="72"/>
      </w:pPr>
      <w:r>
        <w:rPr>
          <w:b/>
          <w:bCs/>
          <w:color w:val="222222"/>
        </w:rPr>
        <w:t xml:space="preserve">7.2.2  </w:t>
      </w:r>
      <w:r>
        <w:rPr>
          <w:color w:val="222222"/>
        </w:rPr>
        <w:t xml:space="preserve">Any media inquiry received by other staff shall be forwarded promptly to the Executive Director, not answered independently.</w:t>
      </w:r>
    </w:p>
    <w:p>
      <w:pPr>
        <w:pStyle w:val="Heading2"/>
        <w:spacing w:after="110" w:before="220"/>
      </w:pPr>
      <w:r>
        <w:rPr>
          <w:b/>
          <w:bCs/>
          <w:color w:val="B8543E"/>
        </w:rPr>
        <w:t xml:space="preserve">7.3 Social Media Posting Protocol</w:t>
      </w:r>
    </w:p>
    <w:p>
      <w:pPr>
        <w:spacing w:after="130"/>
        <w:ind w:left="72"/>
      </w:pPr>
      <w:r>
        <w:rPr>
          <w:b/>
          <w:bCs/>
          <w:color w:val="222222"/>
        </w:rPr>
        <w:t xml:space="preserve">7.3.1  </w:t>
      </w:r>
      <w:r>
        <w:rPr>
          <w:color w:val="222222"/>
        </w:rPr>
        <w:t xml:space="preserve">Social media content follows the brand voice, palette, and templates set out in TJF's Global Awareness &amp; Fundraising Campaign Strategy.</w:t>
      </w:r>
    </w:p>
    <w:p>
      <w:pPr>
        <w:spacing w:after="130"/>
        <w:ind w:left="72"/>
      </w:pPr>
      <w:r>
        <w:rPr>
          <w:b/>
          <w:bCs/>
          <w:color w:val="222222"/>
        </w:rPr>
        <w:t xml:space="preserve">7.3.2  </w:t>
      </w:r>
      <w:r>
        <w:rPr>
          <w:color w:val="222222"/>
        </w:rPr>
        <w:t xml:space="preserve">No beneficiary photo, name, or story may be posted publicly without documented consent per Section 6.4.</w:t>
      </w:r>
    </w:p>
    <w:p>
      <w:pPr>
        <w:spacing w:after="130"/>
        <w:ind w:left="72"/>
      </w:pPr>
      <w:r>
        <w:rPr>
          <w:b/>
          <w:bCs/>
          <w:color w:val="222222"/>
        </w:rPr>
        <w:t xml:space="preserve">7.3.3  </w:t>
      </w:r>
      <w:r>
        <w:rPr>
          <w:color w:val="222222"/>
        </w:rPr>
        <w:t xml:space="preserve">Posts referencing financial figures, partnerships, or program outcomes shall be reviewed by the Executive Director before publishing.</w:t>
      </w:r>
    </w:p>
    <w:p>
      <w:pPr>
        <w:pStyle w:val="Heading2"/>
        <w:spacing w:after="110" w:before="220"/>
      </w:pPr>
      <w:r>
        <w:rPr>
          <w:b/>
          <w:bCs/>
          <w:color w:val="B8543E"/>
        </w:rPr>
        <w:t xml:space="preserve">7.4 Brand and Visual Identity</w:t>
      </w:r>
    </w:p>
    <w:p>
      <w:pPr>
        <w:spacing w:after="130"/>
      </w:pPr>
      <w:r>
        <w:rPr>
          <w:b w:val="false"/>
          <w:bCs w:val="false"/>
          <w:i w:val="false"/>
          <w:iCs w:val="false"/>
          <w:color w:val="222222"/>
        </w:rPr>
        <w:t xml:space="preserve">All materials use TJF's established palette (navy #1E2761, terracotta #C4623C, gold #D8A63D, sage #7C9473, sand #F1E9DD) and typography (Fraunces, Work Sans, IBM Plex Mono), consistent with the website, governance documents, and logo kit.</w:t>
      </w:r>
    </w:p>
    <w:p>
      <w:pPr>
        <w:pStyle w:val="Heading1"/>
        <w:pageBreakBefore/>
        <w:pBdr>
          <w:bottom w:val="single" w:color="B8543E" w:sz="8" w:space="4"/>
        </w:pBdr>
        <w:spacing w:after="200" w:before="240"/>
      </w:pPr>
      <w:bookmarkStart w:name="8-data-protection-and-it-policy" w:id="1007"/>
      <w:r>
        <w:rPr>
          <w:b/>
          <w:bCs/>
          <w:color w:val="1E2761"/>
        </w:rPr>
        <w:t xml:space="preserve">8. Data Protection and IT Policy</w:t>
      </w:r>
      <w:bookmarkEnd w:id="1007"/>
    </w:p>
    <w:p>
      <w:pPr>
        <w:pStyle w:val="Heading2"/>
        <w:spacing w:after="110" w:before="220"/>
      </w:pPr>
      <w:r>
        <w:rPr>
          <w:b/>
          <w:bCs/>
          <w:color w:val="B8543E"/>
        </w:rPr>
        <w:t xml:space="preserve">8.1 Data Classification</w:t>
      </w:r>
    </w:p>
    <w:p>
      <w:pPr>
        <w:spacing w:after="90"/>
        <w:ind w:left="431"/>
      </w:pPr>
      <w:r>
        <w:rPr>
          <w:color w:val="222222"/>
        </w:rPr>
        <w:t xml:space="preserve">•  Public — website content, published reports</w:t>
      </w:r>
    </w:p>
    <w:p>
      <w:pPr>
        <w:spacing w:after="90"/>
        <w:ind w:left="431"/>
      </w:pPr>
      <w:r>
        <w:rPr>
          <w:color w:val="222222"/>
        </w:rPr>
        <w:t xml:space="preserve">•  Internal — staff communications, internal reports</w:t>
      </w:r>
    </w:p>
    <w:p>
      <w:pPr>
        <w:spacing w:after="90"/>
        <w:ind w:left="431"/>
      </w:pPr>
      <w:r>
        <w:rPr>
          <w:color w:val="222222"/>
        </w:rPr>
        <w:t xml:space="preserve">•  Confidential — donor personal/payment data, beneficiary personal data, HR records, unpublished financials</w:t>
      </w:r>
    </w:p>
    <w:p>
      <w:pPr>
        <w:pStyle w:val="Heading2"/>
        <w:spacing w:after="110" w:before="220"/>
      </w:pPr>
      <w:r>
        <w:rPr>
          <w:b/>
          <w:bCs/>
          <w:color w:val="B8543E"/>
        </w:rPr>
        <w:t xml:space="preserve">8.2 Data Retention</w:t>
      </w:r>
    </w:p>
    <w:p>
      <w:pPr>
        <w:spacing w:after="130"/>
        <w:ind w:left="72"/>
      </w:pPr>
      <w:r>
        <w:rPr>
          <w:b/>
          <w:bCs/>
          <w:color w:val="222222"/>
        </w:rPr>
        <w:t xml:space="preserve">8.2.1  </w:t>
      </w:r>
      <w:r>
        <w:rPr>
          <w:color w:val="222222"/>
        </w:rPr>
        <w:t xml:space="preserve">Confidential data is retained only as long as necessary for the purpose collected, or as required by law (e.g., financial records retained per Ugandan tax requirements), and securely deleted thereafter.</w:t>
      </w:r>
    </w:p>
    <w:p>
      <w:pPr>
        <w:spacing w:after="130"/>
        <w:ind w:left="72"/>
      </w:pPr>
      <w:r>
        <w:rPr>
          <w:b/>
          <w:bCs/>
          <w:color w:val="222222"/>
        </w:rPr>
        <w:t xml:space="preserve">8.2.2  </w:t>
      </w:r>
      <w:r>
        <w:rPr>
          <w:color w:val="222222"/>
        </w:rPr>
        <w:t xml:space="preserve">Conflict of Interest declarations and safeguarding records are retained for not less than seven years, per those policies.</w:t>
      </w:r>
    </w:p>
    <w:p>
      <w:pPr>
        <w:pStyle w:val="Heading2"/>
        <w:spacing w:after="110" w:before="220"/>
      </w:pPr>
      <w:r>
        <w:rPr>
          <w:b/>
          <w:bCs/>
          <w:color w:val="B8543E"/>
        </w:rPr>
        <w:t xml:space="preserve">8.3 IT Security Practices</w:t>
      </w:r>
    </w:p>
    <w:p>
      <w:pPr>
        <w:spacing w:after="90"/>
        <w:ind w:left="431"/>
      </w:pPr>
      <w:r>
        <w:rPr>
          <w:color w:val="222222"/>
        </w:rPr>
        <w:t xml:space="preserve">•  Unique logins for every system; no shared passwords for financial or donor-data systems</w:t>
      </w:r>
    </w:p>
    <w:p>
      <w:pPr>
        <w:spacing w:after="90"/>
        <w:ind w:left="431"/>
      </w:pPr>
      <w:r>
        <w:rPr>
          <w:color w:val="222222"/>
        </w:rPr>
        <w:t xml:space="preserve">•  Two-factor authentication enabled on email, banking, and donor-database accounts</w:t>
      </w:r>
    </w:p>
    <w:p>
      <w:pPr>
        <w:spacing w:after="90"/>
        <w:ind w:left="431"/>
      </w:pPr>
      <w:r>
        <w:rPr>
          <w:color w:val="222222"/>
        </w:rPr>
        <w:t xml:space="preserve">•  Devices used for TJF work are password-protected and encrypted where they hold confidential data</w:t>
      </w:r>
    </w:p>
    <w:p>
      <w:pPr>
        <w:spacing w:after="90"/>
        <w:ind w:left="431"/>
      </w:pPr>
      <w:r>
        <w:rPr>
          <w:color w:val="222222"/>
        </w:rPr>
        <w:t xml:space="preserve">•  Access to donor and beneficiary data is limited to those with a legitimate operational need</w:t>
      </w:r>
    </w:p>
    <w:p>
      <w:pPr>
        <w:pStyle w:val="Heading1"/>
        <w:pageBreakBefore/>
        <w:pBdr>
          <w:bottom w:val="single" w:color="B8543E" w:sz="8" w:space="4"/>
        </w:pBdr>
        <w:spacing w:after="200" w:before="240"/>
      </w:pPr>
      <w:bookmarkStart w:name="9-travel-and-expense-policy" w:id="1008"/>
      <w:r>
        <w:rPr>
          <w:b/>
          <w:bCs/>
          <w:color w:val="1E2761"/>
        </w:rPr>
        <w:t xml:space="preserve">9. Travel and Expense Policy</w:t>
      </w:r>
      <w:bookmarkEnd w:id="1008"/>
    </w:p>
    <w:p>
      <w:pPr>
        <w:spacing w:after="130"/>
        <w:ind w:left="72"/>
      </w:pPr>
      <w:r>
        <w:rPr>
          <w:b/>
          <w:bCs/>
          <w:color w:val="222222"/>
        </w:rPr>
        <w:t xml:space="preserve">9.1  </w:t>
      </w:r>
      <w:r>
        <w:rPr>
          <w:color w:val="222222"/>
        </w:rPr>
        <w:t xml:space="preserve">Travel for TJF business shall be pre-approved by the Executive Director (or, for the Executive Director, the Board Chairperson) before booking.</w:t>
      </w:r>
    </w:p>
    <w:p>
      <w:pPr>
        <w:spacing w:after="130"/>
        <w:ind w:left="72"/>
      </w:pPr>
      <w:r>
        <w:rPr>
          <w:b/>
          <w:bCs/>
          <w:color w:val="222222"/>
        </w:rPr>
        <w:t xml:space="preserve">9.2  </w:t>
      </w:r>
      <w:r>
        <w:rPr>
          <w:color w:val="222222"/>
        </w:rPr>
        <w:t xml:space="preserve">Reasonable travel, accommodation, and subsistence costs are reimbursable with original receipts, using the Expense Claim Form at Section 14.</w:t>
      </w:r>
    </w:p>
    <w:p>
      <w:pPr>
        <w:spacing w:after="130"/>
        <w:ind w:left="72"/>
      </w:pPr>
      <w:r>
        <w:rPr>
          <w:b/>
          <w:bCs/>
          <w:color w:val="222222"/>
        </w:rPr>
        <w:t xml:space="preserve">9.3  </w:t>
      </w:r>
      <w:r>
        <w:rPr>
          <w:color w:val="222222"/>
        </w:rPr>
        <w:t xml:space="preserve">Trustees may be reimbursed for reasonable expenses per Board Charter Article 10.2, but receive no remuneration for service.</w:t>
      </w:r>
    </w:p>
    <w:p>
      <w:pPr>
        <w:spacing w:after="130"/>
        <w:ind w:left="72"/>
      </w:pPr>
      <w:r>
        <w:rPr>
          <w:b/>
          <w:bCs/>
          <w:color w:val="222222"/>
        </w:rPr>
        <w:t xml:space="preserve">9.4  </w:t>
      </w:r>
      <w:r>
        <w:rPr>
          <w:color w:val="222222"/>
        </w:rPr>
        <w:t xml:space="preserve">Expense claims shall be submitted within 30 days of the expense being incurred.</w:t>
      </w:r>
    </w:p>
    <w:p>
      <w:pPr>
        <w:pStyle w:val="Heading1"/>
        <w:pageBreakBefore/>
        <w:pBdr>
          <w:bottom w:val="single" w:color="B8543E" w:sz="8" w:space="4"/>
        </w:pBdr>
        <w:spacing w:after="200" w:before="240"/>
      </w:pPr>
      <w:bookmarkStart w:name="10-health-safety-and-security" w:id="1009"/>
      <w:r>
        <w:rPr>
          <w:b/>
          <w:bCs/>
          <w:color w:val="1E2761"/>
        </w:rPr>
        <w:t xml:space="preserve">10. Health, Safety and Security</w:t>
      </w:r>
      <w:bookmarkEnd w:id="1009"/>
    </w:p>
    <w:p>
      <w:pPr>
        <w:spacing w:after="130"/>
        <w:ind w:left="72"/>
      </w:pPr>
      <w:r>
        <w:rPr>
          <w:b/>
          <w:bCs/>
          <w:color w:val="222222"/>
        </w:rPr>
        <w:t xml:space="preserve">10.1  </w:t>
      </w:r>
      <w:r>
        <w:rPr>
          <w:color w:val="222222"/>
        </w:rPr>
        <w:t xml:space="preserve">TJF shall take reasonable steps to ensure the safety of staff and volunteers conducting field visits, including a basic risk assessment before travel to any new location.</w:t>
      </w:r>
    </w:p>
    <w:p>
      <w:pPr>
        <w:spacing w:after="130"/>
        <w:ind w:left="72"/>
      </w:pPr>
      <w:r>
        <w:rPr>
          <w:b/>
          <w:bCs/>
          <w:color w:val="222222"/>
        </w:rPr>
        <w:t xml:space="preserve">10.2  </w:t>
      </w:r>
      <w:r>
        <w:rPr>
          <w:color w:val="222222"/>
        </w:rPr>
        <w:t xml:space="preserve">A designated emergency contact and check-in procedure shall be established for any staff or volunteer traveling to a field site alone.</w:t>
      </w:r>
    </w:p>
    <w:p>
      <w:pPr>
        <w:spacing w:after="130"/>
        <w:ind w:left="72"/>
      </w:pPr>
      <w:r>
        <w:rPr>
          <w:b/>
          <w:bCs/>
          <w:color w:val="222222"/>
        </w:rPr>
        <w:t xml:space="preserve">10.3  </w:t>
      </w:r>
      <w:r>
        <w:rPr>
          <w:color w:val="222222"/>
        </w:rPr>
        <w:t xml:space="preserve">Any workplace incident, injury, or near-miss shall be reported to the Executive Director within 24 hours and logged in an incident register.</w:t>
      </w:r>
    </w:p>
    <w:p>
      <w:pPr>
        <w:pStyle w:val="Heading1"/>
        <w:pageBreakBefore/>
        <w:pBdr>
          <w:bottom w:val="single" w:color="B8543E" w:sz="8" w:space="4"/>
        </w:pBdr>
        <w:spacing w:after="200" w:before="240"/>
      </w:pPr>
      <w:bookmarkStart w:name="11-record-keeping-and-document-management" w:id="1010"/>
      <w:r>
        <w:rPr>
          <w:b/>
          <w:bCs/>
          <w:color w:val="1E2761"/>
        </w:rPr>
        <w:t xml:space="preserve">11. Record-Keeping and Document Management</w:t>
      </w:r>
      <w:bookmarkEnd w:id="1010"/>
    </w:p>
    <w:p>
      <w:pPr>
        <w:spacing w:after="130"/>
        <w:ind w:left="72"/>
      </w:pPr>
      <w:r>
        <w:rPr>
          <w:b/>
          <w:bCs/>
          <w:color w:val="222222"/>
        </w:rPr>
        <w:t xml:space="preserve">11.1  </w:t>
      </w:r>
      <w:r>
        <w:rPr>
          <w:color w:val="222222"/>
        </w:rPr>
        <w:t xml:space="preserve">Governance records (minutes, resolutions, registers of interest) are maintained per the Board Charter and Constitution, and are the Secretary's responsibility.</w:t>
      </w:r>
    </w:p>
    <w:p>
      <w:pPr>
        <w:spacing w:after="130"/>
        <w:ind w:left="72"/>
      </w:pPr>
      <w:r>
        <w:rPr>
          <w:b/>
          <w:bCs/>
          <w:color w:val="222222"/>
        </w:rPr>
        <w:t xml:space="preserve">11.2  </w:t>
      </w:r>
      <w:r>
        <w:rPr>
          <w:color w:val="222222"/>
        </w:rPr>
        <w:t xml:space="preserve">Financial records are maintained per Section 4 and retained per statutory requirements under Ugandan law.</w:t>
      </w:r>
    </w:p>
    <w:p>
      <w:pPr>
        <w:spacing w:after="130"/>
        <w:ind w:left="72"/>
      </w:pPr>
      <w:r>
        <w:rPr>
          <w:b/>
          <w:bCs/>
          <w:color w:val="222222"/>
        </w:rPr>
        <w:t xml:space="preserve">11.3  </w:t>
      </w:r>
      <w:r>
        <w:rPr>
          <w:color w:val="222222"/>
        </w:rPr>
        <w:t xml:space="preserve">Program records (concept notes, MEL data, partner agreements) are maintained by the relevant Program Director and backed up in a shared, access-controlled system.</w:t>
      </w:r>
    </w:p>
    <w:p>
      <w:pPr>
        <w:spacing w:after="130"/>
        <w:ind w:left="72"/>
      </w:pPr>
      <w:r>
        <w:rPr>
          <w:b/>
          <w:bCs/>
          <w:color w:val="222222"/>
        </w:rPr>
        <w:t xml:space="preserve">11.4  </w:t>
      </w:r>
      <w:r>
        <w:rPr>
          <w:color w:val="222222"/>
        </w:rPr>
        <w:t xml:space="preserve">Wherever practical, records are stored digitally in a shared, backed-up location accessible to more than one person — no critical record should exist in only one person's possession.</w:t>
      </w:r>
    </w:p>
    <w:p>
      <w:pPr>
        <w:pStyle w:val="Heading1"/>
        <w:pageBreakBefore/>
        <w:pBdr>
          <w:bottom w:val="single" w:color="B8543E" w:sz="8" w:space="4"/>
        </w:pBdr>
        <w:spacing w:after="200" w:before="240"/>
      </w:pPr>
      <w:bookmarkStart w:name="12-emergency-and-crisis-response-procedures" w:id="1011"/>
      <w:r>
        <w:rPr>
          <w:b/>
          <w:bCs/>
          <w:color w:val="1E2761"/>
        </w:rPr>
        <w:t xml:space="preserve">12. Emergency and Crisis Response Procedures</w:t>
      </w:r>
      <w:bookmarkEnd w:id="1011"/>
    </w:p>
    <w:p>
      <w:pPr>
        <w:spacing w:after="130"/>
        <w:ind w:left="72"/>
      </w:pPr>
      <w:r>
        <w:rPr>
          <w:b/>
          <w:bCs/>
          <w:color w:val="222222"/>
        </w:rPr>
        <w:t xml:space="preserve">12.1  </w:t>
      </w:r>
      <w:r>
        <w:rPr>
          <w:color w:val="222222"/>
        </w:rPr>
        <w:t xml:space="preserve">In the event of a safeguarding emergency, the procedure in the Safeguarding Policy (Articles 7–9) takes precedence over any other procedure in this Manual.</w:t>
      </w:r>
    </w:p>
    <w:p>
      <w:pPr>
        <w:spacing w:after="130"/>
        <w:ind w:left="72"/>
      </w:pPr>
      <w:r>
        <w:rPr>
          <w:b/>
          <w:bCs/>
          <w:color w:val="222222"/>
        </w:rPr>
        <w:t xml:space="preserve">12.2  </w:t>
      </w:r>
      <w:r>
        <w:rPr>
          <w:color w:val="222222"/>
        </w:rPr>
        <w:t xml:space="preserve">In the event of a suspected fraud, financial crime, or major governance concern, the Whistleblower Policy procedure applies.</w:t>
      </w:r>
    </w:p>
    <w:p>
      <w:pPr>
        <w:spacing w:after="130"/>
        <w:ind w:left="72"/>
      </w:pPr>
      <w:r>
        <w:rPr>
          <w:b/>
          <w:bCs/>
          <w:color w:val="222222"/>
        </w:rPr>
        <w:t xml:space="preserve">12.3  </w:t>
      </w:r>
      <w:r>
        <w:rPr>
          <w:color w:val="222222"/>
        </w:rPr>
        <w:t xml:space="preserve">For any other operational crisis (natural disaster, security incident, major reputational issue), the Executive Director shall notify the Board Chairperson within 24 hours, and the Board shall convene an emergency meeting per Board Charter Article 6.1 (urgent meetings) if warranted.</w:t>
      </w:r>
    </w:p>
    <w:p>
      <w:pPr>
        <w:spacing w:after="130"/>
        <w:ind w:left="72"/>
      </w:pPr>
      <w:r>
        <w:rPr>
          <w:b/>
          <w:bCs/>
          <w:color w:val="222222"/>
        </w:rPr>
        <w:t xml:space="preserve">12.4  </w:t>
      </w:r>
      <w:r>
        <w:rPr>
          <w:color w:val="222222"/>
        </w:rPr>
        <w:t xml:space="preserve">A single point of contact shall be designated to handle any external communications during a crisis, per Section 7.2.</w:t>
      </w:r>
    </w:p>
    <w:p>
      <w:pPr>
        <w:pStyle w:val="Heading1"/>
        <w:pageBreakBefore/>
        <w:pBdr>
          <w:bottom w:val="single" w:color="B8543E" w:sz="8" w:space="4"/>
        </w:pBdr>
        <w:spacing w:after="200" w:before="240"/>
      </w:pPr>
      <w:bookmarkStart w:name="13-annual-operational-calendar" w:id="1012"/>
      <w:r>
        <w:rPr>
          <w:b/>
          <w:bCs/>
          <w:color w:val="1E2761"/>
        </w:rPr>
        <w:t xml:space="preserve">13. Annual Operational Calendar</w:t>
      </w:r>
      <w:bookmarkEnd w:id="1012"/>
    </w:p>
    <w:p>
      <w:pPr>
        <w:spacing w:after="130"/>
      </w:pPr>
      <w:r>
        <w:rPr>
          <w:b w:val="false"/>
          <w:bCs w:val="false"/>
          <w:i w:val="false"/>
          <w:iCs w:val="false"/>
          <w:color w:val="222222"/>
        </w:rPr>
        <w:t xml:space="preserve">A consolidated view of recurring obligations already established across TJF's governance and fundraising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2761" w:val="clear"/>
            <w:vAlign w:val="center"/>
          </w:tcPr>
          <w:p>
            <w:r>
              <w:rPr>
                <w:b/>
                <w:bCs/>
                <w:color w:val="FFFFFF"/>
                <w:sz w:val="19"/>
                <w:szCs w:val="19"/>
              </w:rPr>
              <w:t xml:space="preserve">Timing</w:t>
            </w:r>
          </w:p>
        </w:tc>
        <w:tc>
          <w:tcPr>
            <w:tcW w:type="dxa" w:w="5150"/>
            <w:shd w:fill="1E2761" w:val="clear"/>
            <w:vAlign w:val="center"/>
          </w:tcPr>
          <w:p>
            <w:r>
              <w:rPr>
                <w:b/>
                <w:bCs/>
                <w:color w:val="FFFFFF"/>
                <w:sz w:val="19"/>
                <w:szCs w:val="19"/>
              </w:rPr>
              <w:t xml:space="preserve">Obligation</w:t>
            </w:r>
          </w:p>
        </w:tc>
        <w:tc>
          <w:tcPr>
            <w:tcW w:type="dxa" w:w="2000"/>
            <w:shd w:fill="1E2761" w:val="clear"/>
            <w:vAlign w:val="center"/>
          </w:tcPr>
          <w:p>
            <w:r>
              <w:rPr>
                <w:b/>
                <w:bCs/>
                <w:color w:val="FFFFFF"/>
                <w:sz w:val="19"/>
                <w:szCs w:val="19"/>
              </w:rPr>
              <w:t xml:space="preserve">Reference</w:t>
            </w:r>
          </w:p>
        </w:tc>
      </w:tr>
      <w:tr>
        <w:tc>
          <w:tcPr>
            <w:tcW w:type="dxa" w:w="2200"/>
            <w:vAlign w:val="center"/>
          </w:tcPr>
          <w:p>
            <w:pPr>
              <w:spacing w:after="80" w:before="80"/>
            </w:pPr>
            <w:r>
              <w:rPr>
                <w:b/>
                <w:bCs/>
                <w:color w:val="222222"/>
                <w:sz w:val="19"/>
                <w:szCs w:val="19"/>
              </w:rPr>
              <w:t xml:space="preserve">Monthly</w:t>
            </w:r>
          </w:p>
        </w:tc>
        <w:tc>
          <w:tcPr>
            <w:tcW w:type="dxa" w:w="5150"/>
            <w:vAlign w:val="center"/>
          </w:tcPr>
          <w:p>
            <w:pPr>
              <w:spacing w:after="80" w:before="80"/>
            </w:pPr>
            <w:r>
              <w:rPr>
                <w:b w:val="false"/>
                <w:bCs w:val="false"/>
                <w:color w:val="222222"/>
                <w:sz w:val="19"/>
                <w:szCs w:val="19"/>
              </w:rPr>
              <w:t xml:space="preserve">Management accounts; petty cash reconciliation; program activity reports</w:t>
            </w:r>
          </w:p>
        </w:tc>
        <w:tc>
          <w:tcPr>
            <w:tcW w:type="dxa" w:w="2000"/>
            <w:vAlign w:val="center"/>
          </w:tcPr>
          <w:p>
            <w:pPr>
              <w:spacing w:after="80" w:before="80"/>
            </w:pPr>
            <w:r>
              <w:rPr>
                <w:b w:val="false"/>
                <w:bCs w:val="false"/>
                <w:color w:val="222222"/>
                <w:sz w:val="19"/>
                <w:szCs w:val="19"/>
              </w:rPr>
              <w:t xml:space="preserve">Sec. 4.5, 4.3, 6.2</w:t>
            </w:r>
          </w:p>
        </w:tc>
      </w:tr>
      <w:tr>
        <w:tc>
          <w:tcPr>
            <w:tcW w:type="dxa" w:w="2200"/>
            <w:shd w:fill="F1E9DD" w:val="clear"/>
            <w:vAlign w:val="center"/>
          </w:tcPr>
          <w:p>
            <w:pPr>
              <w:spacing w:after="80" w:before="80"/>
            </w:pPr>
            <w:r>
              <w:rPr>
                <w:b/>
                <w:bCs/>
                <w:color w:val="222222"/>
                <w:sz w:val="19"/>
                <w:szCs w:val="19"/>
              </w:rPr>
              <w:t xml:space="preserve">Quarterly</w:t>
            </w:r>
          </w:p>
        </w:tc>
        <w:tc>
          <w:tcPr>
            <w:tcW w:type="dxa" w:w="5150"/>
            <w:shd w:fill="F1E9DD" w:val="clear"/>
            <w:vAlign w:val="center"/>
          </w:tcPr>
          <w:p>
            <w:pPr>
              <w:spacing w:after="80" w:before="80"/>
            </w:pPr>
            <w:r>
              <w:rPr>
                <w:b w:val="false"/>
                <w:bCs w:val="false"/>
                <w:color w:val="222222"/>
                <w:sz w:val="19"/>
                <w:szCs w:val="19"/>
              </w:rPr>
              <w:t xml:space="preserve">Board meeting (minimum 4x/year); financial summary to Board; MEL review</w:t>
            </w:r>
          </w:p>
        </w:tc>
        <w:tc>
          <w:tcPr>
            <w:tcW w:type="dxa" w:w="2000"/>
            <w:shd w:fill="F1E9DD" w:val="clear"/>
            <w:vAlign w:val="center"/>
          </w:tcPr>
          <w:p>
            <w:pPr>
              <w:spacing w:after="80" w:before="80"/>
            </w:pPr>
            <w:r>
              <w:rPr>
                <w:b w:val="false"/>
                <w:bCs w:val="false"/>
                <w:color w:val="222222"/>
                <w:sz w:val="19"/>
                <w:szCs w:val="19"/>
              </w:rPr>
              <w:t xml:space="preserve">Board Charter Art. 6</w:t>
            </w:r>
          </w:p>
        </w:tc>
      </w:tr>
      <w:tr>
        <w:tc>
          <w:tcPr>
            <w:tcW w:type="dxa" w:w="2200"/>
            <w:vAlign w:val="center"/>
          </w:tcPr>
          <w:p>
            <w:pPr>
              <w:spacing w:after="80" w:before="80"/>
            </w:pPr>
            <w:r>
              <w:rPr>
                <w:b/>
                <w:bCs/>
                <w:color w:val="222222"/>
                <w:sz w:val="19"/>
                <w:szCs w:val="19"/>
              </w:rPr>
              <w:t xml:space="preserve">Annually</w:t>
            </w:r>
          </w:p>
        </w:tc>
        <w:tc>
          <w:tcPr>
            <w:tcW w:type="dxa" w:w="5150"/>
            <w:vAlign w:val="center"/>
          </w:tcPr>
          <w:p>
            <w:pPr>
              <w:spacing w:after="80" w:before="80"/>
            </w:pPr>
            <w:r>
              <w:rPr>
                <w:b w:val="false"/>
                <w:bCs w:val="false"/>
                <w:color w:val="222222"/>
                <w:sz w:val="19"/>
                <w:szCs w:val="19"/>
              </w:rPr>
              <w:t xml:space="preserve">Budget approval; audited financials; performance reviews; policy review; grants calendar refresh</w:t>
            </w:r>
          </w:p>
        </w:tc>
        <w:tc>
          <w:tcPr>
            <w:tcW w:type="dxa" w:w="2000"/>
            <w:vAlign w:val="center"/>
          </w:tcPr>
          <w:p>
            <w:pPr>
              <w:spacing w:after="80" w:before="80"/>
            </w:pPr>
            <w:r>
              <w:rPr>
                <w:b w:val="false"/>
                <w:bCs w:val="false"/>
                <w:color w:val="222222"/>
                <w:sz w:val="19"/>
                <w:szCs w:val="19"/>
              </w:rPr>
              <w:t xml:space="preserve">Sec. 4.1, 4.5, 3.4</w:t>
            </w:r>
          </w:p>
        </w:tc>
      </w:tr>
      <w:tr>
        <w:tc>
          <w:tcPr>
            <w:tcW w:type="dxa" w:w="2200"/>
            <w:shd w:fill="F1E9DD" w:val="clear"/>
            <w:vAlign w:val="center"/>
          </w:tcPr>
          <w:p>
            <w:pPr>
              <w:spacing w:after="80" w:before="80"/>
            </w:pPr>
            <w:r>
              <w:rPr>
                <w:b/>
                <w:bCs/>
                <w:color w:val="222222"/>
                <w:sz w:val="19"/>
                <w:szCs w:val="19"/>
              </w:rPr>
              <w:t xml:space="preserve">Annually (June)</w:t>
            </w:r>
          </w:p>
        </w:tc>
        <w:tc>
          <w:tcPr>
            <w:tcW w:type="dxa" w:w="5150"/>
            <w:shd w:fill="F1E9DD" w:val="clear"/>
            <w:vAlign w:val="center"/>
          </w:tcPr>
          <w:p>
            <w:pPr>
              <w:spacing w:after="80" w:before="80"/>
            </w:pPr>
            <w:r>
              <w:rPr>
                <w:b w:val="false"/>
                <w:bCs w:val="false"/>
                <w:color w:val="222222"/>
                <w:sz w:val="19"/>
                <w:szCs w:val="19"/>
              </w:rPr>
              <w:t xml:space="preserve">Jopetnah Day giving blitz</w:t>
            </w:r>
          </w:p>
        </w:tc>
        <w:tc>
          <w:tcPr>
            <w:tcW w:type="dxa" w:w="2000"/>
            <w:shd w:fill="F1E9DD" w:val="clear"/>
            <w:vAlign w:val="center"/>
          </w:tcPr>
          <w:p>
            <w:pPr>
              <w:spacing w:after="80" w:before="80"/>
            </w:pPr>
            <w:r>
              <w:rPr>
                <w:b w:val="false"/>
                <w:bCs w:val="false"/>
                <w:color w:val="222222"/>
                <w:sz w:val="19"/>
                <w:szCs w:val="19"/>
              </w:rPr>
              <w:t xml:space="preserve">Event Plan Part A</w:t>
            </w:r>
          </w:p>
        </w:tc>
      </w:tr>
      <w:tr>
        <w:tc>
          <w:tcPr>
            <w:tcW w:type="dxa" w:w="2200"/>
            <w:vAlign w:val="center"/>
          </w:tcPr>
          <w:p>
            <w:pPr>
              <w:spacing w:after="80" w:before="80"/>
            </w:pPr>
            <w:r>
              <w:rPr>
                <w:b/>
                <w:bCs/>
                <w:color w:val="222222"/>
                <w:sz w:val="19"/>
                <w:szCs w:val="19"/>
              </w:rPr>
              <w:t xml:space="preserve">Annually (Dec)</w:t>
            </w:r>
          </w:p>
        </w:tc>
        <w:tc>
          <w:tcPr>
            <w:tcW w:type="dxa" w:w="5150"/>
            <w:vAlign w:val="center"/>
          </w:tcPr>
          <w:p>
            <w:pPr>
              <w:spacing w:after="80" w:before="80"/>
            </w:pPr>
            <w:r>
              <w:rPr>
                <w:b w:val="false"/>
                <w:bCs w:val="false"/>
                <w:color w:val="222222"/>
                <w:sz w:val="19"/>
                <w:szCs w:val="19"/>
              </w:rPr>
              <w:t xml:space="preserve">Annual Gala; year-end giving push</w:t>
            </w:r>
          </w:p>
        </w:tc>
        <w:tc>
          <w:tcPr>
            <w:tcW w:type="dxa" w:w="2000"/>
            <w:vAlign w:val="center"/>
          </w:tcPr>
          <w:p>
            <w:pPr>
              <w:spacing w:after="80" w:before="80"/>
            </w:pPr>
            <w:r>
              <w:rPr>
                <w:b w:val="false"/>
                <w:bCs w:val="false"/>
                <w:color w:val="222222"/>
                <w:sz w:val="19"/>
                <w:szCs w:val="19"/>
              </w:rPr>
              <w:t xml:space="preserve">Event Plan Part B</w:t>
            </w:r>
          </w:p>
        </w:tc>
      </w:tr>
      <w:tr>
        <w:tc>
          <w:tcPr>
            <w:tcW w:type="dxa" w:w="2200"/>
            <w:shd w:fill="F1E9DD" w:val="clear"/>
            <w:vAlign w:val="center"/>
          </w:tcPr>
          <w:p>
            <w:pPr>
              <w:spacing w:after="80" w:before="80"/>
            </w:pPr>
            <w:r>
              <w:rPr>
                <w:b/>
                <w:bCs/>
                <w:color w:val="222222"/>
                <w:sz w:val="19"/>
                <w:szCs w:val="19"/>
              </w:rPr>
              <w:t xml:space="preserve">Every 2 years</w:t>
            </w:r>
          </w:p>
        </w:tc>
        <w:tc>
          <w:tcPr>
            <w:tcW w:type="dxa" w:w="5150"/>
            <w:shd w:fill="F1E9DD" w:val="clear"/>
            <w:vAlign w:val="center"/>
          </w:tcPr>
          <w:p>
            <w:pPr>
              <w:spacing w:after="80" w:before="80"/>
            </w:pPr>
            <w:r>
              <w:rPr>
                <w:b w:val="false"/>
                <w:bCs w:val="false"/>
                <w:color w:val="222222"/>
                <w:sz w:val="19"/>
                <w:szCs w:val="19"/>
              </w:rPr>
              <w:t xml:space="preserve">Board Charter and Conflict of Interest Policy review</w:t>
            </w:r>
          </w:p>
        </w:tc>
        <w:tc>
          <w:tcPr>
            <w:tcW w:type="dxa" w:w="2000"/>
            <w:shd w:fill="F1E9DD" w:val="clear"/>
            <w:vAlign w:val="center"/>
          </w:tcPr>
          <w:p>
            <w:pPr>
              <w:spacing w:after="80" w:before="80"/>
            </w:pPr>
            <w:r>
              <w:rPr>
                <w:b w:val="false"/>
                <w:bCs w:val="false"/>
                <w:color w:val="222222"/>
                <w:sz w:val="19"/>
                <w:szCs w:val="19"/>
              </w:rPr>
              <w:t xml:space="preserve">Board Charter Art. 13</w:t>
            </w:r>
          </w:p>
        </w:tc>
      </w:tr>
    </w:tbl>
    <w:p>
      <w:pPr>
        <w:pStyle w:val="Heading1"/>
        <w:pageBreakBefore/>
        <w:pBdr>
          <w:bottom w:val="single" w:color="B8543E" w:sz="8" w:space="4"/>
        </w:pBdr>
        <w:spacing w:after="200" w:before="240"/>
      </w:pPr>
      <w:bookmarkStart w:name="14-appendix-forms-and-templates" w:id="1013"/>
      <w:r>
        <w:rPr>
          <w:b/>
          <w:bCs/>
          <w:color w:val="1E2761"/>
        </w:rPr>
        <w:t xml:space="preserve">14. Appendix: Forms and Templates</w:t>
      </w:r>
      <w:bookmarkEnd w:id="1013"/>
    </w:p>
    <w:p>
      <w:pPr>
        <w:pStyle w:val="Heading2"/>
        <w:spacing w:after="110" w:before="220"/>
      </w:pPr>
      <w:r>
        <w:rPr>
          <w:b/>
          <w:bCs/>
          <w:color w:val="B8543E"/>
        </w:rPr>
        <w:t xml:space="preserve">Leave Request Form</w:t>
      </w:r>
    </w:p>
    <w:p>
      <w:pPr>
        <w:spacing w:before="200"/>
      </w:pPr>
      <w:r>
        <w:rPr>
          <w:b/>
          <w:bCs/>
          <w:color w:val="222222"/>
        </w:rPr>
        <w:t xml:space="preserve">Name: </w:t>
      </w:r>
      <w:r>
        <w:rPr>
          <w:color w:val="222222"/>
        </w:rPr>
        <w:t xml:space="preserve">________________________________</w:t>
      </w:r>
    </w:p>
    <w:p>
      <w:pPr>
        <w:spacing w:before="200"/>
      </w:pPr>
      <w:r>
        <w:rPr>
          <w:b/>
          <w:bCs/>
          <w:color w:val="222222"/>
        </w:rPr>
        <w:t xml:space="preserve">Position: </w:t>
      </w:r>
      <w:r>
        <w:rPr>
          <w:color w:val="222222"/>
        </w:rPr>
        <w:t xml:space="preserve">________________________________</w:t>
      </w:r>
    </w:p>
    <w:p>
      <w:pPr>
        <w:spacing w:before="200"/>
      </w:pPr>
      <w:r>
        <w:rPr>
          <w:b/>
          <w:bCs/>
          <w:color w:val="222222"/>
        </w:rPr>
        <w:t xml:space="preserve">Dates requested: </w:t>
      </w:r>
      <w:r>
        <w:rPr>
          <w:color w:val="222222"/>
        </w:rPr>
        <w:t xml:space="preserve">________________________________</w:t>
      </w:r>
    </w:p>
    <w:p>
      <w:pPr>
        <w:spacing w:before="200"/>
      </w:pPr>
      <w:r>
        <w:rPr>
          <w:b/>
          <w:bCs/>
          <w:color w:val="222222"/>
        </w:rPr>
        <w:t xml:space="preserve">Type of leave: </w:t>
      </w:r>
      <w:r>
        <w:rPr>
          <w:color w:val="222222"/>
        </w:rPr>
        <w:t xml:space="preserve">________________________________</w:t>
      </w:r>
    </w:p>
    <w:p>
      <w:pPr>
        <w:spacing w:before="200"/>
      </w:pPr>
      <w:r>
        <w:rPr>
          <w:b/>
          <w:bCs/>
          <w:color w:val="222222"/>
        </w:rPr>
        <w:t xml:space="preserve">Approved by: </w:t>
      </w:r>
      <w:r>
        <w:rPr>
          <w:color w:val="222222"/>
        </w:rPr>
        <w:t xml:space="preserve">________________________     Date: ______________</w:t>
      </w:r>
    </w:p>
    <w:p>
      <w:pPr>
        <w:pStyle w:val="Heading2"/>
        <w:spacing w:after="110" w:before="220"/>
      </w:pPr>
      <w:r>
        <w:rPr>
          <w:b/>
          <w:bCs/>
          <w:color w:val="B8543E"/>
        </w:rPr>
        <w:t xml:space="preserve">Expense Claim Form</w:t>
      </w:r>
    </w:p>
    <w:p>
      <w:pPr>
        <w:spacing w:before="200"/>
      </w:pPr>
      <w:r>
        <w:rPr>
          <w:b/>
          <w:bCs/>
          <w:color w:val="222222"/>
        </w:rPr>
        <w:t xml:space="preserve">Name: </w:t>
      </w:r>
      <w:r>
        <w:rPr>
          <w:color w:val="222222"/>
        </w:rPr>
        <w:t xml:space="preserve">________________________________</w:t>
      </w:r>
    </w:p>
    <w:p>
      <w:pPr>
        <w:spacing w:before="200"/>
      </w:pPr>
      <w:r>
        <w:rPr>
          <w:b/>
          <w:bCs/>
          <w:color w:val="222222"/>
        </w:rPr>
        <w:t xml:space="preserve">Date(s) of expense: </w:t>
      </w:r>
      <w:r>
        <w:rPr>
          <w:color w:val="222222"/>
        </w:rPr>
        <w:t xml:space="preserve">________________________________</w:t>
      </w:r>
    </w:p>
    <w:p>
      <w:pPr>
        <w:spacing w:before="200"/>
      </w:pPr>
      <w:r>
        <w:rPr>
          <w:b/>
          <w:bCs/>
          <w:color w:val="222222"/>
        </w:rPr>
        <w:t xml:space="preserve">Purpose / program: </w:t>
      </w:r>
      <w:r>
        <w:rPr>
          <w:color w:val="222222"/>
        </w:rPr>
        <w:t xml:space="preserve">________________________________</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675"/>
            <w:shd w:fill="1E2761" w:val="clear"/>
            <w:vAlign w:val="center"/>
          </w:tcPr>
          <w:p>
            <w:r>
              <w:rPr>
                <w:b/>
                <w:bCs/>
                <w:color w:val="FFFFFF"/>
                <w:sz w:val="19"/>
                <w:szCs w:val="19"/>
              </w:rPr>
              <w:t xml:space="preserve">Item</w:t>
            </w:r>
          </w:p>
        </w:tc>
        <w:tc>
          <w:tcPr>
            <w:tcW w:type="dxa" w:w="2350"/>
            <w:shd w:fill="1E2761" w:val="clear"/>
            <w:vAlign w:val="center"/>
          </w:tcPr>
          <w:p>
            <w:r>
              <w:rPr>
                <w:b/>
                <w:bCs/>
                <w:color w:val="FFFFFF"/>
                <w:sz w:val="19"/>
                <w:szCs w:val="19"/>
              </w:rPr>
              <w:t xml:space="preserve">Amount</w:t>
            </w:r>
          </w:p>
        </w:tc>
        <w:tc>
          <w:tcPr>
            <w:tcW w:type="dxa" w:w="2325"/>
            <w:shd w:fill="1E2761" w:val="clear"/>
            <w:vAlign w:val="center"/>
          </w:tcPr>
          <w:p>
            <w:r>
              <w:rPr>
                <w:b/>
                <w:bCs/>
                <w:color w:val="FFFFFF"/>
                <w:sz w:val="19"/>
                <w:szCs w:val="19"/>
              </w:rPr>
              <w:t xml:space="preserve">Receipt Attached (Y/N)</w:t>
            </w:r>
          </w:p>
        </w:tc>
      </w:tr>
      <w:tr>
        <w:tc>
          <w:tcPr>
            <w:tcW w:type="dxa" w:w="4675"/>
          </w:tcPr>
          <w:p>
            <w:pPr>
              <w:spacing w:after="200" w:before="200"/>
            </w:pPr>
            <w:r>
              <w:t xml:space="preserve"> </w:t>
            </w:r>
          </w:p>
        </w:tc>
        <w:tc>
          <w:tcPr>
            <w:tcW w:type="dxa" w:w="2350"/>
          </w:tcPr>
          <w:p>
            <w:pPr>
              <w:spacing w:after="200" w:before="200"/>
            </w:pPr>
            <w:r>
              <w:t xml:space="preserve"> </w:t>
            </w:r>
          </w:p>
        </w:tc>
        <w:tc>
          <w:tcPr>
            <w:tcW w:type="dxa" w:w="2325"/>
          </w:tcPr>
          <w:p>
            <w:pPr>
              <w:spacing w:after="200" w:before="200"/>
            </w:pPr>
            <w:r>
              <w:t xml:space="preserve"> </w:t>
            </w:r>
          </w:p>
        </w:tc>
      </w:tr>
      <w:tr>
        <w:tc>
          <w:tcPr>
            <w:tcW w:type="dxa" w:w="4675"/>
          </w:tcPr>
          <w:p>
            <w:pPr>
              <w:spacing w:after="200" w:before="200"/>
            </w:pPr>
            <w:r>
              <w:t xml:space="preserve"> </w:t>
            </w:r>
          </w:p>
        </w:tc>
        <w:tc>
          <w:tcPr>
            <w:tcW w:type="dxa" w:w="2350"/>
          </w:tcPr>
          <w:p>
            <w:pPr>
              <w:spacing w:after="200" w:before="200"/>
            </w:pPr>
            <w:r>
              <w:t xml:space="preserve"> </w:t>
            </w:r>
          </w:p>
        </w:tc>
        <w:tc>
          <w:tcPr>
            <w:tcW w:type="dxa" w:w="2325"/>
          </w:tcPr>
          <w:p>
            <w:pPr>
              <w:spacing w:after="200" w:before="200"/>
            </w:pPr>
            <w:r>
              <w:t xml:space="preserve"> </w:t>
            </w:r>
          </w:p>
        </w:tc>
      </w:tr>
      <w:tr>
        <w:tc>
          <w:tcPr>
            <w:tcW w:type="dxa" w:w="4675"/>
          </w:tcPr>
          <w:p>
            <w:pPr>
              <w:spacing w:after="200" w:before="200"/>
            </w:pPr>
            <w:r>
              <w:t xml:space="preserve"> </w:t>
            </w:r>
          </w:p>
        </w:tc>
        <w:tc>
          <w:tcPr>
            <w:tcW w:type="dxa" w:w="2350"/>
          </w:tcPr>
          <w:p>
            <w:pPr>
              <w:spacing w:after="200" w:before="200"/>
            </w:pPr>
            <w:r>
              <w:t xml:space="preserve"> </w:t>
            </w:r>
          </w:p>
        </w:tc>
        <w:tc>
          <w:tcPr>
            <w:tcW w:type="dxa" w:w="2325"/>
          </w:tcPr>
          <w:p>
            <w:pPr>
              <w:spacing w:after="200" w:before="200"/>
            </w:pPr>
            <w:r>
              <w:t xml:space="preserve"> </w:t>
            </w:r>
          </w:p>
        </w:tc>
      </w:tr>
      <w:tr>
        <w:tc>
          <w:tcPr>
            <w:tcW w:type="dxa" w:w="4675"/>
          </w:tcPr>
          <w:p>
            <w:pPr>
              <w:spacing w:after="200" w:before="200"/>
            </w:pPr>
            <w:r>
              <w:t xml:space="preserve"> </w:t>
            </w:r>
          </w:p>
        </w:tc>
        <w:tc>
          <w:tcPr>
            <w:tcW w:type="dxa" w:w="2350"/>
          </w:tcPr>
          <w:p>
            <w:pPr>
              <w:spacing w:after="200" w:before="200"/>
            </w:pPr>
            <w:r>
              <w:t xml:space="preserve"> </w:t>
            </w:r>
          </w:p>
        </w:tc>
        <w:tc>
          <w:tcPr>
            <w:tcW w:type="dxa" w:w="2325"/>
          </w:tcPr>
          <w:p>
            <w:pPr>
              <w:spacing w:after="200" w:before="200"/>
            </w:pPr>
            <w:r>
              <w:t xml:space="preserve"> </w:t>
            </w:r>
          </w:p>
        </w:tc>
      </w:tr>
    </w:tbl>
    <w:p>
      <w:pPr>
        <w:spacing w:before="200"/>
      </w:pPr>
      <w:r>
        <w:rPr>
          <w:b/>
          <w:bCs/>
          <w:color w:val="222222"/>
        </w:rPr>
        <w:t xml:space="preserve">Total claimed: </w:t>
      </w:r>
      <w:r>
        <w:rPr>
          <w:color w:val="222222"/>
        </w:rPr>
        <w:t xml:space="preserve">________________________     Approved by: ________________________     Date: ______________</w:t>
      </w:r>
    </w:p>
    <w:p>
      <w:pPr>
        <w:pStyle w:val="Heading2"/>
        <w:spacing w:after="110" w:before="220"/>
      </w:pPr>
      <w:r>
        <w:rPr>
          <w:b/>
          <w:bCs/>
          <w:color w:val="B8543E"/>
        </w:rPr>
        <w:t xml:space="preserve">Monthly Program Activity Report Template</w:t>
      </w:r>
    </w:p>
    <w:p>
      <w:pPr>
        <w:spacing w:before="200"/>
      </w:pPr>
      <w:r>
        <w:rPr>
          <w:b/>
          <w:bCs/>
          <w:color w:val="222222"/>
        </w:rPr>
        <w:t xml:space="preserve">Program / Pillar: </w:t>
      </w:r>
      <w:r>
        <w:rPr>
          <w:color w:val="222222"/>
        </w:rPr>
        <w:t xml:space="preserve">________________________________</w:t>
      </w:r>
    </w:p>
    <w:p>
      <w:pPr>
        <w:spacing w:before="200"/>
      </w:pPr>
      <w:r>
        <w:rPr>
          <w:b/>
          <w:bCs/>
          <w:color w:val="222222"/>
        </w:rPr>
        <w:t xml:space="preserve">Reporting month: </w:t>
      </w:r>
      <w:r>
        <w:rPr>
          <w:color w:val="222222"/>
        </w:rPr>
        <w:t xml:space="preserve">________________________________</w:t>
      </w:r>
    </w:p>
    <w:p>
      <w:pPr>
        <w:spacing w:before="200"/>
      </w:pPr>
      <w:r>
        <w:rPr>
          <w:b/>
          <w:bCs/>
          <w:color w:val="222222"/>
        </w:rPr>
        <w:t xml:space="preserve">Beneficiaries reached this month: </w:t>
      </w:r>
      <w:r>
        <w:rPr>
          <w:color w:val="222222"/>
        </w:rPr>
        <w:t xml:space="preserve">________________________________</w:t>
      </w:r>
    </w:p>
    <w:p>
      <w:pPr>
        <w:spacing w:before="200"/>
      </w:pPr>
      <w:r>
        <w:rPr>
          <w:b/>
          <w:bCs/>
        </w:rPr>
        <w:t xml:space="preserve">Key activities this month: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Pr>
          <w:p>
            <w:pPr>
              <w:spacing w:before="600"/>
            </w:pPr>
            <w:r>
              <w:t xml:space="preserve"> </w:t>
            </w:r>
          </w:p>
        </w:tc>
      </w:tr>
    </w:tbl>
    <w:p>
      <w:pPr>
        <w:spacing w:before="200"/>
      </w:pPr>
      <w:r>
        <w:rPr>
          <w:b/>
          <w:bCs/>
        </w:rPr>
        <w:t xml:space="preserve">Challenges or risks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Pr>
          <w:p>
            <w:pPr>
              <w:spacing w:before="600"/>
            </w:pPr>
            <w:r>
              <w:t xml:space="preserve"> </w:t>
            </w:r>
          </w:p>
        </w:tc>
      </w:tr>
    </w:tbl>
    <w:p>
      <w:pPr>
        <w:spacing w:before="200"/>
      </w:pPr>
      <w:r>
        <w:rPr>
          <w:b/>
          <w:bCs/>
          <w:color w:val="222222"/>
        </w:rPr>
        <w:t xml:space="preserve">Submitted by: </w:t>
      </w:r>
      <w:r>
        <w:rPr>
          <w:color w:val="222222"/>
        </w:rPr>
        <w:t xml:space="preserve">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Operations Manual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2026-07-25T20:37:46.394Z</dcterms:created>
  <dcterms:modified xsi:type="dcterms:W3CDTF">2026-07-25T20:37:46.409Z</dcterms:modified>
</cp:coreProperties>
</file>

<file path=docProps/custom.xml><?xml version="1.0" encoding="utf-8"?>
<Properties xmlns="http://schemas.openxmlformats.org/officeDocument/2006/custom-properties" xmlns:vt="http://schemas.openxmlformats.org/officeDocument/2006/docPropsVTypes"/>
</file>