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spacing w:after="80" w:before="260"/>
        <w:jc w:val="center"/>
      </w:pPr>
      <w:r>
        <w:rPr>
          <w:rFonts w:ascii="Cambria" w:cs="Cambria" w:eastAsia="Cambria" w:hAnsi="Cambria"/>
          <w:b/>
          <w:bCs/>
          <w:color w:val="1E2761"/>
          <w:sz w:val="40"/>
          <w:szCs w:val="40"/>
        </w:rPr>
        <w:t xml:space="preserve">MEMORANDUM AND ARTICLES</w:t>
      </w:r>
    </w:p>
    <w:p>
      <w:pPr>
        <w:spacing w:after="200"/>
        <w:jc w:val="center"/>
      </w:pPr>
      <w:r>
        <w:rPr>
          <w:rFonts w:ascii="Cambria" w:cs="Cambria" w:eastAsia="Cambria" w:hAnsi="Cambria"/>
          <w:b/>
          <w:bCs/>
          <w:color w:val="1E2761"/>
          <w:sz w:val="40"/>
          <w:szCs w:val="40"/>
        </w:rPr>
        <w:t xml:space="preserve">OF ASSOCIATION</w:t>
      </w:r>
    </w:p>
    <w:p>
      <w:pPr>
        <w:spacing w:after="200"/>
        <w:jc w:val="center"/>
      </w:pPr>
      <w:r>
        <w:rPr>
          <w:rFonts w:ascii="Cambria" w:cs="Cambria" w:eastAsia="Cambria" w:hAnsi="Cambria"/>
          <w:color w:val="5A5A5A"/>
          <w:sz w:val="24"/>
          <w:szCs w:val="24"/>
        </w:rPr>
        <w:t xml:space="preserve">OF</w:t>
      </w:r>
    </w:p>
    <w:p>
      <w:pPr>
        <w:spacing w:after="260"/>
        <w:jc w:val="center"/>
      </w:pPr>
      <w:r>
        <w:rPr>
          <w:rFonts w:ascii="Cambria" w:cs="Cambria" w:eastAsia="Cambria" w:hAnsi="Cambria"/>
          <w:b/>
          <w:bCs/>
          <w:color w:val="B8543E"/>
          <w:sz w:val="36"/>
          <w:szCs w:val="36"/>
        </w:rPr>
        <w:t xml:space="preserve">THE JOPETNAH FOUNDATION</w:t>
      </w:r>
    </w:p>
    <w:p>
      <w:pPr>
        <w:spacing w:after="200"/>
        <w:jc w:val="center"/>
      </w:pPr>
      <w:r>
        <w:rPr>
          <w:b/>
          <w:bCs/>
          <w:color w:val="1E2761"/>
          <w:sz w:val="22"/>
          <w:szCs w:val="22"/>
        </w:rPr>
        <w:t xml:space="preserve">( TJF )</w:t>
      </w:r>
    </w:p>
    <w:p>
      <w:pPr>
        <w:spacing w:after="300"/>
        <w:jc w:val="center"/>
      </w:pPr>
      <w:r>
        <w:rPr>
          <w:i/>
          <w:iCs/>
          <w:color w:val="5A5A5A"/>
          <w:sz w:val="22"/>
          <w:szCs w:val="22"/>
        </w:rPr>
        <w:t xml:space="preserve">A Company Limited by Guarantee, Not Having a Share Capital</w:t>
      </w:r>
    </w:p>
    <w:p>
      <w:pPr>
        <w:spacing w:after="100" w:before="400"/>
        <w:jc w:val="center"/>
      </w:pPr>
      <w:r>
        <w:rPr>
          <w:b/>
          <w:bCs/>
          <w:color w:val="222222"/>
          <w:sz w:val="22"/>
          <w:szCs w:val="22"/>
        </w:rPr>
        <w:t xml:space="preserve">DRAFT FOR LEGAL COUNSEL REVIEW — NOT YET FILED</w:t>
      </w:r>
    </w:p>
    <w:p>
      <w:pPr>
        <w:spacing w:after="300"/>
        <w:jc w:val="center"/>
      </w:pPr>
      <w:r>
        <w:rPr>
          <w:color w:val="5A5A5A"/>
          <w:sz w:val="20"/>
          <w:szCs w:val="20"/>
        </w:rPr>
        <w:t xml:space="preserve">Kampala, Republic of Uganda  ·  2026</w:t>
      </w:r>
    </w:p>
    <w:p>
      <w:pPr>
        <w:pBdr>
          <w:top w:val="single" w:color="B8543E" w:sz="4" w:space="4"/>
          <w:bottom w:val="single" w:color="B8543E" w:sz="4" w:space="4"/>
        </w:pBdr>
        <w:shd w:fill="F1E9DD" w:val="clear"/>
        <w:spacing w:after="200" w:before="100"/>
      </w:pPr>
      <w:r>
        <w:rPr>
          <w:i/>
          <w:iCs/>
          <w:color w:val="5A3A28"/>
        </w:rPr>
        <w:t xml:space="preserve">This document is a working draft prepared to give legal counsel a complete, organized starting point — it is not a template verified against URSB's current statutory format, and is not intended for filing without qualified Ugandan legal review. Objects and non-distribution provisions are drawn directly from TJF's Board-approved Constitution to keep both documents consistent; all bracketed items require input from TJF's founding team or counsel before this can be finalized.</w:t>
      </w:r>
    </w:p>
    <w:p>
      <w:pPr>
        <w:pStyle w:val="Heading1"/>
        <w:pageBreakBefore/>
      </w:pPr>
      <w:r>
        <w:rPr>
          <w:b/>
          <w:bCs/>
          <w:color w:val="1E2761"/>
        </w:rPr>
        <w:t xml:space="preserve">Table of Contents</w:t>
      </w:r>
    </w:p>
    <w:p>
      <w:pPr>
        <w:spacing w:after="110"/>
      </w:pPr>
      <w:hyperlink w:history="1" w:anchor="part-a-memorandum-of-association">
        <w:r>
          <w:rPr>
            <w:color w:val="1E2761"/>
            <w:u w:val="single" w:color="1E2761"/>
          </w:rPr>
          <w:t xml:space="preserve">Part A — Memorandum of Association</w:t>
        </w:r>
      </w:hyperlink>
    </w:p>
    <w:p>
      <w:pPr>
        <w:spacing w:after="110"/>
      </w:pPr>
      <w:hyperlink w:history="1" w:anchor="1-name-clause">
        <w:r>
          <w:rPr>
            <w:color w:val="1E2761"/>
            <w:u w:val="single" w:color="1E2761"/>
          </w:rPr>
          <w:t xml:space="preserve">1. Name Clause</w:t>
        </w:r>
      </w:hyperlink>
    </w:p>
    <w:p>
      <w:pPr>
        <w:spacing w:after="110"/>
      </w:pPr>
      <w:hyperlink w:history="1" w:anchor="2-registered-office-clause">
        <w:r>
          <w:rPr>
            <w:color w:val="1E2761"/>
            <w:u w:val="single" w:color="1E2761"/>
          </w:rPr>
          <w:t xml:space="preserve">2. Registered Office Clause</w:t>
        </w:r>
      </w:hyperlink>
    </w:p>
    <w:p>
      <w:pPr>
        <w:spacing w:after="110"/>
      </w:pPr>
      <w:hyperlink w:history="1" w:anchor="3-objects-clause">
        <w:r>
          <w:rPr>
            <w:color w:val="1E2761"/>
            <w:u w:val="single" w:color="1E2761"/>
          </w:rPr>
          <w:t xml:space="preserve">3. Objects Clause</w:t>
        </w:r>
      </w:hyperlink>
    </w:p>
    <w:p>
      <w:pPr>
        <w:spacing w:after="110"/>
      </w:pPr>
      <w:hyperlink w:history="1" w:anchor="4-powers">
        <w:r>
          <w:rPr>
            <w:color w:val="1E2761"/>
            <w:u w:val="single" w:color="1E2761"/>
          </w:rPr>
          <w:t xml:space="preserve">4. Powers</w:t>
        </w:r>
      </w:hyperlink>
    </w:p>
    <w:p>
      <w:pPr>
        <w:spacing w:after="110"/>
      </w:pPr>
      <w:hyperlink w:history="1" w:anchor="5-prohibition-of-dividends">
        <w:r>
          <w:rPr>
            <w:color w:val="1E2761"/>
            <w:u w:val="single" w:color="1E2761"/>
          </w:rPr>
          <w:t xml:space="preserve">5. Prohibition of Dividends</w:t>
        </w:r>
      </w:hyperlink>
    </w:p>
    <w:p>
      <w:pPr>
        <w:spacing w:after="110"/>
      </w:pPr>
      <w:hyperlink w:history="1" w:anchor="6-limited-liability">
        <w:r>
          <w:rPr>
            <w:color w:val="1E2761"/>
            <w:u w:val="single" w:color="1E2761"/>
          </w:rPr>
          <w:t xml:space="preserve">6. Limited Liability</w:t>
        </w:r>
      </w:hyperlink>
    </w:p>
    <w:p>
      <w:pPr>
        <w:spacing w:after="110"/>
      </w:pPr>
      <w:hyperlink w:history="1" w:anchor="7-guarantee-clause">
        <w:r>
          <w:rPr>
            <w:color w:val="1E2761"/>
            <w:u w:val="single" w:color="1E2761"/>
          </w:rPr>
          <w:t xml:space="preserve">7. Guarantee Clause</w:t>
        </w:r>
      </w:hyperlink>
    </w:p>
    <w:p>
      <w:pPr>
        <w:spacing w:after="110"/>
      </w:pPr>
      <w:hyperlink w:history="1" w:anchor="8-dissolution">
        <w:r>
          <w:rPr>
            <w:color w:val="1E2761"/>
            <w:u w:val="single" w:color="1E2761"/>
          </w:rPr>
          <w:t xml:space="preserve">8. Dissolution</w:t>
        </w:r>
      </w:hyperlink>
    </w:p>
    <w:p>
      <w:pPr>
        <w:spacing w:after="110"/>
      </w:pPr>
      <w:hyperlink w:history="1" w:anchor="9-subscription-clause">
        <w:r>
          <w:rPr>
            <w:color w:val="1E2761"/>
            <w:u w:val="single" w:color="1E2761"/>
          </w:rPr>
          <w:t xml:space="preserve">9. Subscription Clause</w:t>
        </w:r>
      </w:hyperlink>
    </w:p>
    <w:p>
      <w:pPr>
        <w:spacing w:after="110"/>
      </w:pPr>
      <w:hyperlink w:history="1" w:anchor="part-b-articles-of-association">
        <w:r>
          <w:rPr>
            <w:color w:val="1E2761"/>
            <w:u w:val="single" w:color="1E2761"/>
          </w:rPr>
          <w:t xml:space="preserve">Part B — Articles of Association</w:t>
        </w:r>
      </w:hyperlink>
    </w:p>
    <w:p>
      <w:pPr>
        <w:spacing w:after="110"/>
      </w:pPr>
      <w:hyperlink w:history="1" w:anchor="1-preliminary">
        <w:r>
          <w:rPr>
            <w:color w:val="1E2761"/>
            <w:u w:val="single" w:color="1E2761"/>
          </w:rPr>
          <w:t xml:space="preserve">1. Preliminary</w:t>
        </w:r>
      </w:hyperlink>
    </w:p>
    <w:p>
      <w:pPr>
        <w:spacing w:after="110"/>
      </w:pPr>
      <w:hyperlink w:history="1" w:anchor="2-membership">
        <w:r>
          <w:rPr>
            <w:color w:val="1E2761"/>
            <w:u w:val="single" w:color="1E2761"/>
          </w:rPr>
          <w:t xml:space="preserve">2. Membership</w:t>
        </w:r>
      </w:hyperlink>
    </w:p>
    <w:p>
      <w:pPr>
        <w:spacing w:after="110"/>
      </w:pPr>
      <w:hyperlink w:history="1" w:anchor="3-general-meetings">
        <w:r>
          <w:rPr>
            <w:color w:val="1E2761"/>
            <w:u w:val="single" w:color="1E2761"/>
          </w:rPr>
          <w:t xml:space="preserve">3. General Meetings</w:t>
        </w:r>
      </w:hyperlink>
    </w:p>
    <w:p>
      <w:pPr>
        <w:spacing w:after="110"/>
      </w:pPr>
      <w:hyperlink w:history="1" w:anchor="4-the-board-of-directors-trustees">
        <w:r>
          <w:rPr>
            <w:color w:val="1E2761"/>
            <w:u w:val="single" w:color="1E2761"/>
          </w:rPr>
          <w:t xml:space="preserve">4. The Board of Directors (Trustees)</w:t>
        </w:r>
      </w:hyperlink>
    </w:p>
    <w:p>
      <w:pPr>
        <w:spacing w:after="110"/>
      </w:pPr>
      <w:hyperlink w:history="1" w:anchor="5-meetings-of-the-board">
        <w:r>
          <w:rPr>
            <w:color w:val="1E2761"/>
            <w:u w:val="single" w:color="1E2761"/>
          </w:rPr>
          <w:t xml:space="preserve">5. Meetings of the Board</w:t>
        </w:r>
      </w:hyperlink>
    </w:p>
    <w:p>
      <w:pPr>
        <w:spacing w:after="110"/>
      </w:pPr>
      <w:hyperlink w:history="1" w:anchor="6-officers">
        <w:r>
          <w:rPr>
            <w:color w:val="1E2761"/>
            <w:u w:val="single" w:color="1E2761"/>
          </w:rPr>
          <w:t xml:space="preserve">6. Officers</w:t>
        </w:r>
      </w:hyperlink>
    </w:p>
    <w:p>
      <w:pPr>
        <w:spacing w:after="110"/>
      </w:pPr>
      <w:hyperlink w:history="1" w:anchor="7-committees">
        <w:r>
          <w:rPr>
            <w:color w:val="1E2761"/>
            <w:u w:val="single" w:color="1E2761"/>
          </w:rPr>
          <w:t xml:space="preserve">7. Committees</w:t>
        </w:r>
      </w:hyperlink>
    </w:p>
    <w:p>
      <w:pPr>
        <w:spacing w:after="110"/>
      </w:pPr>
      <w:hyperlink w:history="1" w:anchor="8-finances-and-accounts">
        <w:r>
          <w:rPr>
            <w:color w:val="1E2761"/>
            <w:u w:val="single" w:color="1E2761"/>
          </w:rPr>
          <w:t xml:space="preserve">8. Finances and Accounts</w:t>
        </w:r>
      </w:hyperlink>
    </w:p>
    <w:p>
      <w:pPr>
        <w:spacing w:after="110"/>
      </w:pPr>
      <w:hyperlink w:history="1" w:anchor="9-conflict-of-interest-and-safeguarding">
        <w:r>
          <w:rPr>
            <w:color w:val="1E2761"/>
            <w:u w:val="single" w:color="1E2761"/>
          </w:rPr>
          <w:t xml:space="preserve">9. Conflict of Interest and Safeguarding</w:t>
        </w:r>
      </w:hyperlink>
    </w:p>
    <w:p>
      <w:pPr>
        <w:spacing w:after="110"/>
      </w:pPr>
      <w:hyperlink w:history="1" w:anchor="10-common-seal">
        <w:r>
          <w:rPr>
            <w:color w:val="1E2761"/>
            <w:u w:val="single" w:color="1E2761"/>
          </w:rPr>
          <w:t xml:space="preserve">10. Common Seal</w:t>
        </w:r>
      </w:hyperlink>
    </w:p>
    <w:p>
      <w:pPr>
        <w:spacing w:after="110"/>
      </w:pPr>
      <w:hyperlink w:history="1" w:anchor="11-notices">
        <w:r>
          <w:rPr>
            <w:color w:val="1E2761"/>
            <w:u w:val="single" w:color="1E2761"/>
          </w:rPr>
          <w:t xml:space="preserve">11. Notices</w:t>
        </w:r>
      </w:hyperlink>
    </w:p>
    <w:p>
      <w:pPr>
        <w:spacing w:after="110"/>
      </w:pPr>
      <w:hyperlink w:history="1" w:anchor="12-amendment-of-these-articles">
        <w:r>
          <w:rPr>
            <w:color w:val="1E2761"/>
            <w:u w:val="single" w:color="1E2761"/>
          </w:rPr>
          <w:t xml:space="preserve">12. Amendment of these Articles</w:t>
        </w:r>
      </w:hyperlink>
    </w:p>
    <w:p>
      <w:pPr>
        <w:spacing w:after="110"/>
      </w:pPr>
      <w:hyperlink w:history="1" w:anchor="13-winding-up-and-dissolution">
        <w:r>
          <w:rPr>
            <w:color w:val="1E2761"/>
            <w:u w:val="single" w:color="1E2761"/>
          </w:rPr>
          <w:t xml:space="preserve">13. Winding Up and Dissolution</w:t>
        </w:r>
      </w:hyperlink>
    </w:p>
    <w:p>
      <w:pPr>
        <w:spacing w:after="110"/>
      </w:pPr>
      <w:hyperlink w:history="1" w:anchor="14-indemnity">
        <w:r>
          <w:rPr>
            <w:color w:val="1E2761"/>
            <w:u w:val="single" w:color="1E2761"/>
          </w:rPr>
          <w:t xml:space="preserve">14. Indemnity</w:t>
        </w:r>
      </w:hyperlink>
    </w:p>
    <w:p>
      <w:pPr>
        <w:spacing w:after="110"/>
      </w:pPr>
      <w:hyperlink w:history="1" w:anchor="schedule-1-subscribers-to-the-memorandum">
        <w:r>
          <w:rPr>
            <w:color w:val="1E2761"/>
            <w:u w:val="single" w:color="1E2761"/>
          </w:rPr>
          <w:t xml:space="preserve">Schedule 1 — Subscribers to the Memorandum</w:t>
        </w:r>
      </w:hyperlink>
    </w:p>
    <w:p>
      <w:pPr>
        <w:pStyle w:val="Heading1"/>
        <w:pageBreakBefore/>
        <w:pBdr>
          <w:bottom w:val="single" w:color="B8543E" w:sz="8" w:space="4"/>
        </w:pBdr>
        <w:spacing w:after="200" w:before="240"/>
      </w:pPr>
      <w:bookmarkStart w:name="part-a-memorandum-of-association" w:id="1000"/>
      <w:r>
        <w:rPr>
          <w:b/>
          <w:bCs/>
          <w:color w:val="1E2761"/>
        </w:rPr>
        <w:t xml:space="preserve">Part A — Memorandum of Association</w:t>
      </w:r>
      <w:bookmarkEnd w:id="1000"/>
    </w:p>
    <w:p>
      <w:pPr>
        <w:spacing w:after="130"/>
      </w:pPr>
      <w:r>
        <w:rPr>
          <w:b w:val="false"/>
          <w:bCs w:val="false"/>
          <w:i w:val="false"/>
          <w:iCs w:val="false"/>
          <w:color w:val="222222"/>
        </w:rPr>
        <w:t xml:space="preserve">Of The Republic of Uganda, The Companies Act, 2012 (as amended). Memorandum of Association of The Jopetnah Foundation, a company limited by guarantee and not having a share capital.</w:t>
      </w:r>
    </w:p>
    <w:p>
      <w:pPr>
        <w:pStyle w:val="Heading1"/>
        <w:pageBreakBefore/>
        <w:pBdr>
          <w:bottom w:val="single" w:color="B8543E" w:sz="8" w:space="4"/>
        </w:pBdr>
        <w:spacing w:after="200" w:before="240"/>
      </w:pPr>
      <w:bookmarkStart w:name="1-name-clause" w:id="1001"/>
      <w:r>
        <w:rPr>
          <w:b/>
          <w:bCs/>
          <w:color w:val="1E2761"/>
        </w:rPr>
        <w:t xml:space="preserve">1. Name Clause</w:t>
      </w:r>
      <w:bookmarkEnd w:id="1001"/>
    </w:p>
    <w:p>
      <w:pPr>
        <w:spacing w:after="130"/>
        <w:ind w:left="72"/>
      </w:pPr>
      <w:r>
        <w:rPr>
          <w:b/>
          <w:bCs/>
          <w:color w:val="222222"/>
        </w:rPr>
        <w:t xml:space="preserve">1.  </w:t>
      </w:r>
      <w:r>
        <w:rPr>
          <w:color w:val="222222"/>
        </w:rPr>
        <w:t xml:space="preserve">The name of the Company is "THE JOPETNAH FOUNDATION" (hereinafter "the Company" or "TJF").</w:t>
      </w:r>
    </w:p>
    <w:p>
      <w:pPr>
        <w:pBdr>
          <w:top w:val="single" w:color="B8543E" w:sz="4" w:space="4"/>
          <w:bottom w:val="single" w:color="B8543E" w:sz="4" w:space="4"/>
        </w:pBdr>
        <w:shd w:fill="F1E9DD" w:val="clear"/>
        <w:spacing w:after="200" w:before="100"/>
      </w:pPr>
      <w:r>
        <w:rPr>
          <w:i/>
          <w:iCs/>
          <w:color w:val="5A3A28"/>
        </w:rPr>
        <w:t xml:space="preserve">Note for counsel: omitting "Limited" from a non-profit company's name may require a separate license/form under the Companies Act, 2012 (commonly cited as a Section 20 license, filed alongside a specific form). We have not independently verified the current form number or process — please confirm the up-to-date requirement.</w:t>
      </w:r>
    </w:p>
    <w:p>
      <w:pPr>
        <w:pStyle w:val="Heading1"/>
        <w:pageBreakBefore/>
        <w:pBdr>
          <w:bottom w:val="single" w:color="B8543E" w:sz="8" w:space="4"/>
        </w:pBdr>
        <w:spacing w:after="200" w:before="240"/>
      </w:pPr>
      <w:bookmarkStart w:name="2-registered-office-clause" w:id="1002"/>
      <w:r>
        <w:rPr>
          <w:b/>
          <w:bCs/>
          <w:color w:val="1E2761"/>
        </w:rPr>
        <w:t xml:space="preserve">2. Registered Office Clause</w:t>
      </w:r>
      <w:bookmarkEnd w:id="1002"/>
    </w:p>
    <w:p>
      <w:pPr>
        <w:spacing w:after="130"/>
        <w:ind w:left="72"/>
      </w:pPr>
      <w:r>
        <w:rPr>
          <w:b/>
          <w:bCs/>
          <w:color w:val="222222"/>
        </w:rPr>
        <w:t xml:space="preserve">2.  </w:t>
      </w:r>
      <w:r>
        <w:rPr>
          <w:color w:val="222222"/>
        </w:rPr>
        <w:t xml:space="preserve">The registered office of the Company will be situate in Uganda, at:</w:t>
      </w:r>
    </w:p>
    <w:p>
      <w:pPr>
        <w:spacing w:after="130"/>
      </w:pPr>
      <w:r>
        <w:rPr>
          <w:b/>
          <w:bCs/>
          <w:i/>
          <w:iCs/>
          <w:color w:val="B8543E"/>
        </w:rPr>
        <w:t xml:space="preserve">[Insert registered office address once secured — e.g., district/city, Uganda]</w:t>
      </w:r>
    </w:p>
    <w:p>
      <w:pPr>
        <w:pStyle w:val="Heading1"/>
        <w:pageBreakBefore/>
        <w:pBdr>
          <w:bottom w:val="single" w:color="B8543E" w:sz="8" w:space="4"/>
        </w:pBdr>
        <w:spacing w:after="200" w:before="240"/>
      </w:pPr>
      <w:bookmarkStart w:name="3-objects-clause" w:id="1003"/>
      <w:r>
        <w:rPr>
          <w:b/>
          <w:bCs/>
          <w:color w:val="1E2761"/>
        </w:rPr>
        <w:t xml:space="preserve">3. Objects Clause</w:t>
      </w:r>
      <w:bookmarkEnd w:id="1003"/>
    </w:p>
    <w:p>
      <w:pPr>
        <w:spacing w:after="130"/>
        <w:ind w:left="72"/>
      </w:pPr>
      <w:r>
        <w:rPr>
          <w:b/>
          <w:bCs/>
          <w:color w:val="222222"/>
        </w:rPr>
        <w:t xml:space="preserve">3.1  </w:t>
      </w:r>
      <w:r>
        <w:rPr>
          <w:color w:val="222222"/>
        </w:rPr>
        <w:t xml:space="preserve">Main Object: To advance education, health, economic opportunity, and environmental resilience in underserved communities in Uganda through integrated, locally-led development programs.</w:t>
      </w:r>
    </w:p>
    <w:p>
      <w:pPr>
        <w:spacing w:after="130"/>
        <w:ind w:left="72"/>
      </w:pPr>
      <w:r>
        <w:rPr>
          <w:b/>
          <w:bCs/>
          <w:color w:val="222222"/>
        </w:rPr>
        <w:t xml:space="preserve">3.2  </w:t>
      </w:r>
      <w:r>
        <w:rPr>
          <w:color w:val="222222"/>
        </w:rPr>
        <w:t xml:space="preserve">Ancillary Objects (The Four Pillars):</w:t>
      </w:r>
    </w:p>
    <w:p>
      <w:pPr>
        <w:spacing w:after="130"/>
        <w:ind w:left="72"/>
      </w:pPr>
      <w:r>
        <w:rPr>
          <w:b/>
          <w:bCs/>
          <w:color w:val="222222"/>
        </w:rPr>
        <w:t xml:space="preserve">(a)  </w:t>
      </w:r>
      <w:r>
        <w:rPr>
          <w:color w:val="222222"/>
        </w:rPr>
        <w:t xml:space="preserve">Education &amp; Youth Development: To provide need-based scholarships, mentorship, digital literacy, and vocational skills training; to establish community libraries and learning hubs; and to support the holistic development of children and youth.</w:t>
      </w:r>
    </w:p>
    <w:p>
      <w:pPr>
        <w:spacing w:after="130"/>
        <w:ind w:left="72"/>
      </w:pPr>
      <w:r>
        <w:rPr>
          <w:b/>
          <w:bCs/>
          <w:color w:val="222222"/>
        </w:rPr>
        <w:t xml:space="preserve">(b)  </w:t>
      </w:r>
      <w:r>
        <w:rPr>
          <w:color w:val="222222"/>
        </w:rPr>
        <w:t xml:space="preserve">Health &amp; Wellbeing: To promote public health through community health education, mobile wellness clinics, malaria prevention and response initiatives, maternal and child health support, and mental health and nutrition awareness.</w:t>
      </w:r>
    </w:p>
    <w:p>
      <w:pPr>
        <w:spacing w:after="130"/>
        <w:ind w:left="72"/>
      </w:pPr>
      <w:r>
        <w:rPr>
          <w:b/>
          <w:bCs/>
          <w:color w:val="222222"/>
        </w:rPr>
        <w:t xml:space="preserve">(c)  </w:t>
      </w:r>
      <w:r>
        <w:rPr>
          <w:color w:val="222222"/>
        </w:rPr>
        <w:t xml:space="preserve">Poverty Alleviation &amp; Livelihoods: To alleviate poverty by providing micro-grants and seed capital, facilitating vocational skills-to-income pipelines, and establishing cooperative savings groups and financial literacy training.</w:t>
      </w:r>
    </w:p>
    <w:p>
      <w:pPr>
        <w:spacing w:after="130"/>
        <w:ind w:left="72"/>
      </w:pPr>
      <w:r>
        <w:rPr>
          <w:b/>
          <w:bCs/>
          <w:color w:val="222222"/>
        </w:rPr>
        <w:t xml:space="preserve">(d)  </w:t>
      </w:r>
      <w:r>
        <w:rPr>
          <w:color w:val="222222"/>
        </w:rPr>
        <w:t xml:space="preserve">Environment &amp; Community Development: To protect and restore the environment through tree planting, community gardens, water and sanitation access projects (including borehole rehabilitation), and the promotion of climate-smart, eco-friendly agribusiness.</w:t>
      </w:r>
    </w:p>
    <w:p>
      <w:pPr>
        <w:pBdr>
          <w:top w:val="single" w:color="B8543E" w:sz="4" w:space="4"/>
          <w:bottom w:val="single" w:color="B8543E" w:sz="4" w:space="4"/>
        </w:pBdr>
        <w:shd w:fill="F1E9DD" w:val="clear"/>
        <w:spacing w:after="200" w:before="100"/>
      </w:pPr>
      <w:r>
        <w:rPr>
          <w:i/>
          <w:iCs/>
          <w:color w:val="5A3A28"/>
        </w:rPr>
        <w:t xml:space="preserve">Cross-reference: this Objects Clause mirrors Article 3 (Vision, Mission, Values and Objects) of TJF's Constitution. Counsel should confirm the wording satisfies URSB's current requirement that objects be broad enough to cover an integrated program model, yet specific enough to distinguish the Company from a general trading entity.</w:t>
      </w:r>
    </w:p>
    <w:p>
      <w:pPr>
        <w:pStyle w:val="Heading1"/>
        <w:pageBreakBefore/>
        <w:pBdr>
          <w:bottom w:val="single" w:color="B8543E" w:sz="8" w:space="4"/>
        </w:pBdr>
        <w:spacing w:after="200" w:before="240"/>
      </w:pPr>
      <w:bookmarkStart w:name="4-powers" w:id="1004"/>
      <w:r>
        <w:rPr>
          <w:b/>
          <w:bCs/>
          <w:color w:val="1E2761"/>
        </w:rPr>
        <w:t xml:space="preserve">4. Powers</w:t>
      </w:r>
      <w:bookmarkEnd w:id="1004"/>
    </w:p>
    <w:p>
      <w:pPr>
        <w:spacing w:after="130"/>
        <w:ind w:left="72"/>
      </w:pPr>
      <w:r>
        <w:rPr>
          <w:b/>
          <w:bCs/>
          <w:color w:val="222222"/>
        </w:rPr>
        <w:t xml:space="preserve">4.  </w:t>
      </w:r>
      <w:r>
        <w:rPr>
          <w:color w:val="222222"/>
        </w:rPr>
        <w:t xml:space="preserve">In furtherance of the objects set out in Clause 3, and exercised solely in pursuit of those charitable objects and not for profit, the Company shall have power to:</w:t>
      </w:r>
    </w:p>
    <w:p>
      <w:pPr>
        <w:spacing w:after="130"/>
        <w:ind w:left="72"/>
      </w:pPr>
      <w:r>
        <w:rPr>
          <w:b/>
          <w:bCs/>
          <w:color w:val="222222"/>
        </w:rPr>
        <w:t xml:space="preserve">(a)  </w:t>
      </w:r>
      <w:r>
        <w:rPr>
          <w:color w:val="222222"/>
        </w:rPr>
        <w:t xml:space="preserve">Solicit, receive, and accept funds, donations, grants, gifts, subscriptions, and assistance in cash or in kind from individuals, corporations, governments, local authorities, and international organizations;</w:t>
      </w:r>
    </w:p>
    <w:p>
      <w:pPr>
        <w:spacing w:after="130"/>
        <w:ind w:left="72"/>
      </w:pPr>
      <w:r>
        <w:rPr>
          <w:b/>
          <w:bCs/>
          <w:color w:val="222222"/>
        </w:rPr>
        <w:t xml:space="preserve">(b)  </w:t>
      </w:r>
      <w:r>
        <w:rPr>
          <w:color w:val="222222"/>
        </w:rPr>
        <w:t xml:space="preserve">Establish, maintain, and administer funds for the execution of the Company's objects;</w:t>
      </w:r>
    </w:p>
    <w:p>
      <w:pPr>
        <w:spacing w:after="130"/>
        <w:ind w:left="72"/>
      </w:pPr>
      <w:r>
        <w:rPr>
          <w:b/>
          <w:bCs/>
          <w:color w:val="222222"/>
        </w:rPr>
        <w:t xml:space="preserve">(c)  </w:t>
      </w:r>
      <w:r>
        <w:rPr>
          <w:color w:val="222222"/>
        </w:rPr>
        <w:t xml:space="preserve">Acquire, hold, develop, manage, and dispose of movable and immovable property necessary for the attainment of the Company's objects;</w:t>
      </w:r>
    </w:p>
    <w:p>
      <w:pPr>
        <w:spacing w:after="130"/>
        <w:ind w:left="72"/>
      </w:pPr>
      <w:r>
        <w:rPr>
          <w:b/>
          <w:bCs/>
          <w:color w:val="222222"/>
        </w:rPr>
        <w:t xml:space="preserve">(d)  </w:t>
      </w:r>
      <w:r>
        <w:rPr>
          <w:color w:val="222222"/>
        </w:rPr>
        <w:t xml:space="preserve">Enter into contracts, partnerships, or joint ventures with other organizations, institutions, or bodies that share similar objects;</w:t>
      </w:r>
    </w:p>
    <w:p>
      <w:pPr>
        <w:spacing w:after="130"/>
        <w:ind w:left="72"/>
      </w:pPr>
      <w:r>
        <w:rPr>
          <w:b/>
          <w:bCs/>
          <w:color w:val="222222"/>
        </w:rPr>
        <w:t xml:space="preserve">(e)  </w:t>
      </w:r>
      <w:r>
        <w:rPr>
          <w:color w:val="222222"/>
        </w:rPr>
        <w:t xml:space="preserve">Employ, pay, and remunerate staff, consultants, volunteers, and agents as may be necessary for the effective administration and execution of the Company's programs;</w:t>
      </w:r>
    </w:p>
    <w:p>
      <w:pPr>
        <w:spacing w:after="130"/>
        <w:ind w:left="72"/>
      </w:pPr>
      <w:r>
        <w:rPr>
          <w:b/>
          <w:bCs/>
          <w:color w:val="222222"/>
        </w:rPr>
        <w:t xml:space="preserve">(f)  </w:t>
      </w:r>
      <w:r>
        <w:rPr>
          <w:color w:val="222222"/>
        </w:rPr>
        <w:t xml:space="preserve">Undertake research, publish reports, and disseminate information related to the Company's objects;</w:t>
      </w:r>
    </w:p>
    <w:p>
      <w:pPr>
        <w:spacing w:after="130"/>
        <w:ind w:left="72"/>
      </w:pPr>
      <w:r>
        <w:rPr>
          <w:b/>
          <w:bCs/>
          <w:color w:val="222222"/>
        </w:rPr>
        <w:t xml:space="preserve">(g)  </w:t>
      </w:r>
      <w:r>
        <w:rPr>
          <w:color w:val="222222"/>
        </w:rPr>
        <w:t xml:space="preserve">Do all such other lawful things as are incidental or conducive to the attainment of the above objects.</w:t>
      </w:r>
    </w:p>
    <w:p>
      <w:pPr>
        <w:pStyle w:val="Heading1"/>
        <w:pageBreakBefore/>
        <w:pBdr>
          <w:bottom w:val="single" w:color="B8543E" w:sz="8" w:space="4"/>
        </w:pBdr>
        <w:spacing w:after="200" w:before="240"/>
      </w:pPr>
      <w:bookmarkStart w:name="5-prohibition-of-dividends" w:id="1005"/>
      <w:r>
        <w:rPr>
          <w:b/>
          <w:bCs/>
          <w:color w:val="1E2761"/>
        </w:rPr>
        <w:t xml:space="preserve">5. Prohibition of Dividends</w:t>
      </w:r>
      <w:bookmarkEnd w:id="1005"/>
    </w:p>
    <w:p>
      <w:pPr>
        <w:spacing w:after="130"/>
        <w:ind w:left="72"/>
      </w:pPr>
      <w:r>
        <w:rPr>
          <w:b/>
          <w:bCs/>
          <w:color w:val="222222"/>
        </w:rPr>
        <w:t xml:space="preserve">5.  </w:t>
      </w:r>
      <w:r>
        <w:rPr>
          <w:color w:val="222222"/>
        </w:rPr>
        <w:t xml:space="preserve">The income and property of the Company, whensoever derived, shall be applied solely towards the promotion of the objects set out in Clause 3, and no portion thereof shall be paid or transferred, directly or indirectly, by way of dividend, bonus, or otherwise, to the Members of the Company. Nothing shall prevent the payment, in good faith, of reasonable remuneration to any officer or employee of the Company, or to any Member in return for services actually rendered, or reasonable and proper interest on money lent, or reasonable and proper rent for premises let, to the Company.</w:t>
      </w:r>
    </w:p>
    <w:p>
      <w:pPr>
        <w:pBdr>
          <w:top w:val="single" w:color="B8543E" w:sz="4" w:space="4"/>
          <w:bottom w:val="single" w:color="B8543E" w:sz="4" w:space="4"/>
        </w:pBdr>
        <w:shd w:fill="F1E9DD" w:val="clear"/>
        <w:spacing w:after="200" w:before="100"/>
      </w:pPr>
      <w:r>
        <w:rPr>
          <w:i/>
          <w:iCs/>
          <w:color w:val="5A3A28"/>
        </w:rPr>
        <w:t xml:space="preserve">This clause mirrors Article 4.2 (Non-Distribution) of TJF's Constitution and the "Prohibitive Clause" already reviewed with the founding team — kept consistent in substance so both documents remain aligned.</w:t>
      </w:r>
    </w:p>
    <w:p>
      <w:pPr>
        <w:pStyle w:val="Heading1"/>
        <w:pageBreakBefore/>
        <w:pBdr>
          <w:bottom w:val="single" w:color="B8543E" w:sz="8" w:space="4"/>
        </w:pBdr>
        <w:spacing w:after="200" w:before="240"/>
      </w:pPr>
      <w:bookmarkStart w:name="6-limited-liability" w:id="1006"/>
      <w:r>
        <w:rPr>
          <w:b/>
          <w:bCs/>
          <w:color w:val="1E2761"/>
        </w:rPr>
        <w:t xml:space="preserve">6. Limited Liability</w:t>
      </w:r>
      <w:bookmarkEnd w:id="1006"/>
    </w:p>
    <w:p>
      <w:pPr>
        <w:spacing w:after="130"/>
        <w:ind w:left="72"/>
      </w:pPr>
      <w:r>
        <w:rPr>
          <w:b/>
          <w:bCs/>
          <w:color w:val="222222"/>
        </w:rPr>
        <w:t xml:space="preserve">6.  </w:t>
      </w:r>
      <w:r>
        <w:rPr>
          <w:color w:val="222222"/>
        </w:rPr>
        <w:t xml:space="preserve">The liability of the Members is limited.</w:t>
      </w:r>
    </w:p>
    <w:p>
      <w:pPr>
        <w:pStyle w:val="Heading1"/>
        <w:pageBreakBefore/>
        <w:pBdr>
          <w:bottom w:val="single" w:color="B8543E" w:sz="8" w:space="4"/>
        </w:pBdr>
        <w:spacing w:after="200" w:before="240"/>
      </w:pPr>
      <w:bookmarkStart w:name="7-guarantee-clause" w:id="1007"/>
      <w:r>
        <w:rPr>
          <w:b/>
          <w:bCs/>
          <w:color w:val="1E2761"/>
        </w:rPr>
        <w:t xml:space="preserve">7. Guarantee Clause</w:t>
      </w:r>
      <w:bookmarkEnd w:id="1007"/>
    </w:p>
    <w:p>
      <w:pPr>
        <w:spacing w:after="130"/>
        <w:ind w:left="72"/>
      </w:pPr>
      <w:r>
        <w:rPr>
          <w:b/>
          <w:bCs/>
          <w:color w:val="222222"/>
        </w:rPr>
        <w:t xml:space="preserve">7.  </w:t>
      </w:r>
      <w:r>
        <w:rPr>
          <w:color w:val="222222"/>
        </w:rPr>
        <w:t xml:space="preserve">Every Member of the Company undertakes to contribute to the assets of the Company, in the event of it being wound up while a Member, or within one year after ceasing to be a Member, for the payment of the debts and liabilities of the Company contracted before ceasing to be a Member, and the costs, charges, and expenses of winding up, and for the adjustment of the rights of the contributories among themselves, such amount as may be required, not exceeding UGX 10,000 (Uganda Shillings Ten Thousand).</w:t>
      </w:r>
    </w:p>
    <w:p>
      <w:pPr>
        <w:pBdr>
          <w:top w:val="single" w:color="B8543E" w:sz="4" w:space="4"/>
          <w:bottom w:val="single" w:color="B8543E" w:sz="4" w:space="4"/>
        </w:pBdr>
        <w:shd w:fill="F1E9DD" w:val="clear"/>
        <w:spacing w:after="200" w:before="100"/>
      </w:pPr>
      <w:r>
        <w:rPr>
          <w:i/>
          <w:iCs/>
          <w:color w:val="5A3A28"/>
        </w:rPr>
        <w:t xml:space="preserve">UGX 10,000 is used here as a common, illustrative nominal figure seen in Ugandan company-limited-by-guarantee practice — the Companies Act does not mandate a specific amount. This remains the founders' and counsel's choice to confirm, not a fixed legal requirement.</w:t>
      </w:r>
    </w:p>
    <w:p>
      <w:pPr>
        <w:pStyle w:val="Heading1"/>
        <w:pageBreakBefore/>
        <w:pBdr>
          <w:bottom w:val="single" w:color="B8543E" w:sz="8" w:space="4"/>
        </w:pBdr>
        <w:spacing w:after="200" w:before="240"/>
      </w:pPr>
      <w:bookmarkStart w:name="8-dissolution" w:id="1008"/>
      <w:r>
        <w:rPr>
          <w:b/>
          <w:bCs/>
          <w:color w:val="1E2761"/>
        </w:rPr>
        <w:t xml:space="preserve">8. Dissolution</w:t>
      </w:r>
      <w:bookmarkEnd w:id="1008"/>
    </w:p>
    <w:p>
      <w:pPr>
        <w:spacing w:after="130"/>
        <w:ind w:left="72"/>
      </w:pPr>
      <w:r>
        <w:rPr>
          <w:b/>
          <w:bCs/>
          <w:color w:val="222222"/>
        </w:rPr>
        <w:t xml:space="preserve">8.  </w:t>
      </w:r>
      <w:r>
        <w:rPr>
          <w:color w:val="222222"/>
        </w:rPr>
        <w:t xml:space="preserve">If, upon the winding up or dissolution of the Company, there remains, after satisfaction of all its debts and liabilities, any property whatsoever, the same shall not be paid to or distributed among the Members of the Company, but shall be given or transferred to some other institution or institutions having objects similar to the objects of the Company, and which prohibits the distribution of its income and property among its members, such institution to be determined by the Members of the Company at or before the time of dissolution, or failing such determination, as a court of competent jurisdiction may direct.</w:t>
      </w:r>
    </w:p>
    <w:p>
      <w:pPr>
        <w:pBdr>
          <w:top w:val="single" w:color="B8543E" w:sz="4" w:space="4"/>
          <w:bottom w:val="single" w:color="B8543E" w:sz="4" w:space="4"/>
        </w:pBdr>
        <w:shd w:fill="F1E9DD" w:val="clear"/>
        <w:spacing w:after="200" w:before="100"/>
      </w:pPr>
      <w:r>
        <w:rPr>
          <w:i/>
          <w:iCs/>
          <w:color w:val="5A3A28"/>
        </w:rPr>
        <w:t xml:space="preserve">This is the fundamental, Memorandum-level asset-distribution rule. Procedural mechanics of winding up (voting thresholds, notice periods) are set out separately in Part B, Article 13.</w:t>
      </w:r>
    </w:p>
    <w:p>
      <w:pPr>
        <w:pStyle w:val="Heading1"/>
        <w:pageBreakBefore/>
        <w:pBdr>
          <w:bottom w:val="single" w:color="B8543E" w:sz="8" w:space="4"/>
        </w:pBdr>
        <w:spacing w:after="200" w:before="240"/>
      </w:pPr>
      <w:bookmarkStart w:name="9-subscription-clause" w:id="1009"/>
      <w:r>
        <w:rPr>
          <w:b/>
          <w:bCs/>
          <w:color w:val="1E2761"/>
        </w:rPr>
        <w:t xml:space="preserve">9. Subscription Clause</w:t>
      </w:r>
      <w:bookmarkEnd w:id="1009"/>
    </w:p>
    <w:p>
      <w:pPr>
        <w:spacing w:after="130"/>
        <w:ind w:left="72"/>
      </w:pPr>
      <w:r>
        <w:rPr>
          <w:b/>
          <w:bCs/>
          <w:color w:val="222222"/>
        </w:rPr>
        <w:t xml:space="preserve">9.  </w:t>
      </w:r>
      <w:r>
        <w:rPr>
          <w:color w:val="222222"/>
        </w:rPr>
        <w:t xml:space="preserve">We, the several persons whose names and addresses are subscribed, are desirous of being formed into a Company in pursuance of this Memorandum of Association.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100"/>
            <w:shd w:fill="1E2761" w:val="clear"/>
            <w:vAlign w:val="center"/>
          </w:tcPr>
          <w:p>
            <w:r>
              <w:rPr>
                <w:b/>
                <w:bCs/>
                <w:color w:val="FFFFFF"/>
                <w:sz w:val="19"/>
                <w:szCs w:val="19"/>
              </w:rPr>
              <w:t xml:space="preserve">Name</w:t>
            </w:r>
          </w:p>
        </w:tc>
        <w:tc>
          <w:tcPr>
            <w:tcW w:type="dxa" w:w="2600"/>
            <w:shd w:fill="1E2761" w:val="clear"/>
            <w:vAlign w:val="center"/>
          </w:tcPr>
          <w:p>
            <w:r>
              <w:rPr>
                <w:b/>
                <w:bCs/>
                <w:color w:val="FFFFFF"/>
                <w:sz w:val="19"/>
                <w:szCs w:val="19"/>
              </w:rPr>
              <w:t xml:space="preserve">Address</w:t>
            </w:r>
          </w:p>
        </w:tc>
        <w:tc>
          <w:tcPr>
            <w:tcW w:type="dxa" w:w="1650"/>
            <w:shd w:fill="1E2761" w:val="clear"/>
            <w:vAlign w:val="center"/>
          </w:tcPr>
          <w:p>
            <w:r>
              <w:rPr>
                <w:b/>
                <w:bCs/>
                <w:color w:val="FFFFFF"/>
                <w:sz w:val="19"/>
                <w:szCs w:val="19"/>
              </w:rPr>
              <w:t xml:space="preserve">Occupation</w:t>
            </w:r>
          </w:p>
        </w:tc>
        <w:tc>
          <w:tcPr>
            <w:tcW w:type="dxa" w:w="1500"/>
            <w:shd w:fill="1E2761" w:val="clear"/>
            <w:vAlign w:val="center"/>
          </w:tcPr>
          <w:p>
            <w:r>
              <w:rPr>
                <w:b/>
                <w:bCs/>
                <w:color w:val="FFFFFF"/>
                <w:sz w:val="19"/>
                <w:szCs w:val="19"/>
              </w:rPr>
              <w:t xml:space="preserve">National ID No.</w:t>
            </w:r>
          </w:p>
        </w:tc>
        <w:tc>
          <w:tcPr>
            <w:tcW w:type="dxa" w:w="1500"/>
            <w:shd w:fill="1E2761" w:val="clear"/>
            <w:vAlign w:val="center"/>
          </w:tcPr>
          <w:p>
            <w:r>
              <w:rPr>
                <w:b/>
                <w:bCs/>
                <w:color w:val="FFFFFF"/>
                <w:sz w:val="19"/>
                <w:szCs w:val="19"/>
              </w:rPr>
              <w:t xml:space="preserve">Signature</w:t>
            </w:r>
          </w:p>
        </w:tc>
      </w:tr>
      <w:tr>
        <w:tc>
          <w:tcPr>
            <w:tcW w:type="dxa" w:w="2100"/>
          </w:tcPr>
          <w:p>
            <w:pPr>
              <w:spacing w:after="300" w:before="300"/>
            </w:pPr>
            <w:r>
              <w:t xml:space="preserve"> </w:t>
            </w:r>
          </w:p>
        </w:tc>
        <w:tc>
          <w:tcPr>
            <w:tcW w:type="dxa" w:w="2600"/>
          </w:tcPr>
          <w:p>
            <w:pPr>
              <w:spacing w:after="300" w:before="300"/>
            </w:pPr>
            <w:r>
              <w:t xml:space="preserve"> </w:t>
            </w:r>
          </w:p>
        </w:tc>
        <w:tc>
          <w:tcPr>
            <w:tcW w:type="dxa" w:w="1650"/>
          </w:tcPr>
          <w:p>
            <w:pPr>
              <w:spacing w:after="300" w:before="300"/>
            </w:pPr>
            <w:r>
              <w:t xml:space="preserve"> </w:t>
            </w:r>
          </w:p>
        </w:tc>
        <w:tc>
          <w:tcPr>
            <w:tcW w:type="dxa" w:w="1500"/>
          </w:tcPr>
          <w:p>
            <w:pPr>
              <w:spacing w:after="300" w:before="300"/>
            </w:pPr>
            <w:r>
              <w:t xml:space="preserve"> </w:t>
            </w:r>
          </w:p>
        </w:tc>
        <w:tc>
          <w:tcPr>
            <w:tcW w:type="dxa" w:w="1500"/>
          </w:tcPr>
          <w:p>
            <w:pPr>
              <w:spacing w:after="300" w:before="300"/>
            </w:pPr>
            <w:r>
              <w:t xml:space="preserve"> </w:t>
            </w:r>
          </w:p>
        </w:tc>
      </w:tr>
      <w:tr>
        <w:tc>
          <w:tcPr>
            <w:tcW w:type="dxa" w:w="2100"/>
          </w:tcPr>
          <w:p>
            <w:pPr>
              <w:spacing w:after="300" w:before="300"/>
            </w:pPr>
            <w:r>
              <w:t xml:space="preserve"> </w:t>
            </w:r>
          </w:p>
        </w:tc>
        <w:tc>
          <w:tcPr>
            <w:tcW w:type="dxa" w:w="2600"/>
          </w:tcPr>
          <w:p>
            <w:pPr>
              <w:spacing w:after="300" w:before="300"/>
            </w:pPr>
            <w:r>
              <w:t xml:space="preserve"> </w:t>
            </w:r>
          </w:p>
        </w:tc>
        <w:tc>
          <w:tcPr>
            <w:tcW w:type="dxa" w:w="1650"/>
          </w:tcPr>
          <w:p>
            <w:pPr>
              <w:spacing w:after="300" w:before="300"/>
            </w:pPr>
            <w:r>
              <w:t xml:space="preserve"> </w:t>
            </w:r>
          </w:p>
        </w:tc>
        <w:tc>
          <w:tcPr>
            <w:tcW w:type="dxa" w:w="1500"/>
          </w:tcPr>
          <w:p>
            <w:pPr>
              <w:spacing w:after="300" w:before="300"/>
            </w:pPr>
            <w:r>
              <w:t xml:space="preserve"> </w:t>
            </w:r>
          </w:p>
        </w:tc>
        <w:tc>
          <w:tcPr>
            <w:tcW w:type="dxa" w:w="1500"/>
          </w:tcPr>
          <w:p>
            <w:pPr>
              <w:spacing w:after="300" w:before="300"/>
            </w:pPr>
            <w:r>
              <w:t xml:space="preserve"> </w:t>
            </w:r>
          </w:p>
        </w:tc>
      </w:tr>
    </w:tbl>
    <w:p>
      <w:pPr>
        <w:spacing w:before="200"/>
      </w:pPr>
      <w:r>
        <w:rPr>
          <w:b/>
          <w:bCs/>
          <w:color w:val="222222"/>
        </w:rPr>
        <w:t xml:space="preserve">Total Subscribers: </w:t>
      </w:r>
      <w:r>
        <w:rPr>
          <w:color w:val="222222"/>
        </w:rPr>
        <w:t xml:space="preserve">_______</w:t>
      </w:r>
    </w:p>
    <w:p>
      <w:pPr>
        <w:spacing w:before="300"/>
      </w:pPr>
      <w:r>
        <w:rPr>
          <w:color w:val="222222"/>
        </w:rPr>
        <w:t xml:space="preserve">DATED this _____ day of _____________________, 20____.</w:t>
      </w:r>
    </w:p>
    <w:p>
      <w:pPr>
        <w:pBdr>
          <w:top w:val="single" w:color="B8543E" w:sz="4" w:space="4"/>
          <w:bottom w:val="single" w:color="B8543E" w:sz="4" w:space="4"/>
        </w:pBdr>
        <w:shd w:fill="F1E9DD" w:val="clear"/>
        <w:spacing w:after="200" w:before="100"/>
      </w:pPr>
      <w:r>
        <w:rPr>
          <w:i/>
          <w:iCs/>
          <w:color w:val="5A3A28"/>
        </w:rPr>
        <w:t xml:space="preserve">Minimum subscriber count and witnessing requirements should be confirmed with counsel against the current Companies Act, 2012 requirements — this draft leaves two rows as a starting point only.</w:t>
      </w:r>
    </w:p>
    <w:p>
      <w:pPr>
        <w:pStyle w:val="Heading1"/>
        <w:pageBreakBefore/>
        <w:pBdr>
          <w:bottom w:val="single" w:color="B8543E" w:sz="8" w:space="4"/>
        </w:pBdr>
        <w:spacing w:after="200" w:before="240"/>
      </w:pPr>
      <w:bookmarkStart w:name="part-b-articles-of-association" w:id="1010"/>
      <w:r>
        <w:rPr>
          <w:b/>
          <w:bCs/>
          <w:color w:val="1E2761"/>
        </w:rPr>
        <w:t xml:space="preserve">Part B — Articles of Association</w:t>
      </w:r>
      <w:bookmarkEnd w:id="1010"/>
    </w:p>
    <w:p>
      <w:pPr>
        <w:spacing w:after="130"/>
      </w:pPr>
      <w:r>
        <w:rPr>
          <w:b w:val="false"/>
          <w:bCs w:val="false"/>
          <w:i w:val="false"/>
          <w:iCs w:val="false"/>
          <w:color w:val="222222"/>
        </w:rPr>
        <w:t xml:space="preserve">These Articles of Association, read together with the Memorandum above, govern the internal management of the Company.</w:t>
      </w:r>
    </w:p>
    <w:p>
      <w:pPr>
        <w:pStyle w:val="Heading1"/>
        <w:pageBreakBefore/>
        <w:pBdr>
          <w:bottom w:val="single" w:color="B8543E" w:sz="8" w:space="4"/>
        </w:pBdr>
        <w:spacing w:after="200" w:before="240"/>
      </w:pPr>
      <w:bookmarkStart w:name="1-preliminary" w:id="1011"/>
      <w:r>
        <w:rPr>
          <w:b/>
          <w:bCs/>
          <w:color w:val="1E2761"/>
        </w:rPr>
        <w:t xml:space="preserve">1. Preliminary</w:t>
      </w:r>
      <w:bookmarkEnd w:id="1011"/>
    </w:p>
    <w:p>
      <w:pPr>
        <w:spacing w:after="130"/>
        <w:ind w:left="72"/>
      </w:pPr>
      <w:r>
        <w:rPr>
          <w:b/>
          <w:bCs/>
          <w:color w:val="222222"/>
        </w:rPr>
        <w:t xml:space="preserve">1.1  </w:t>
      </w:r>
      <w:r>
        <w:rPr>
          <w:color w:val="222222"/>
        </w:rPr>
        <w:t xml:space="preserve">In these Articles, "the Company" means The Jopetnah Foundation; "the Board" or "Directors" means the Board of Trustees; "the Act" means the Companies Act, 2012 (as amended).</w:t>
      </w:r>
    </w:p>
    <w:p>
      <w:pPr>
        <w:spacing w:after="130"/>
        <w:ind w:left="72"/>
      </w:pPr>
      <w:r>
        <w:rPr>
          <w:b/>
          <w:bCs/>
          <w:color w:val="222222"/>
        </w:rPr>
        <w:t xml:space="preserve">1.2  </w:t>
      </w:r>
      <w:r>
        <w:rPr>
          <w:color w:val="222222"/>
        </w:rPr>
        <w:t xml:space="preserve">Where these Articles are silent, the regulations in Table A (or its current statutory equivalent under the Act) shall apply to the extent not inconsistent with these Articles.</w:t>
      </w:r>
    </w:p>
    <w:p>
      <w:pPr>
        <w:pStyle w:val="Heading1"/>
        <w:pageBreakBefore/>
        <w:pBdr>
          <w:bottom w:val="single" w:color="B8543E" w:sz="8" w:space="4"/>
        </w:pBdr>
        <w:spacing w:after="200" w:before="240"/>
      </w:pPr>
      <w:bookmarkStart w:name="2-membership" w:id="1012"/>
      <w:r>
        <w:rPr>
          <w:b/>
          <w:bCs/>
          <w:color w:val="1E2761"/>
        </w:rPr>
        <w:t xml:space="preserve">2. Membership</w:t>
      </w:r>
      <w:bookmarkEnd w:id="1012"/>
    </w:p>
    <w:p>
      <w:pPr>
        <w:spacing w:after="130"/>
        <w:ind w:left="72"/>
      </w:pPr>
      <w:r>
        <w:rPr>
          <w:b/>
          <w:bCs/>
          <w:color w:val="222222"/>
        </w:rPr>
        <w:t xml:space="preserve">2.1  </w:t>
      </w:r>
      <w:r>
        <w:rPr>
          <w:color w:val="222222"/>
        </w:rPr>
        <w:t xml:space="preserve">The number of Members with which the Company proposes to be registered is seven (7), being the number of Founding Directors, but the Board may from time to time resolve to register an increase.</w:t>
      </w:r>
    </w:p>
    <w:p>
      <w:pPr>
        <w:spacing w:after="130"/>
        <w:ind w:left="72"/>
      </w:pPr>
      <w:r>
        <w:rPr>
          <w:b/>
          <w:bCs/>
          <w:color w:val="222222"/>
        </w:rPr>
        <w:t xml:space="preserve">2.2  </w:t>
      </w:r>
      <w:r>
        <w:rPr>
          <w:color w:val="222222"/>
        </w:rPr>
        <w:t xml:space="preserve">The Company may, at the discretion of the Board, adopt a formal membership structure in addition to its Board of Directors. Where adopted, membership shall consist of Founding Members, Ordinary Members, and Honorary Members.</w:t>
      </w:r>
    </w:p>
    <w:p>
      <w:pPr>
        <w:spacing w:after="130"/>
        <w:ind w:left="72"/>
      </w:pPr>
      <w:r>
        <w:rPr>
          <w:b/>
          <w:bCs/>
          <w:color w:val="222222"/>
        </w:rPr>
        <w:t xml:space="preserve">2.3  </w:t>
      </w:r>
      <w:r>
        <w:rPr>
          <w:color w:val="222222"/>
        </w:rPr>
        <w:t xml:space="preserve">Founding Members are those persons who subscribed to the Memorandum and are named in Schedule 1.</w:t>
      </w:r>
    </w:p>
    <w:p>
      <w:pPr>
        <w:spacing w:after="130"/>
        <w:ind w:left="72"/>
      </w:pPr>
      <w:r>
        <w:rPr>
          <w:b/>
          <w:bCs/>
          <w:color w:val="222222"/>
        </w:rPr>
        <w:t xml:space="preserve">2.4  </w:t>
      </w:r>
      <w:r>
        <w:rPr>
          <w:color w:val="222222"/>
        </w:rPr>
        <w:t xml:space="preserve">Ordinary Membership shall be open to individuals and institutions who subscribe to the objects of the Company and are admitted by resolution of the Board.</w:t>
      </w:r>
    </w:p>
    <w:p>
      <w:pPr>
        <w:spacing w:after="130"/>
        <w:ind w:left="72"/>
      </w:pPr>
      <w:r>
        <w:rPr>
          <w:b/>
          <w:bCs/>
          <w:color w:val="222222"/>
        </w:rPr>
        <w:t xml:space="preserve">2.5  </w:t>
      </w:r>
      <w:r>
        <w:rPr>
          <w:color w:val="222222"/>
        </w:rPr>
        <w:t xml:space="preserve">Honorary Membership may be conferred by the Board on individuals who have rendered distinguished service to the Company; Honorary Members shall not have voting rights unless otherwise resolved by the Board.</w:t>
      </w:r>
    </w:p>
    <w:p>
      <w:pPr>
        <w:spacing w:after="130"/>
        <w:ind w:left="72"/>
      </w:pPr>
      <w:r>
        <w:rPr>
          <w:b/>
          <w:bCs/>
          <w:color w:val="222222"/>
        </w:rPr>
        <w:t xml:space="preserve">2.6  </w:t>
      </w:r>
      <w:r>
        <w:rPr>
          <w:color w:val="222222"/>
        </w:rPr>
        <w:t xml:space="preserve">Membership shall terminate upon voluntary resignation in writing; death or dissolution (for an institutional Member); expulsion by a two-thirds resolution of the Board following written notice and an opportunity to be heard; or non-payment of any prescribed subscription after due notice.</w:t>
      </w:r>
    </w:p>
    <w:p>
      <w:pPr>
        <w:spacing w:after="130"/>
        <w:ind w:left="72"/>
      </w:pPr>
      <w:r>
        <w:rPr>
          <w:b/>
          <w:bCs/>
          <w:color w:val="222222"/>
        </w:rPr>
        <w:t xml:space="preserve">2.7  </w:t>
      </w:r>
      <w:r>
        <w:rPr>
          <w:color w:val="222222"/>
        </w:rPr>
        <w:t xml:space="preserve">The Company shall maintain a Register of Members recording the name, category, and date of admission of each Member.</w:t>
      </w:r>
    </w:p>
    <w:p>
      <w:pPr>
        <w:pBdr>
          <w:top w:val="single" w:color="B8543E" w:sz="4" w:space="4"/>
          <w:bottom w:val="single" w:color="B8543E" w:sz="4" w:space="4"/>
        </w:pBdr>
        <w:shd w:fill="F1E9DD" w:val="clear"/>
        <w:spacing w:after="200" w:before="100"/>
      </w:pPr>
      <w:r>
        <w:rPr>
          <w:i/>
          <w:iCs/>
          <w:color w:val="5A3A28"/>
        </w:rPr>
        <w:t xml:space="preserve">The proposed initial member count of seven is drawn from the Constitution's Board size (see Article 4 below) as a working default — confirm the actual founding subscriber count with counsel before filing.</w:t>
      </w:r>
    </w:p>
    <w:p>
      <w:pPr>
        <w:pStyle w:val="Heading1"/>
        <w:pageBreakBefore/>
        <w:pBdr>
          <w:bottom w:val="single" w:color="B8543E" w:sz="8" w:space="4"/>
        </w:pBdr>
        <w:spacing w:after="200" w:before="240"/>
      </w:pPr>
      <w:bookmarkStart w:name="3-general-meetings" w:id="1013"/>
      <w:r>
        <w:rPr>
          <w:b/>
          <w:bCs/>
          <w:color w:val="1E2761"/>
        </w:rPr>
        <w:t xml:space="preserve">3. General Meetings</w:t>
      </w:r>
      <w:bookmarkEnd w:id="1013"/>
    </w:p>
    <w:p>
      <w:pPr>
        <w:spacing w:after="130"/>
        <w:ind w:left="72"/>
      </w:pPr>
      <w:r>
        <w:rPr>
          <w:b/>
          <w:bCs/>
          <w:color w:val="222222"/>
        </w:rPr>
        <w:t xml:space="preserve">3.1  </w:t>
      </w:r>
      <w:r>
        <w:rPr>
          <w:color w:val="222222"/>
        </w:rPr>
        <w:t xml:space="preserve">An Annual General Meeting shall be held once in every calendar year, at an interval of not more than fifteen months between one AGM and the next, at which the Board shall present the Company's annual report and accounts.</w:t>
      </w:r>
    </w:p>
    <w:p>
      <w:pPr>
        <w:spacing w:after="130"/>
        <w:ind w:left="72"/>
      </w:pPr>
      <w:r>
        <w:rPr>
          <w:b/>
          <w:bCs/>
          <w:color w:val="222222"/>
        </w:rPr>
        <w:t xml:space="preserve">3.2  </w:t>
      </w:r>
      <w:r>
        <w:rPr>
          <w:color w:val="222222"/>
        </w:rPr>
        <w:t xml:space="preserve">An Extraordinary General Meeting may be convened by the Board at any time, or on the requisition of Members holding not less than one-tenth of the total voting rights.</w:t>
      </w:r>
    </w:p>
    <w:p>
      <w:pPr>
        <w:spacing w:after="130"/>
        <w:ind w:left="72"/>
      </w:pPr>
      <w:r>
        <w:rPr>
          <w:b/>
          <w:bCs/>
          <w:color w:val="222222"/>
        </w:rPr>
        <w:t xml:space="preserve">3.3  </w:t>
      </w:r>
      <w:r>
        <w:rPr>
          <w:color w:val="222222"/>
        </w:rPr>
        <w:t xml:space="preserve">Not less than twenty-one (21) days' written notice shall be given for an Annual General Meeting, and not less than fourteen (14) days for an Extraordinary General Meeting, unless a shorter notice is agreed by all Members entitled to attend and vote.</w:t>
      </w:r>
    </w:p>
    <w:p>
      <w:pPr>
        <w:spacing w:after="130"/>
        <w:ind w:left="72"/>
      </w:pPr>
      <w:r>
        <w:rPr>
          <w:b/>
          <w:bCs/>
          <w:color w:val="222222"/>
        </w:rPr>
        <w:t xml:space="preserve">3.4  </w:t>
      </w:r>
      <w:r>
        <w:rPr>
          <w:color w:val="222222"/>
        </w:rPr>
        <w:t xml:space="preserve">The quorum for a General Meeting shall be a simple majority of Members entitled to vote, present in person or by proxy.</w:t>
      </w:r>
    </w:p>
    <w:p>
      <w:pPr>
        <w:pStyle w:val="Heading1"/>
        <w:pageBreakBefore/>
        <w:pBdr>
          <w:bottom w:val="single" w:color="B8543E" w:sz="8" w:space="4"/>
        </w:pBdr>
        <w:spacing w:after="200" w:before="240"/>
      </w:pPr>
      <w:bookmarkStart w:name="4-the-board-of-directors-trustees" w:id="1014"/>
      <w:r>
        <w:rPr>
          <w:b/>
          <w:bCs/>
          <w:color w:val="1E2761"/>
        </w:rPr>
        <w:t xml:space="preserve">4. The Board of Directors (Trustees)</w:t>
      </w:r>
      <w:bookmarkEnd w:id="1014"/>
    </w:p>
    <w:p>
      <w:pPr>
        <w:spacing w:after="130"/>
        <w:ind w:left="72"/>
      </w:pPr>
      <w:r>
        <w:rPr>
          <w:b/>
          <w:bCs/>
          <w:color w:val="222222"/>
        </w:rPr>
        <w:t xml:space="preserve">4.1  </w:t>
      </w:r>
      <w:r>
        <w:rPr>
          <w:color w:val="222222"/>
        </w:rPr>
        <w:t xml:space="preserve">The Board shall consist of not fewer than seven (7) and not more than nine (9) Directors, who shall collectively possess relevant skills in governance, finance, law, program management, and community development.</w:t>
      </w:r>
    </w:p>
    <w:p>
      <w:pPr>
        <w:spacing w:after="130"/>
        <w:ind w:left="72"/>
      </w:pPr>
      <w:r>
        <w:rPr>
          <w:b/>
          <w:bCs/>
          <w:color w:val="222222"/>
        </w:rPr>
        <w:t xml:space="preserve">4.2  </w:t>
      </w:r>
      <w:r>
        <w:rPr>
          <w:color w:val="222222"/>
        </w:rPr>
        <w:t xml:space="preserve">A person is eligible to serve as a Director if they are of sound mind, at least twenty-one (21) years of age, of good standing, and have not been convicted of an offense involving fraud or dishonesty.</w:t>
      </w:r>
    </w:p>
    <w:p>
      <w:pPr>
        <w:spacing w:after="130"/>
        <w:ind w:left="72"/>
      </w:pPr>
      <w:r>
        <w:rPr>
          <w:b/>
          <w:bCs/>
          <w:color w:val="222222"/>
        </w:rPr>
        <w:t xml:space="preserve">4.3  </w:t>
      </w:r>
      <w:r>
        <w:rPr>
          <w:color w:val="222222"/>
        </w:rPr>
        <w:t xml:space="preserve">Founding Directors shall serve from incorporation of the Company. Subsequent Directors shall be appointed by resolution of the Board for a term of three (3) years, renewable for not more than two further consecutive terms.</w:t>
      </w:r>
    </w:p>
    <w:p>
      <w:pPr>
        <w:spacing w:after="130"/>
        <w:ind w:left="72"/>
      </w:pPr>
      <w:r>
        <w:rPr>
          <w:b/>
          <w:bCs/>
          <w:color w:val="222222"/>
        </w:rPr>
        <w:t xml:space="preserve">4.4  </w:t>
      </w:r>
      <w:r>
        <w:rPr>
          <w:color w:val="222222"/>
        </w:rPr>
        <w:t xml:space="preserve">The organs of the Company shall be: the Board of Directors, being the supreme governing organ; the Executive Office, comprising the Executive Director and Secretariat staff; the Advisory Council; and such Committees as the Board may from time to time establish.</w:t>
      </w:r>
    </w:p>
    <w:p>
      <w:pPr>
        <w:spacing w:after="130"/>
        <w:ind w:left="72"/>
      </w:pPr>
      <w:r>
        <w:rPr>
          <w:b/>
          <w:bCs/>
          <w:color w:val="222222"/>
        </w:rPr>
        <w:t xml:space="preserve">4.5  </w:t>
      </w:r>
      <w:r>
        <w:rPr>
          <w:color w:val="222222"/>
        </w:rPr>
        <w:t xml:space="preserve">Without prejudice to its general powers, the Board shall have power to: administer the funds, property, and affairs of the Company; appoint, suspend, or remove the Executive Director and other officers of the Company; open and operate bank accounts in the name of the Company; and make, alter, or revoke bye-laws for the regulation of the Company's internal affairs, provided such bye-laws are not inconsistent with the Constitution, this Memorandum, or these Articles.</w:t>
      </w:r>
    </w:p>
    <w:p>
      <w:pPr>
        <w:pStyle w:val="Heading1"/>
        <w:pageBreakBefore/>
        <w:pBdr>
          <w:bottom w:val="single" w:color="B8543E" w:sz="8" w:space="4"/>
        </w:pBdr>
        <w:spacing w:after="200" w:before="240"/>
      </w:pPr>
      <w:bookmarkStart w:name="5-meetings-of-the-board" w:id="1015"/>
      <w:r>
        <w:rPr>
          <w:b/>
          <w:bCs/>
          <w:color w:val="1E2761"/>
        </w:rPr>
        <w:t xml:space="preserve">5. Meetings of the Board</w:t>
      </w:r>
      <w:bookmarkEnd w:id="1015"/>
    </w:p>
    <w:p>
      <w:pPr>
        <w:spacing w:after="130"/>
        <w:ind w:left="72"/>
      </w:pPr>
      <w:r>
        <w:rPr>
          <w:b/>
          <w:bCs/>
          <w:color w:val="222222"/>
        </w:rPr>
        <w:t xml:space="preserve">5.1  </w:t>
      </w:r>
      <w:r>
        <w:rPr>
          <w:color w:val="222222"/>
        </w:rPr>
        <w:t xml:space="preserve">The Board shall meet in ordinary session not less than four (4) times per Financial Year.</w:t>
      </w:r>
    </w:p>
    <w:p>
      <w:pPr>
        <w:spacing w:after="130"/>
        <w:ind w:left="72"/>
      </w:pPr>
      <w:r>
        <w:rPr>
          <w:b/>
          <w:bCs/>
          <w:color w:val="222222"/>
        </w:rPr>
        <w:t xml:space="preserve">5.2  </w:t>
      </w:r>
      <w:r>
        <w:rPr>
          <w:color w:val="222222"/>
        </w:rPr>
        <w:t xml:space="preserve">Not less than seven (7) days' written notice, together with an agenda, shall be given for ordinary meetings; three (3) days' notice shall suffice for meetings convened as urgent by the Chairperson.</w:t>
      </w:r>
    </w:p>
    <w:p>
      <w:pPr>
        <w:spacing w:after="130"/>
        <w:ind w:left="72"/>
      </w:pPr>
      <w:r>
        <w:rPr>
          <w:b/>
          <w:bCs/>
          <w:color w:val="222222"/>
        </w:rPr>
        <w:t xml:space="preserve">5.3  </w:t>
      </w:r>
      <w:r>
        <w:rPr>
          <w:color w:val="222222"/>
        </w:rPr>
        <w:t xml:space="preserve">A quorum for any Board meeting shall be a simple majority of Directors then in office.</w:t>
      </w:r>
    </w:p>
    <w:p>
      <w:pPr>
        <w:pStyle w:val="Heading1"/>
        <w:pageBreakBefore/>
        <w:pBdr>
          <w:bottom w:val="single" w:color="B8543E" w:sz="8" w:space="4"/>
        </w:pBdr>
        <w:spacing w:after="200" w:before="240"/>
      </w:pPr>
      <w:bookmarkStart w:name="6-officers" w:id="1016"/>
      <w:r>
        <w:rPr>
          <w:b/>
          <w:bCs/>
          <w:color w:val="1E2761"/>
        </w:rPr>
        <w:t xml:space="preserve">6. Officers</w:t>
      </w:r>
      <w:bookmarkEnd w:id="1016"/>
    </w:p>
    <w:p>
      <w:pPr>
        <w:spacing w:after="130"/>
        <w:ind w:left="72"/>
      </w:pPr>
      <w:r>
        <w:rPr>
          <w:b/>
          <w:bCs/>
          <w:color w:val="222222"/>
        </w:rPr>
        <w:t xml:space="preserve">6.1  </w:t>
      </w:r>
      <w:r>
        <w:rPr>
          <w:color w:val="222222"/>
        </w:rPr>
        <w:t xml:space="preserve">The Board shall elect from among its number a Chairperson and Vice-Chairperson, each to hold office on terms set by the Board, to preside over Board and General Meetings.</w:t>
      </w:r>
    </w:p>
    <w:p>
      <w:pPr>
        <w:spacing w:after="130"/>
        <w:ind w:left="72"/>
      </w:pPr>
      <w:r>
        <w:rPr>
          <w:b/>
          <w:bCs/>
          <w:color w:val="222222"/>
        </w:rPr>
        <w:t xml:space="preserve">6.2  </w:t>
      </w:r>
      <w:r>
        <w:rPr>
          <w:color w:val="222222"/>
        </w:rPr>
        <w:t xml:space="preserve">The Board shall appoint a Secretary, who shall be responsible for keeping the minutes of meetings, maintaining the Register of Members, and handling official correspondence.</w:t>
      </w:r>
    </w:p>
    <w:p>
      <w:pPr>
        <w:spacing w:after="130"/>
        <w:ind w:left="72"/>
      </w:pPr>
      <w:r>
        <w:rPr>
          <w:b/>
          <w:bCs/>
          <w:color w:val="222222"/>
        </w:rPr>
        <w:t xml:space="preserve">6.3  </w:t>
      </w:r>
      <w:r>
        <w:rPr>
          <w:color w:val="222222"/>
        </w:rPr>
        <w:t xml:space="preserve">The Board shall appoint a Treasurer, who shall be responsible for overseeing the financial accounts of the Company, ensuring proper books of account are kept, and facilitating annual audits.</w:t>
      </w:r>
    </w:p>
    <w:p>
      <w:pPr>
        <w:spacing w:after="130"/>
        <w:ind w:left="72"/>
      </w:pPr>
      <w:r>
        <w:rPr>
          <w:b/>
          <w:bCs/>
          <w:color w:val="222222"/>
        </w:rPr>
        <w:t xml:space="preserve">6.4  </w:t>
      </w:r>
      <w:r>
        <w:rPr>
          <w:color w:val="222222"/>
        </w:rPr>
        <w:t xml:space="preserve">The Board shall appoint an Executive Director, who need not be a Director, to manage the day-to-day operations of the Company and to head the Secretariat.</w:t>
      </w:r>
    </w:p>
    <w:p>
      <w:pPr>
        <w:pStyle w:val="Heading1"/>
        <w:pageBreakBefore/>
        <w:pBdr>
          <w:bottom w:val="single" w:color="B8543E" w:sz="8" w:space="4"/>
        </w:pBdr>
        <w:spacing w:after="200" w:before="240"/>
      </w:pPr>
      <w:bookmarkStart w:name="7-committees" w:id="1017"/>
      <w:r>
        <w:rPr>
          <w:b/>
          <w:bCs/>
          <w:color w:val="1E2761"/>
        </w:rPr>
        <w:t xml:space="preserve">7. Committees</w:t>
      </w:r>
      <w:bookmarkEnd w:id="1017"/>
    </w:p>
    <w:p>
      <w:pPr>
        <w:spacing w:after="130"/>
        <w:ind w:left="72"/>
      </w:pPr>
      <w:r>
        <w:rPr>
          <w:b/>
          <w:bCs/>
          <w:color w:val="222222"/>
        </w:rPr>
        <w:t xml:space="preserve">7.1  </w:t>
      </w:r>
      <w:r>
        <w:rPr>
          <w:color w:val="222222"/>
        </w:rPr>
        <w:t xml:space="preserve">The Board may establish Committees, including a Finance and Audit Committee and a Governance Committee, and may delegate to them such of its powers as it considers appropriate, subject always to the Board's overall responsibility.</w:t>
      </w:r>
    </w:p>
    <w:p>
      <w:pPr>
        <w:pStyle w:val="Heading1"/>
        <w:pageBreakBefore/>
        <w:pBdr>
          <w:bottom w:val="single" w:color="B8543E" w:sz="8" w:space="4"/>
        </w:pBdr>
        <w:spacing w:after="200" w:before="240"/>
      </w:pPr>
      <w:bookmarkStart w:name="8-finances-and-accounts" w:id="1018"/>
      <w:r>
        <w:rPr>
          <w:b/>
          <w:bCs/>
          <w:color w:val="1E2761"/>
        </w:rPr>
        <w:t xml:space="preserve">8. Finances and Accounts</w:t>
      </w:r>
      <w:bookmarkEnd w:id="1018"/>
    </w:p>
    <w:p>
      <w:pPr>
        <w:spacing w:after="130"/>
        <w:ind w:left="72"/>
      </w:pPr>
      <w:r>
        <w:rPr>
          <w:b/>
          <w:bCs/>
          <w:color w:val="222222"/>
        </w:rPr>
        <w:t xml:space="preserve">8.1  </w:t>
      </w:r>
      <w:r>
        <w:rPr>
          <w:color w:val="222222"/>
        </w:rPr>
        <w:t xml:space="preserve">The funds of the Company shall consist of donations, grants, corporate sponsorships, income from lawful activities consistent with its objects, and investment income.</w:t>
      </w:r>
    </w:p>
    <w:p>
      <w:pPr>
        <w:spacing w:after="130"/>
        <w:ind w:left="72"/>
      </w:pPr>
      <w:r>
        <w:rPr>
          <w:b/>
          <w:bCs/>
          <w:color w:val="222222"/>
        </w:rPr>
        <w:t xml:space="preserve">8.2  </w:t>
      </w:r>
      <w:r>
        <w:rPr>
          <w:color w:val="222222"/>
        </w:rPr>
        <w:t xml:space="preserve">The Financial Year of the Company shall run from 1 January to 31 December each year, or such other period as the Board may resolve, subject to applicable law.</w:t>
      </w:r>
    </w:p>
    <w:p>
      <w:pPr>
        <w:spacing w:after="130"/>
        <w:ind w:left="72"/>
      </w:pPr>
      <w:r>
        <w:rPr>
          <w:b/>
          <w:bCs/>
          <w:color w:val="222222"/>
        </w:rPr>
        <w:t xml:space="preserve">8.3  </w:t>
      </w:r>
      <w:r>
        <w:rPr>
          <w:color w:val="222222"/>
        </w:rPr>
        <w:t xml:space="preserve">The Company shall maintain bank account(s) in its name, operated by not fewer than two authorized signatories designated by the Board, at least one of whom shall be the Treasurer or Executive Director.</w:t>
      </w:r>
    </w:p>
    <w:p>
      <w:pPr>
        <w:spacing w:after="130"/>
        <w:ind w:left="72"/>
      </w:pPr>
      <w:r>
        <w:rPr>
          <w:b/>
          <w:bCs/>
          <w:color w:val="222222"/>
        </w:rPr>
        <w:t xml:space="preserve">8.4  </w:t>
      </w:r>
      <w:r>
        <w:rPr>
          <w:color w:val="222222"/>
        </w:rPr>
        <w:t xml:space="preserve">The Board shall cause proper accounting records to be kept and shall present audited financial statements to Members at each Annual General Meeting.</w:t>
      </w:r>
    </w:p>
    <w:p>
      <w:pPr>
        <w:pStyle w:val="Heading1"/>
        <w:pageBreakBefore/>
        <w:pBdr>
          <w:bottom w:val="single" w:color="B8543E" w:sz="8" w:space="4"/>
        </w:pBdr>
        <w:spacing w:after="200" w:before="240"/>
      </w:pPr>
      <w:bookmarkStart w:name="9-conflict-of-interest-and-safeguarding" w:id="1019"/>
      <w:r>
        <w:rPr>
          <w:b/>
          <w:bCs/>
          <w:color w:val="1E2761"/>
        </w:rPr>
        <w:t xml:space="preserve">9. Conflict of Interest and Safeguarding</w:t>
      </w:r>
      <w:bookmarkEnd w:id="1019"/>
    </w:p>
    <w:p>
      <w:pPr>
        <w:spacing w:after="130"/>
        <w:ind w:left="72"/>
      </w:pPr>
      <w:r>
        <w:rPr>
          <w:b/>
          <w:bCs/>
          <w:color w:val="222222"/>
        </w:rPr>
        <w:t xml:space="preserve">9.1  </w:t>
      </w:r>
      <w:r>
        <w:rPr>
          <w:color w:val="222222"/>
        </w:rPr>
        <w:t xml:space="preserve">Every Director, officer, and senior staff member shall be bound by the Company's Conflict of Interest Policy and shall disclose any interest in a matter before the Board as required therein.</w:t>
      </w:r>
    </w:p>
    <w:p>
      <w:pPr>
        <w:spacing w:after="130"/>
        <w:ind w:left="72"/>
      </w:pPr>
      <w:r>
        <w:rPr>
          <w:b/>
          <w:bCs/>
          <w:color w:val="222222"/>
        </w:rPr>
        <w:t xml:space="preserve">9.2  </w:t>
      </w:r>
      <w:r>
        <w:rPr>
          <w:color w:val="222222"/>
        </w:rPr>
        <w:t xml:space="preserve">The Company's Safeguarding Policy and Code of Conduct shall apply to all Directors, staff, volunteers, and partners, and are incorporated into these Articles by reference.</w:t>
      </w:r>
    </w:p>
    <w:p>
      <w:pPr>
        <w:pBdr>
          <w:top w:val="single" w:color="B8543E" w:sz="4" w:space="4"/>
          <w:bottom w:val="single" w:color="B8543E" w:sz="4" w:space="4"/>
        </w:pBdr>
        <w:shd w:fill="F1E9DD" w:val="clear"/>
        <w:spacing w:after="200" w:before="100"/>
      </w:pPr>
      <w:r>
        <w:rPr>
          <w:i/>
          <w:iCs/>
          <w:color w:val="5A3A28"/>
        </w:rPr>
        <w:t xml:space="preserve">These two Board-approved policies already exist in full and are not reproduced here — see TJF's Governance Document Bundle. Restating them in the Articles would risk the two versions drifting out of sync; referencing them keeps one source of truth.</w:t>
      </w:r>
    </w:p>
    <w:p>
      <w:pPr>
        <w:pStyle w:val="Heading1"/>
        <w:pageBreakBefore/>
        <w:pBdr>
          <w:bottom w:val="single" w:color="B8543E" w:sz="8" w:space="4"/>
        </w:pBdr>
        <w:spacing w:after="200" w:before="240"/>
      </w:pPr>
      <w:bookmarkStart w:name="10-common-seal" w:id="1020"/>
      <w:r>
        <w:rPr>
          <w:b/>
          <w:bCs/>
          <w:color w:val="1E2761"/>
        </w:rPr>
        <w:t xml:space="preserve">10. Common Seal</w:t>
      </w:r>
      <w:bookmarkEnd w:id="1020"/>
    </w:p>
    <w:p>
      <w:pPr>
        <w:spacing w:after="130"/>
        <w:ind w:left="72"/>
      </w:pPr>
      <w:r>
        <w:rPr>
          <w:b/>
          <w:bCs/>
          <w:color w:val="222222"/>
        </w:rPr>
        <w:t xml:space="preserve">10.  </w:t>
      </w:r>
      <w:r>
        <w:rPr>
          <w:color w:val="222222"/>
        </w:rPr>
        <w:t xml:space="preserve">If the Company adopts a common seal, it shall be kept in the custody of the Secretary and used only by authority of a resolution of the Board, in the presence of and countersigned by not fewer than two Directors or one Director and the Secretary.</w:t>
      </w:r>
    </w:p>
    <w:p>
      <w:pPr>
        <w:pStyle w:val="Heading1"/>
        <w:pageBreakBefore/>
        <w:pBdr>
          <w:bottom w:val="single" w:color="B8543E" w:sz="8" w:space="4"/>
        </w:pBdr>
        <w:spacing w:after="200" w:before="240"/>
      </w:pPr>
      <w:bookmarkStart w:name="11-notices" w:id="1021"/>
      <w:r>
        <w:rPr>
          <w:b/>
          <w:bCs/>
          <w:color w:val="1E2761"/>
        </w:rPr>
        <w:t xml:space="preserve">11. Notices</w:t>
      </w:r>
      <w:bookmarkEnd w:id="1021"/>
    </w:p>
    <w:p>
      <w:pPr>
        <w:spacing w:after="130"/>
        <w:ind w:left="72"/>
      </w:pPr>
      <w:r>
        <w:rPr>
          <w:b/>
          <w:bCs/>
          <w:color w:val="222222"/>
        </w:rPr>
        <w:t xml:space="preserve">11.1  </w:t>
      </w:r>
      <w:r>
        <w:rPr>
          <w:color w:val="222222"/>
        </w:rPr>
        <w:t xml:space="preserve">Any notice may be given by the Company to a Member either personally, by post, or by electronic mail to the address last notified to the Company.</w:t>
      </w:r>
    </w:p>
    <w:p>
      <w:pPr>
        <w:pStyle w:val="Heading1"/>
        <w:pageBreakBefore/>
        <w:pBdr>
          <w:bottom w:val="single" w:color="B8543E" w:sz="8" w:space="4"/>
        </w:pBdr>
        <w:spacing w:after="200" w:before="240"/>
      </w:pPr>
      <w:bookmarkStart w:name="12-amendment-of-these-articles" w:id="1022"/>
      <w:r>
        <w:rPr>
          <w:b/>
          <w:bCs/>
          <w:color w:val="1E2761"/>
        </w:rPr>
        <w:t xml:space="preserve">12. Amendment of these Articles</w:t>
      </w:r>
      <w:bookmarkEnd w:id="1022"/>
    </w:p>
    <w:p>
      <w:pPr>
        <w:spacing w:after="130"/>
        <w:ind w:left="72"/>
      </w:pPr>
      <w:r>
        <w:rPr>
          <w:b/>
          <w:bCs/>
          <w:color w:val="222222"/>
        </w:rPr>
        <w:t xml:space="preserve">12.1  </w:t>
      </w:r>
      <w:r>
        <w:rPr>
          <w:color w:val="222222"/>
        </w:rPr>
        <w:t xml:space="preserve">These Articles may be amended by a resolution passed by not less than two-thirds of the Directors present and voting at a Board meeting convened for that purpose, of which not less than fourteen (14) days' written notice specifying the proposed amendment has been given, and, where required by the Act, by special resolution of the Members in General Meeting.</w:t>
      </w:r>
    </w:p>
    <w:p>
      <w:pPr>
        <w:spacing w:after="130"/>
        <w:ind w:left="72"/>
      </w:pPr>
      <w:r>
        <w:rPr>
          <w:b/>
          <w:bCs/>
          <w:color w:val="222222"/>
        </w:rPr>
        <w:t xml:space="preserve">12.2  </w:t>
      </w:r>
      <w:r>
        <w:rPr>
          <w:color w:val="222222"/>
        </w:rPr>
        <w:t xml:space="preserve">No amendment shall be made to the Objects Clause, the Application of Income and Property Clause, or the Winding Up provisions that would be inconsistent with the Company's non-profit character, save with the prior approval of the Board by unanimous resolution and, where required, the relevant regulatory authority.</w:t>
      </w:r>
    </w:p>
    <w:p>
      <w:pPr>
        <w:pStyle w:val="Heading1"/>
        <w:pageBreakBefore/>
        <w:pBdr>
          <w:bottom w:val="single" w:color="B8543E" w:sz="8" w:space="4"/>
        </w:pBdr>
        <w:spacing w:after="200" w:before="240"/>
      </w:pPr>
      <w:bookmarkStart w:name="13-winding-up-and-dissolution" w:id="1023"/>
      <w:r>
        <w:rPr>
          <w:b/>
          <w:bCs/>
          <w:color w:val="1E2761"/>
        </w:rPr>
        <w:t xml:space="preserve">13. Winding Up and Dissolution</w:t>
      </w:r>
      <w:bookmarkEnd w:id="1023"/>
    </w:p>
    <w:p>
      <w:pPr>
        <w:spacing w:after="130"/>
        <w:ind w:left="72"/>
      </w:pPr>
      <w:r>
        <w:rPr>
          <w:b/>
          <w:bCs/>
          <w:color w:val="222222"/>
        </w:rPr>
        <w:t xml:space="preserve">13.1  </w:t>
      </w:r>
      <w:r>
        <w:rPr>
          <w:color w:val="222222"/>
        </w:rPr>
        <w:t xml:space="preserve">The Company may be wound up by a resolution passed by not less than two-thirds of the Directors present and voting at a meeting convened specifically for that purpose, of which not less than thirty (30) days' written notice has been given, and as otherwise required under the Act.</w:t>
      </w:r>
    </w:p>
    <w:p>
      <w:pPr>
        <w:spacing w:after="130"/>
        <w:ind w:left="72"/>
      </w:pPr>
      <w:r>
        <w:rPr>
          <w:b/>
          <w:bCs/>
          <w:color w:val="222222"/>
        </w:rPr>
        <w:t xml:space="preserve">13.2  </w:t>
      </w:r>
      <w:r>
        <w:rPr>
          <w:color w:val="222222"/>
        </w:rPr>
        <w:t xml:space="preserve">Upon winding up, the Board shall settle all debts and liabilities of the Company, and any remaining assets shall not be distributed to any Director, Member, or officer, but shall be transferred to one or more other organizations in Uganda with objects similar to those of the Company, as the Board shall determine, or failing such determination, as a court of competent jurisdiction may direct.</w:t>
      </w:r>
    </w:p>
    <w:p>
      <w:pPr>
        <w:pStyle w:val="Heading1"/>
        <w:pageBreakBefore/>
        <w:pBdr>
          <w:bottom w:val="single" w:color="B8543E" w:sz="8" w:space="4"/>
        </w:pBdr>
        <w:spacing w:after="200" w:before="240"/>
      </w:pPr>
      <w:bookmarkStart w:name="14-indemnity" w:id="1024"/>
      <w:r>
        <w:rPr>
          <w:b/>
          <w:bCs/>
          <w:color w:val="1E2761"/>
        </w:rPr>
        <w:t xml:space="preserve">14. Indemnity</w:t>
      </w:r>
      <w:bookmarkEnd w:id="1024"/>
    </w:p>
    <w:p>
      <w:pPr>
        <w:spacing w:after="130"/>
        <w:ind w:left="72"/>
      </w:pPr>
      <w:r>
        <w:rPr>
          <w:b/>
          <w:bCs/>
          <w:color w:val="222222"/>
        </w:rPr>
        <w:t xml:space="preserve">14.1  </w:t>
      </w:r>
      <w:r>
        <w:rPr>
          <w:color w:val="222222"/>
        </w:rPr>
        <w:t xml:space="preserve">Every Director, officer, and employee of the Company shall be indemnified out of the assets of the Company against liability incurred in the execution of their duties in good faith, save in respect of any liability arising from their own fraud, dishonesty, or willful default.</w:t>
      </w:r>
    </w:p>
    <w:p>
      <w:pPr>
        <w:pStyle w:val="Heading1"/>
        <w:pageBreakBefore/>
        <w:pBdr>
          <w:bottom w:val="single" w:color="B8543E" w:sz="8" w:space="4"/>
        </w:pBdr>
        <w:spacing w:after="200" w:before="240"/>
      </w:pPr>
      <w:bookmarkStart w:name="schedule-1-subscribers-to-the-memorandum" w:id="1025"/>
      <w:r>
        <w:rPr>
          <w:b/>
          <w:bCs/>
          <w:color w:val="1E2761"/>
        </w:rPr>
        <w:t xml:space="preserve">Schedule 1 — Subscribers to the Memorandum</w:t>
      </w:r>
      <w:bookmarkEnd w:id="1025"/>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E2761" w:val="clear"/>
            <w:vAlign w:val="center"/>
          </w:tcPr>
          <w:p>
            <w:r>
              <w:rPr>
                <w:b/>
                <w:bCs/>
                <w:color w:val="FFFFFF"/>
                <w:sz w:val="19"/>
                <w:szCs w:val="19"/>
              </w:rPr>
              <w:t xml:space="preserve">Name</w:t>
            </w:r>
          </w:p>
        </w:tc>
        <w:tc>
          <w:tcPr>
            <w:tcW w:type="dxa" w:w="2850"/>
            <w:shd w:fill="1E2761" w:val="clear"/>
            <w:vAlign w:val="center"/>
          </w:tcPr>
          <w:p>
            <w:r>
              <w:rPr>
                <w:b/>
                <w:bCs/>
                <w:color w:val="FFFFFF"/>
                <w:sz w:val="19"/>
                <w:szCs w:val="19"/>
              </w:rPr>
              <w:t xml:space="preserve">Address</w:t>
            </w:r>
          </w:p>
        </w:tc>
        <w:tc>
          <w:tcPr>
            <w:tcW w:type="dxa" w:w="2100"/>
            <w:shd w:fill="1E2761" w:val="clear"/>
            <w:vAlign w:val="center"/>
          </w:tcPr>
          <w:p>
            <w:r>
              <w:rPr>
                <w:b/>
                <w:bCs/>
                <w:color w:val="FFFFFF"/>
                <w:sz w:val="19"/>
                <w:szCs w:val="19"/>
              </w:rPr>
              <w:t xml:space="preserve">Occupation</w:t>
            </w:r>
          </w:p>
        </w:tc>
        <w:tc>
          <w:tcPr>
            <w:tcW w:type="dxa" w:w="2000"/>
            <w:shd w:fill="1E2761" w:val="clear"/>
            <w:vAlign w:val="center"/>
          </w:tcPr>
          <w:p>
            <w:r>
              <w:rPr>
                <w:b/>
                <w:bCs/>
                <w:color w:val="FFFFFF"/>
                <w:sz w:val="19"/>
                <w:szCs w:val="19"/>
              </w:rPr>
              <w:t xml:space="preserve">National ID No.</w:t>
            </w:r>
          </w:p>
        </w:tc>
      </w:tr>
      <w:tr>
        <w:tc>
          <w:tcPr>
            <w:tcW w:type="dxa" w:w="2400"/>
          </w:tcPr>
          <w:p>
            <w:pPr>
              <w:spacing w:after="300" w:before="300"/>
            </w:pPr>
            <w:r>
              <w:t xml:space="preserve"> </w:t>
            </w:r>
          </w:p>
        </w:tc>
        <w:tc>
          <w:tcPr>
            <w:tcW w:type="dxa" w:w="2850"/>
          </w:tcPr>
          <w:p>
            <w:pPr>
              <w:spacing w:after="300" w:before="300"/>
            </w:pPr>
            <w:r>
              <w:t xml:space="preserve"> </w:t>
            </w:r>
          </w:p>
        </w:tc>
        <w:tc>
          <w:tcPr>
            <w:tcW w:type="dxa" w:w="2100"/>
          </w:tcPr>
          <w:p>
            <w:pPr>
              <w:spacing w:after="300" w:before="300"/>
            </w:pPr>
            <w:r>
              <w:t xml:space="preserve"> </w:t>
            </w:r>
          </w:p>
        </w:tc>
        <w:tc>
          <w:tcPr>
            <w:tcW w:type="dxa" w:w="2000"/>
          </w:tcPr>
          <w:p>
            <w:pPr>
              <w:spacing w:after="300" w:before="300"/>
            </w:pPr>
            <w:r>
              <w:t xml:space="preserve"> </w:t>
            </w:r>
          </w:p>
        </w:tc>
      </w:tr>
      <w:tr>
        <w:tc>
          <w:tcPr>
            <w:tcW w:type="dxa" w:w="2400"/>
          </w:tcPr>
          <w:p>
            <w:pPr>
              <w:spacing w:after="300" w:before="300"/>
            </w:pPr>
            <w:r>
              <w:t xml:space="preserve"> </w:t>
            </w:r>
          </w:p>
        </w:tc>
        <w:tc>
          <w:tcPr>
            <w:tcW w:type="dxa" w:w="2850"/>
          </w:tcPr>
          <w:p>
            <w:pPr>
              <w:spacing w:after="300" w:before="300"/>
            </w:pPr>
            <w:r>
              <w:t xml:space="preserve"> </w:t>
            </w:r>
          </w:p>
        </w:tc>
        <w:tc>
          <w:tcPr>
            <w:tcW w:type="dxa" w:w="2100"/>
          </w:tcPr>
          <w:p>
            <w:pPr>
              <w:spacing w:after="300" w:before="300"/>
            </w:pPr>
            <w:r>
              <w:t xml:space="preserve"> </w:t>
            </w:r>
          </w:p>
        </w:tc>
        <w:tc>
          <w:tcPr>
            <w:tcW w:type="dxa" w:w="2000"/>
          </w:tcPr>
          <w:p>
            <w:pPr>
              <w:spacing w:after="300" w:before="300"/>
            </w:pPr>
            <w:r>
              <w:t xml:space="preserve"> </w:t>
            </w:r>
          </w:p>
        </w:tc>
      </w:tr>
      <w:tr>
        <w:tc>
          <w:tcPr>
            <w:tcW w:type="dxa" w:w="2400"/>
          </w:tcPr>
          <w:p>
            <w:pPr>
              <w:spacing w:after="300" w:before="300"/>
            </w:pPr>
            <w:r>
              <w:t xml:space="preserve"> </w:t>
            </w:r>
          </w:p>
        </w:tc>
        <w:tc>
          <w:tcPr>
            <w:tcW w:type="dxa" w:w="2850"/>
          </w:tcPr>
          <w:p>
            <w:pPr>
              <w:spacing w:after="300" w:before="300"/>
            </w:pPr>
            <w:r>
              <w:t xml:space="preserve"> </w:t>
            </w:r>
          </w:p>
        </w:tc>
        <w:tc>
          <w:tcPr>
            <w:tcW w:type="dxa" w:w="2100"/>
          </w:tcPr>
          <w:p>
            <w:pPr>
              <w:spacing w:after="300" w:before="300"/>
            </w:pPr>
            <w:r>
              <w:t xml:space="preserve"> </w:t>
            </w:r>
          </w:p>
        </w:tc>
        <w:tc>
          <w:tcPr>
            <w:tcW w:type="dxa" w:w="2000"/>
          </w:tcPr>
          <w:p>
            <w:pPr>
              <w:spacing w:after="300" w:before="300"/>
            </w:pPr>
            <w: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The Jopetnah Foundation — Memorandum &amp; Articles of Association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sz w:val="30"/>
      <w:szCs w:val="30"/>
    </w:rPr>
  </w:style>
  <w:style w:type="paragraph" w:styleId="Heading2">
    <w:name w:val="Heading 2"/>
    <w:basedOn w:val="Normal"/>
    <w:next w:val="Normal"/>
    <w:qFormat/>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7a1a6450a4b404de80874c7a8790c81ebef6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2026-08-01T14:19:19.337Z</dcterms:created>
  <dcterms:modified xsi:type="dcterms:W3CDTF">2026-08-01T14:19:19.353Z</dcterms:modified>
</cp:coreProperties>
</file>

<file path=docProps/custom.xml><?xml version="1.0" encoding="utf-8"?>
<Properties xmlns="http://schemas.openxmlformats.org/officeDocument/2006/custom-properties" xmlns:vt="http://schemas.openxmlformats.org/officeDocument/2006/docPropsVTypes"/>
</file>