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THE JOPETNAH FOUNDATION</w:t>
      </w:r>
    </w:p>
    <w:p>
      <w:pPr>
        <w:jc w:val="center"/>
      </w:pPr>
      <w:r>
        <w:rPr>
          <w:b/>
          <w:sz w:val="36"/>
        </w:rPr>
        <w:t>PROGRAM CONCEPT NOTES</w:t>
      </w:r>
    </w:p>
    <w:p>
      <w:pPr>
        <w:jc w:val="center"/>
      </w:pPr>
      <w:r>
        <w:rPr>
          <w:i/>
          <w:sz w:val="22"/>
        </w:rPr>
        <w:t>Four-Pillar Program Portfolio | Donor &amp; Partnership Development Draft</w:t>
      </w:r>
    </w:p>
    <w:p>
      <w:r>
        <w:t>Purpose: This document translates the programs in the TJF Strategic Design &amp; Fundraising Blueprint into concise, donor-ready concept notes. Each concept is designed to be adapted to a specific donor, location, beneficiary profile, implementation period and verified budget before submission.</w:t>
      </w:r>
    </w:p>
    <w:p>
      <w:r>
        <w:rPr>
          <w:b/>
        </w:rPr>
        <w:t xml:space="preserve">Important planning note: </w:t>
      </w:r>
      <w:r>
        <w:t>The budgets and targets below are illustrative planning figures, not current expenditure claims or guaranteed program costs. Final figures should be established through needs assessments, local quotations, technical design and available funding.</w:t>
      </w:r>
    </w:p>
    <w:p>
      <w:pPr>
        <w:pStyle w:val="Heading1"/>
      </w:pPr>
      <w:r>
        <w:t>TJF Program Architecture</w:t>
      </w:r>
    </w:p>
    <w:p>
      <w:r>
        <w:rPr>
          <w:b/>
        </w:rPr>
        <w:t xml:space="preserve">Education &amp; Youth Development: </w:t>
      </w:r>
      <w:r>
        <w:t>Jopetnah Scholars; Future-Ready Labs; Read to Lead</w:t>
      </w:r>
    </w:p>
    <w:p>
      <w:r>
        <w:rPr>
          <w:b/>
        </w:rPr>
        <w:t xml:space="preserve">Health &amp; Wellbeing: </w:t>
      </w:r>
      <w:r>
        <w:t>Community Health Champions; Mobile Wellness Clinics; Malaria Prevention &amp; Response; Mind &amp; Body</w:t>
      </w:r>
    </w:p>
    <w:p>
      <w:r>
        <w:rPr>
          <w:b/>
        </w:rPr>
        <w:t xml:space="preserve">Poverty Alleviation &amp; Livelihoods: </w:t>
      </w:r>
      <w:r>
        <w:t>Jopetnah Micro-Grants; Skills-to-Income Pipeline; Cooperative Savings Circles</w:t>
      </w:r>
    </w:p>
    <w:p>
      <w:r>
        <w:rPr>
          <w:b/>
        </w:rPr>
        <w:t xml:space="preserve">Environment &amp; Community Development: </w:t>
      </w:r>
      <w:r>
        <w:t>Green Neighborhoods; Water &amp; Sanitation Access; Climate-Smart Livelihoods</w:t>
      </w:r>
    </w:p>
    <w:p>
      <w:r>
        <w:br w:type="page"/>
      </w:r>
    </w:p>
    <w:p>
      <w:pPr>
        <w:pStyle w:val="Heading1"/>
      </w:pPr>
      <w:r>
        <w:t>1. Jopetnah Scholars</w:t>
      </w:r>
    </w:p>
    <w:p>
      <w:r>
        <w:rPr>
          <w:b/>
        </w:rPr>
        <w:t xml:space="preserve">Strategic pillar: </w:t>
      </w:r>
      <w:r>
        <w:t>Education &amp; Youth Development</w:t>
      </w:r>
    </w:p>
    <w:p>
      <w:pPr>
        <w:pStyle w:val="Heading2"/>
      </w:pPr>
      <w:r>
        <w:t>1. Problem</w:t>
      </w:r>
    </w:p>
    <w:p>
      <w:r>
        <w:t>Financial hardship can prevent capable learners from enrolling, remaining in school or progressing into further education. Education costs also place pressure on vulnerable households, particularly where income is irregular.</w:t>
      </w:r>
    </w:p>
    <w:p>
      <w:pPr>
        <w:pStyle w:val="Heading2"/>
      </w:pPr>
      <w:r>
        <w:t>2. Target Population</w:t>
      </w:r>
    </w:p>
    <w:p>
      <w:r>
        <w:t>High-potential learners from underserved households, with priority given to students facing documented financial barriers to secondary or tertiary education. Selection should use transparent, needs-based criteria.</w:t>
      </w:r>
    </w:p>
    <w:p>
      <w:pPr>
        <w:pStyle w:val="Heading2"/>
      </w:pPr>
      <w:r>
        <w:t>3. Objectives</w:t>
      </w:r>
    </w:p>
    <w:p>
      <w:pPr>
        <w:pStyle w:val="ListBullet"/>
      </w:pPr>
      <w:r>
        <w:t>Reduce financial barriers that interrupt education.</w:t>
      </w:r>
    </w:p>
    <w:p>
      <w:pPr>
        <w:pStyle w:val="ListBullet"/>
      </w:pPr>
      <w:r>
        <w:t>Improve learner retention, progression and completion.</w:t>
      </w:r>
    </w:p>
    <w:p>
      <w:pPr>
        <w:pStyle w:val="ListBullet"/>
      </w:pPr>
      <w:r>
        <w:t>Pair financial support with mentorship and life-skills development.</w:t>
      </w:r>
    </w:p>
    <w:p>
      <w:pPr>
        <w:pStyle w:val="ListBullet"/>
      </w:pPr>
      <w:r>
        <w:t>Build a pathway from education to further study, skills or employment.</w:t>
      </w:r>
    </w:p>
    <w:p>
      <w:pPr>
        <w:pStyle w:val="Heading2"/>
      </w:pPr>
      <w:r>
        <w:t>4. Core Activities</w:t>
      </w:r>
    </w:p>
    <w:p>
      <w:pPr>
        <w:pStyle w:val="ListBullet"/>
      </w:pPr>
      <w:r>
        <w:t>Needs assessment and transparent beneficiary selection.</w:t>
      </w:r>
    </w:p>
    <w:p>
      <w:pPr>
        <w:pStyle w:val="ListBullet"/>
      </w:pPr>
      <w:r>
        <w:t>Scholarship or education-support packages covering approved eligible costs.</w:t>
      </w:r>
    </w:p>
    <w:p>
      <w:pPr>
        <w:pStyle w:val="ListBullet"/>
      </w:pPr>
      <w:r>
        <w:t>Mentorship, study-skills and career guidance sessions.</w:t>
      </w:r>
    </w:p>
    <w:p>
      <w:pPr>
        <w:pStyle w:val="ListBullet"/>
      </w:pPr>
      <w:r>
        <w:t>Periodic learner and caregiver follow-up.</w:t>
      </w:r>
    </w:p>
    <w:p>
      <w:pPr>
        <w:pStyle w:val="ListBullet"/>
      </w:pPr>
      <w:r>
        <w:t>Referral to psychosocial, health or other support where appropriate.</w:t>
      </w:r>
    </w:p>
    <w:p>
      <w:pPr>
        <w:pStyle w:val="Heading2"/>
      </w:pPr>
      <w:r>
        <w:t>5. Expected Outputs</w:t>
      </w:r>
    </w:p>
    <w:p>
      <w:r>
        <w:t>Illustrative pilot: 50–100 learners supported; 4–6 mentorship sessions per year; individual learner support plans; termly monitoring records.</w:t>
      </w:r>
    </w:p>
    <w:p>
      <w:pPr>
        <w:pStyle w:val="Heading2"/>
      </w:pPr>
      <w:r>
        <w:t>6. Expected Outcomes</w:t>
      </w:r>
    </w:p>
    <w:p>
      <w:r>
        <w:t>Improved school continuity, reduced education-related financial disruption, stronger learner confidence and clearer transition pathways.</w:t>
      </w:r>
    </w:p>
    <w:p>
      <w:pPr>
        <w:pStyle w:val="Heading2"/>
      </w:pPr>
      <w:r>
        <w:t>7. Indicative Budget</w:t>
      </w:r>
    </w:p>
    <w:p>
      <w:r>
        <w:t>Illustrative pilot: USD 15,000–30,000 for 50–100 learners, depending on award size, education level and local costs.</w:t>
      </w:r>
    </w:p>
    <w:p>
      <w:pPr>
        <w:pStyle w:val="Heading2"/>
      </w:pPr>
      <w:r>
        <w:t>8. Monitoring, Evaluation &amp; Learning</w:t>
      </w:r>
    </w:p>
    <w:p>
      <w:r>
        <w:t>Track enrolment/retention, attendance where available, progression, completion, scholarship utilization, mentorship participation and learner/caregiver feedback.</w:t>
      </w:r>
    </w:p>
    <w:p>
      <w:pPr>
        <w:pStyle w:val="Heading2"/>
      </w:pPr>
      <w:r>
        <w:t>9. Sustainability</w:t>
      </w:r>
    </w:p>
    <w:p>
      <w:r>
        <w:t>Alumni engagement, diaspora sponsorship, corporate education partnerships, matched giving and co-financing with schools or other education partners.</w:t>
      </w:r>
    </w:p>
    <w:p>
      <w:pPr>
        <w:pStyle w:val="Heading2"/>
      </w:pPr>
      <w:r>
        <w:t>10. Partnership Opportunities</w:t>
      </w:r>
    </w:p>
    <w:p>
      <w:r>
        <w:t>Schools, universities, education authorities, scholarship providers, corporate CSR programs, diaspora associations and individual donors.</w:t>
      </w:r>
    </w:p>
    <w:p>
      <w:pPr>
        <w:pStyle w:val="Heading2"/>
      </w:pPr>
      <w:r>
        <w:t>Donor Adaptation Note</w:t>
      </w:r>
    </w:p>
    <w:p>
      <w:r>
        <w:t>Before submission to a donor, adapt the concept to the donor's geographic priorities, target population, funding ceiling, theory of change, safeguarding requirements, implementation period and eligible costs. Replace illustrative targets and budget ranges with evidence-based figures.</w:t>
      </w:r>
    </w:p>
    <w:p>
      <w:r>
        <w:br w:type="page"/>
      </w:r>
    </w:p>
    <w:p>
      <w:pPr>
        <w:pStyle w:val="Heading1"/>
      </w:pPr>
      <w:r>
        <w:t>2. Future-Ready Labs</w:t>
      </w:r>
    </w:p>
    <w:p>
      <w:r>
        <w:rPr>
          <w:b/>
        </w:rPr>
        <w:t xml:space="preserve">Strategic pillar: </w:t>
      </w:r>
      <w:r>
        <w:t>Education &amp; Youth Development</w:t>
      </w:r>
    </w:p>
    <w:p>
      <w:pPr>
        <w:pStyle w:val="Heading2"/>
      </w:pPr>
      <w:r>
        <w:t>1. Problem</w:t>
      </w:r>
    </w:p>
    <w:p>
      <w:r>
        <w:t>Many underserved learners have limited access to digital tools, practical technology skills and career-relevant learning opportunities, creating a gap between education and the modern economy.</w:t>
      </w:r>
    </w:p>
    <w:p>
      <w:pPr>
        <w:pStyle w:val="Heading2"/>
      </w:pPr>
      <w:r>
        <w:t>2. Target Population</w:t>
      </w:r>
    </w:p>
    <w:p>
      <w:r>
        <w:t>Students and young people in underserved schools and community learning environments, with priority to locations with limited digital access.</w:t>
      </w:r>
    </w:p>
    <w:p>
      <w:pPr>
        <w:pStyle w:val="Heading2"/>
      </w:pPr>
      <w:r>
        <w:t>3. Objectives</w:t>
      </w:r>
    </w:p>
    <w:p>
      <w:pPr>
        <w:pStyle w:val="ListBullet"/>
      </w:pPr>
      <w:r>
        <w:t>Increase access to practical digital learning.</w:t>
      </w:r>
    </w:p>
    <w:p>
      <w:pPr>
        <w:pStyle w:val="ListBullet"/>
      </w:pPr>
      <w:r>
        <w:t>Develop foundational digital, problem-solving and employability skills.</w:t>
      </w:r>
    </w:p>
    <w:p>
      <w:pPr>
        <w:pStyle w:val="ListBullet"/>
      </w:pPr>
      <w:r>
        <w:t>Connect learning to entrepreneurship, vocational pathways and future careers.</w:t>
      </w:r>
    </w:p>
    <w:p>
      <w:pPr>
        <w:pStyle w:val="Heading2"/>
      </w:pPr>
      <w:r>
        <w:t>4. Core Activities</w:t>
      </w:r>
    </w:p>
    <w:p>
      <w:pPr>
        <w:pStyle w:val="ListBullet"/>
      </w:pPr>
      <w:r>
        <w:t>Establish or equip modest digital learning hubs.</w:t>
      </w:r>
    </w:p>
    <w:p>
      <w:pPr>
        <w:pStyle w:val="ListBullet"/>
      </w:pPr>
      <w:r>
        <w:t>Provide structured digital-literacy and practical skills sessions.</w:t>
      </w:r>
    </w:p>
    <w:p>
      <w:pPr>
        <w:pStyle w:val="ListBullet"/>
      </w:pPr>
      <w:r>
        <w:t>Train facilitators/teachers in safe and effective use of technology.</w:t>
      </w:r>
    </w:p>
    <w:p>
      <w:pPr>
        <w:pStyle w:val="ListBullet"/>
      </w:pPr>
      <w:r>
        <w:t>Introduce project-based learning and career exposure.</w:t>
      </w:r>
    </w:p>
    <w:p>
      <w:pPr>
        <w:pStyle w:val="ListBullet"/>
      </w:pPr>
      <w:r>
        <w:t>Track learner participation and competency progression.</w:t>
      </w:r>
    </w:p>
    <w:p>
      <w:pPr>
        <w:pStyle w:val="Heading2"/>
      </w:pPr>
      <w:r>
        <w:t>5. Expected Outputs</w:t>
      </w:r>
    </w:p>
    <w:p>
      <w:r>
        <w:t>Illustrative pilot: 1–3 labs; 100–300 learners reached; trained facilitators; structured learning curriculum; equipment and maintenance plan.</w:t>
      </w:r>
    </w:p>
    <w:p>
      <w:pPr>
        <w:pStyle w:val="Heading2"/>
      </w:pPr>
      <w:r>
        <w:t>6. Expected Outcomes</w:t>
      </w:r>
    </w:p>
    <w:p>
      <w:r>
        <w:t>Improved digital confidence and practical competencies, greater exposure to career pathways and increased readiness for further training or employment.</w:t>
      </w:r>
    </w:p>
    <w:p>
      <w:pPr>
        <w:pStyle w:val="Heading2"/>
      </w:pPr>
      <w:r>
        <w:t>7. Indicative Budget</w:t>
      </w:r>
    </w:p>
    <w:p>
      <w:r>
        <w:t>Illustrative pilot: USD 20,000–60,000 depending on equipment, connectivity, site readiness and number of labs.</w:t>
      </w:r>
    </w:p>
    <w:p>
      <w:pPr>
        <w:pStyle w:val="Heading2"/>
      </w:pPr>
      <w:r>
        <w:t>8. Monitoring, Evaluation &amp; Learning</w:t>
      </w:r>
    </w:p>
    <w:p>
      <w:r>
        <w:t>Track attendance, completion, competency assessments, device utilization, learner projects and post-training progression.</w:t>
      </w:r>
    </w:p>
    <w:p>
      <w:pPr>
        <w:pStyle w:val="Heading2"/>
      </w:pPr>
      <w:r>
        <w:t>9. Sustainability</w:t>
      </w:r>
    </w:p>
    <w:p>
      <w:r>
        <w:t>Corporate technology sponsorships, equipment donations, school co-investment, maintenance contributions and partnerships with technology/education organizations.</w:t>
      </w:r>
    </w:p>
    <w:p>
      <w:pPr>
        <w:pStyle w:val="Heading2"/>
      </w:pPr>
      <w:r>
        <w:t>10. Partnership Opportunities</w:t>
      </w:r>
    </w:p>
    <w:p>
      <w:r>
        <w:t>Schools, technology companies, telecoms, universities, vocational institutes, digital-skills organizations and corporate CSR teams.</w:t>
      </w:r>
    </w:p>
    <w:p>
      <w:pPr>
        <w:pStyle w:val="Heading2"/>
      </w:pPr>
      <w:r>
        <w:t>Donor Adaptation Note</w:t>
      </w:r>
    </w:p>
    <w:p>
      <w:r>
        <w:t>Before submission to a donor, adapt the concept to the donor's geographic priorities, target population, funding ceiling, theory of change, safeguarding requirements, implementation period and eligible costs. Replace illustrative targets and budget ranges with evidence-based figures.</w:t>
      </w:r>
    </w:p>
    <w:p>
      <w:r>
        <w:br w:type="page"/>
      </w:r>
    </w:p>
    <w:p>
      <w:pPr>
        <w:pStyle w:val="Heading1"/>
      </w:pPr>
      <w:r>
        <w:t>3. Read to Lead</w:t>
      </w:r>
    </w:p>
    <w:p>
      <w:r>
        <w:rPr>
          <w:b/>
        </w:rPr>
        <w:t xml:space="preserve">Strategic pillar: </w:t>
      </w:r>
      <w:r>
        <w:t>Education &amp; Youth Development</w:t>
      </w:r>
    </w:p>
    <w:p>
      <w:pPr>
        <w:pStyle w:val="Heading2"/>
      </w:pPr>
      <w:r>
        <w:t>1. Problem</w:t>
      </w:r>
    </w:p>
    <w:p>
      <w:r>
        <w:t>Limited access to age-appropriate books, reading spaces and supportive literacy environments can weaken foundational reading skills and reduce children's opportunities to develop a lifelong learning habit.</w:t>
      </w:r>
    </w:p>
    <w:p>
      <w:pPr>
        <w:pStyle w:val="Heading2"/>
      </w:pPr>
      <w:r>
        <w:t>2. Target Population</w:t>
      </w:r>
    </w:p>
    <w:p>
      <w:r>
        <w:t>Children, early learners, teachers, caregivers and community volunteers in underserved communities.</w:t>
      </w:r>
    </w:p>
    <w:p>
      <w:pPr>
        <w:pStyle w:val="Heading2"/>
      </w:pPr>
      <w:r>
        <w:t>3. Objectives</w:t>
      </w:r>
    </w:p>
    <w:p>
      <w:pPr>
        <w:pStyle w:val="ListBullet"/>
      </w:pPr>
      <w:r>
        <w:t>Improve access to books and child-friendly reading spaces.</w:t>
      </w:r>
    </w:p>
    <w:p>
      <w:pPr>
        <w:pStyle w:val="ListBullet"/>
      </w:pPr>
      <w:r>
        <w:t>Encourage regular reading among children.</w:t>
      </w:r>
    </w:p>
    <w:p>
      <w:pPr>
        <w:pStyle w:val="ListBullet"/>
      </w:pPr>
      <w:r>
        <w:t>Strengthen caregiver and community participation in literacy.</w:t>
      </w:r>
    </w:p>
    <w:p>
      <w:pPr>
        <w:pStyle w:val="ListBullet"/>
      </w:pPr>
      <w:r>
        <w:t>Support teachers and volunteers with practical reading resources.</w:t>
      </w:r>
    </w:p>
    <w:p>
      <w:pPr>
        <w:pStyle w:val="Heading2"/>
      </w:pPr>
      <w:r>
        <w:t>4. Core Activities</w:t>
      </w:r>
    </w:p>
    <w:p>
      <w:pPr>
        <w:pStyle w:val="ListBullet"/>
      </w:pPr>
      <w:r>
        <w:t>Create or strengthen community/mobile library collections.</w:t>
      </w:r>
    </w:p>
    <w:p>
      <w:pPr>
        <w:pStyle w:val="ListBullet"/>
      </w:pPr>
      <w:r>
        <w:t>Reading clubs and storytelling sessions.</w:t>
      </w:r>
    </w:p>
    <w:p>
      <w:pPr>
        <w:pStyle w:val="ListBullet"/>
      </w:pPr>
      <w:r>
        <w:t>Book drives and responsible resource distribution.</w:t>
      </w:r>
    </w:p>
    <w:p>
      <w:pPr>
        <w:pStyle w:val="ListBullet"/>
      </w:pPr>
      <w:r>
        <w:t>Caregiver literacy engagement.</w:t>
      </w:r>
    </w:p>
    <w:p>
      <w:pPr>
        <w:pStyle w:val="ListBullet"/>
      </w:pPr>
      <w:r>
        <w:t>Volunteer training and reading-event campaigns.</w:t>
      </w:r>
    </w:p>
    <w:p>
      <w:pPr>
        <w:pStyle w:val="Heading2"/>
      </w:pPr>
      <w:r>
        <w:t>5. Expected Outputs</w:t>
      </w:r>
    </w:p>
    <w:p>
      <w:r>
        <w:t>Illustrative pilot: 1–3 community/mobile reading hubs; 500–1,500 books/resources; regular reading sessions; trained volunteers; participating children tracked.</w:t>
      </w:r>
    </w:p>
    <w:p>
      <w:pPr>
        <w:pStyle w:val="Heading2"/>
      </w:pPr>
      <w:r>
        <w:t>6. Expected Outcomes</w:t>
      </w:r>
    </w:p>
    <w:p>
      <w:r>
        <w:t>Higher reading engagement, improved access to learning materials and stronger community support for children's literacy.</w:t>
      </w:r>
    </w:p>
    <w:p>
      <w:pPr>
        <w:pStyle w:val="Heading2"/>
      </w:pPr>
      <w:r>
        <w:t>7. Indicative Budget</w:t>
      </w:r>
    </w:p>
    <w:p>
      <w:r>
        <w:t>Illustrative pilot: USD 8,000–20,000 depending on books, mobility, space, staffing and geographic coverage.</w:t>
      </w:r>
    </w:p>
    <w:p>
      <w:pPr>
        <w:pStyle w:val="Heading2"/>
      </w:pPr>
      <w:r>
        <w:t>8. Monitoring, Evaluation &amp; Learning</w:t>
      </w:r>
    </w:p>
    <w:p>
      <w:r>
        <w:t>Track children participating, reading-session frequency, book circulation, reading assessments where feasible and caregiver/teacher feedback.</w:t>
      </w:r>
    </w:p>
    <w:p>
      <w:pPr>
        <w:pStyle w:val="Heading2"/>
      </w:pPr>
      <w:r>
        <w:t>9. Sustainability</w:t>
      </w:r>
    </w:p>
    <w:p>
      <w:r>
        <w:t>Book partnerships, publishers, schools, diaspora campaigns, library networks, volunteer networks and recurring literacy sponsorship.</w:t>
      </w:r>
    </w:p>
    <w:p>
      <w:pPr>
        <w:pStyle w:val="Heading2"/>
      </w:pPr>
      <w:r>
        <w:t>10. Partnership Opportunities</w:t>
      </w:r>
    </w:p>
    <w:p>
      <w:r>
        <w:t>Schools, libraries, publishers, book donors, education NGOs, local authorities and community organizations.</w:t>
      </w:r>
    </w:p>
    <w:p>
      <w:pPr>
        <w:pStyle w:val="Heading2"/>
      </w:pPr>
      <w:r>
        <w:t>Donor Adaptation Note</w:t>
      </w:r>
    </w:p>
    <w:p>
      <w:r>
        <w:t>Before submission to a donor, adapt the concept to the donor's geographic priorities, target population, funding ceiling, theory of change, safeguarding requirements, implementation period and eligible costs. Replace illustrative targets and budget ranges with evidence-based figures.</w:t>
      </w:r>
    </w:p>
    <w:p>
      <w:r>
        <w:br w:type="page"/>
      </w:r>
    </w:p>
    <w:p>
      <w:pPr>
        <w:pStyle w:val="Heading1"/>
      </w:pPr>
      <w:r>
        <w:t>4. Community Health Champions</w:t>
      </w:r>
    </w:p>
    <w:p>
      <w:r>
        <w:rPr>
          <w:b/>
        </w:rPr>
        <w:t xml:space="preserve">Strategic pillar: </w:t>
      </w:r>
      <w:r>
        <w:t>Health &amp; Wellbeing</w:t>
      </w:r>
    </w:p>
    <w:p>
      <w:pPr>
        <w:pStyle w:val="Heading2"/>
      </w:pPr>
      <w:r>
        <w:t>1. Problem</w:t>
      </w:r>
    </w:p>
    <w:p>
      <w:r>
        <w:t>Communities may face barriers to reliable health information, early recognition of health risks and timely referral to formal health services.</w:t>
      </w:r>
    </w:p>
    <w:p>
      <w:pPr>
        <w:pStyle w:val="Heading2"/>
      </w:pPr>
      <w:r>
        <w:t>2. Target Population</w:t>
      </w:r>
    </w:p>
    <w:p>
      <w:r>
        <w:t>Community volunteers and residents in underserved areas, with attention to households that face barriers to health information and services.</w:t>
      </w:r>
    </w:p>
    <w:p>
      <w:pPr>
        <w:pStyle w:val="Heading2"/>
      </w:pPr>
      <w:r>
        <w:t>3. Objectives</w:t>
      </w:r>
    </w:p>
    <w:p>
      <w:pPr>
        <w:pStyle w:val="ListBullet"/>
      </w:pPr>
      <w:r>
        <w:t>Strengthen community-level health education.</w:t>
      </w:r>
    </w:p>
    <w:p>
      <w:pPr>
        <w:pStyle w:val="ListBullet"/>
      </w:pPr>
      <w:r>
        <w:t>Improve knowledge of prevention, early warning signs and appropriate referral.</w:t>
      </w:r>
    </w:p>
    <w:p>
      <w:pPr>
        <w:pStyle w:val="ListBullet"/>
      </w:pPr>
      <w:r>
        <w:t>Create a trusted link between communities and existing health services.</w:t>
      </w:r>
    </w:p>
    <w:p>
      <w:pPr>
        <w:pStyle w:val="Heading2"/>
      </w:pPr>
      <w:r>
        <w:t>4. Core Activities</w:t>
      </w:r>
    </w:p>
    <w:p>
      <w:pPr>
        <w:pStyle w:val="ListBullet"/>
      </w:pPr>
      <w:r>
        <w:t>Recruit and train community health champions in approved topics.</w:t>
      </w:r>
    </w:p>
    <w:p>
      <w:pPr>
        <w:pStyle w:val="ListBullet"/>
      </w:pPr>
      <w:r>
        <w:t>Provide standardized health-education materials.</w:t>
      </w:r>
    </w:p>
    <w:p>
      <w:pPr>
        <w:pStyle w:val="ListBullet"/>
      </w:pPr>
      <w:r>
        <w:t>Conduct household/community awareness sessions.</w:t>
      </w:r>
    </w:p>
    <w:p>
      <w:pPr>
        <w:pStyle w:val="ListBullet"/>
      </w:pPr>
      <w:r>
        <w:t>Establish referral and follow-up pathways with health facilities.</w:t>
      </w:r>
    </w:p>
    <w:p>
      <w:pPr>
        <w:pStyle w:val="ListBullet"/>
      </w:pPr>
      <w:r>
        <w:t>Provide supervision and refresher training.</w:t>
      </w:r>
    </w:p>
    <w:p>
      <w:pPr>
        <w:pStyle w:val="Heading2"/>
      </w:pPr>
      <w:r>
        <w:t>5. Expected Outputs</w:t>
      </w:r>
    </w:p>
    <w:p>
      <w:r>
        <w:t>Illustrative pilot: 20–50 champions trained; regular community sessions; referral records; supervisory meetings and educational materials distributed.</w:t>
      </w:r>
    </w:p>
    <w:p>
      <w:pPr>
        <w:pStyle w:val="Heading2"/>
      </w:pPr>
      <w:r>
        <w:t>6. Expected Outcomes</w:t>
      </w:r>
    </w:p>
    <w:p>
      <w:r>
        <w:t>Improved health knowledge, earlier care-seeking and stronger community-health-facility linkages.</w:t>
      </w:r>
    </w:p>
    <w:p>
      <w:pPr>
        <w:pStyle w:val="Heading2"/>
      </w:pPr>
      <w:r>
        <w:t>7. Indicative Budget</w:t>
      </w:r>
    </w:p>
    <w:p>
      <w:r>
        <w:t>Illustrative pilot: USD 10,000–25,000 depending on training, transport, supervision and coverage.</w:t>
      </w:r>
    </w:p>
    <w:p>
      <w:pPr>
        <w:pStyle w:val="Heading2"/>
      </w:pPr>
      <w:r>
        <w:t>8. Monitoring, Evaluation &amp; Learning</w:t>
      </w:r>
    </w:p>
    <w:p>
      <w:r>
        <w:t>Track trained champions, sessions, people reached, referrals, follow-up completion and pre/post knowledge measures.</w:t>
      </w:r>
    </w:p>
    <w:p>
      <w:pPr>
        <w:pStyle w:val="Heading2"/>
      </w:pPr>
      <w:r>
        <w:t>9. Sustainability</w:t>
      </w:r>
    </w:p>
    <w:p>
      <w:r>
        <w:t>Integration with local health structures, volunteer networks, health-sector partnerships and local leadership support.</w:t>
      </w:r>
    </w:p>
    <w:p>
      <w:pPr>
        <w:pStyle w:val="Heading2"/>
      </w:pPr>
      <w:r>
        <w:t>10. Partnership Opportunities</w:t>
      </w:r>
    </w:p>
    <w:p>
      <w:r>
        <w:t>Health facilities, district health structures, community organizations, public-health institutions and qualified health professionals.</w:t>
      </w:r>
    </w:p>
    <w:p>
      <w:pPr>
        <w:pStyle w:val="Heading2"/>
      </w:pPr>
      <w:r>
        <w:t>Donor Adaptation Note</w:t>
      </w:r>
    </w:p>
    <w:p>
      <w:r>
        <w:t>Before submission to a donor, adapt the concept to the donor's geographic priorities, target population, funding ceiling, theory of change, safeguarding requirements, implementation period and eligible costs. Replace illustrative targets and budget ranges with evidence-based figures.</w:t>
      </w:r>
    </w:p>
    <w:p>
      <w:r>
        <w:br w:type="page"/>
      </w:r>
    </w:p>
    <w:p>
      <w:pPr>
        <w:pStyle w:val="Heading1"/>
      </w:pPr>
      <w:r>
        <w:t>5. Mobile Wellness Clinics</w:t>
      </w:r>
    </w:p>
    <w:p>
      <w:r>
        <w:rPr>
          <w:b/>
        </w:rPr>
        <w:t xml:space="preserve">Strategic pillar: </w:t>
      </w:r>
      <w:r>
        <w:t>Health &amp; Wellbeing</w:t>
      </w:r>
    </w:p>
    <w:p>
      <w:pPr>
        <w:pStyle w:val="Heading2"/>
      </w:pPr>
      <w:r>
        <w:t>1. Problem</w:t>
      </w:r>
    </w:p>
    <w:p>
      <w:r>
        <w:t>People in remote or underserved areas can experience practical barriers to accessing basic health information, screening and referral services.</w:t>
      </w:r>
    </w:p>
    <w:p>
      <w:pPr>
        <w:pStyle w:val="Heading2"/>
      </w:pPr>
      <w:r>
        <w:t>2. Target Population</w:t>
      </w:r>
    </w:p>
    <w:p>
      <w:r>
        <w:t>Residents of underserved communities, with priority determined through local needs assessment and health-system coordination.</w:t>
      </w:r>
    </w:p>
    <w:p>
      <w:pPr>
        <w:pStyle w:val="Heading2"/>
      </w:pPr>
      <w:r>
        <w:t>3. Objectives</w:t>
      </w:r>
    </w:p>
    <w:p>
      <w:pPr>
        <w:pStyle w:val="ListBullet"/>
      </w:pPr>
      <w:r>
        <w:t>Bring selected preventive and screening services closer to underserved communities.</w:t>
      </w:r>
    </w:p>
    <w:p>
      <w:pPr>
        <w:pStyle w:val="ListBullet"/>
      </w:pPr>
      <w:r>
        <w:t>Increase early identification and referral of health concerns.</w:t>
      </w:r>
    </w:p>
    <w:p>
      <w:pPr>
        <w:pStyle w:val="ListBullet"/>
      </w:pPr>
      <w:r>
        <w:t>Connect outreach activities to existing health facilities rather than creating parallel systems.</w:t>
      </w:r>
    </w:p>
    <w:p>
      <w:pPr>
        <w:pStyle w:val="Heading2"/>
      </w:pPr>
      <w:r>
        <w:t>4. Core Activities</w:t>
      </w:r>
    </w:p>
    <w:p>
      <w:pPr>
        <w:pStyle w:val="ListBullet"/>
      </w:pPr>
      <w:r>
        <w:t>Coordinate outreach schedules with qualified health providers.</w:t>
      </w:r>
    </w:p>
    <w:p>
      <w:pPr>
        <w:pStyle w:val="ListBullet"/>
      </w:pPr>
      <w:r>
        <w:t>Conduct approved screening, health education and referral activities.</w:t>
      </w:r>
    </w:p>
    <w:p>
      <w:pPr>
        <w:pStyle w:val="ListBullet"/>
      </w:pPr>
      <w:r>
        <w:t>Provide maternal, adolescent, nutrition or other priority services as locally appropriate.</w:t>
      </w:r>
    </w:p>
    <w:p>
      <w:pPr>
        <w:pStyle w:val="ListBullet"/>
      </w:pPr>
      <w:r>
        <w:t>Maintain referral and follow-up systems.</w:t>
      </w:r>
    </w:p>
    <w:p>
      <w:pPr>
        <w:pStyle w:val="ListBullet"/>
      </w:pPr>
      <w:r>
        <w:t>Document service utilization and lessons.</w:t>
      </w:r>
    </w:p>
    <w:p>
      <w:pPr>
        <w:pStyle w:val="Heading2"/>
      </w:pPr>
      <w:r>
        <w:t>5. Expected Outputs</w:t>
      </w:r>
    </w:p>
    <w:p>
      <w:r>
        <w:t>Illustrative pilot: 6–12 outreach events; 500–1,500 service contacts; referral pathways; community health education sessions.</w:t>
      </w:r>
    </w:p>
    <w:p>
      <w:pPr>
        <w:pStyle w:val="Heading2"/>
      </w:pPr>
      <w:r>
        <w:t>6. Expected Outcomes</w:t>
      </w:r>
    </w:p>
    <w:p>
      <w:r>
        <w:t>Improved access to preventive services, earlier identification of health concerns and stronger links to formal care.</w:t>
      </w:r>
    </w:p>
    <w:p>
      <w:pPr>
        <w:pStyle w:val="Heading2"/>
      </w:pPr>
      <w:r>
        <w:t>7. Indicative Budget</w:t>
      </w:r>
    </w:p>
    <w:p>
      <w:r>
        <w:t>Illustrative pilot: USD 20,000–50,000 depending on clinical scope, transport, personnel, supplies and geography.</w:t>
      </w:r>
    </w:p>
    <w:p>
      <w:pPr>
        <w:pStyle w:val="Heading2"/>
      </w:pPr>
      <w:r>
        <w:t>8. Monitoring, Evaluation &amp; Learning</w:t>
      </w:r>
    </w:p>
    <w:p>
      <w:r>
        <w:t>Track outreach events, service contacts by category, referrals, completed referrals where feasible, demographic reach and satisfaction.</w:t>
      </w:r>
    </w:p>
    <w:p>
      <w:pPr>
        <w:pStyle w:val="Heading2"/>
      </w:pPr>
      <w:r>
        <w:t>9. Sustainability</w:t>
      </w:r>
    </w:p>
    <w:p>
      <w:r>
        <w:t>Co-delivery with existing health services, government coordination, corporate health sponsorship and institutional health partners.</w:t>
      </w:r>
    </w:p>
    <w:p>
      <w:pPr>
        <w:pStyle w:val="Heading2"/>
      </w:pPr>
      <w:r>
        <w:t>10. Partnership Opportunities</w:t>
      </w:r>
    </w:p>
    <w:p>
      <w:r>
        <w:t>Licensed health providers, district health authorities, hospitals/clinics, public-health organizations and corporate health programs.</w:t>
      </w:r>
    </w:p>
    <w:p>
      <w:pPr>
        <w:pStyle w:val="Heading2"/>
      </w:pPr>
      <w:r>
        <w:t>Donor Adaptation Note</w:t>
      </w:r>
    </w:p>
    <w:p>
      <w:r>
        <w:t>Before submission to a donor, adapt the concept to the donor's geographic priorities, target population, funding ceiling, theory of change, safeguarding requirements, implementation period and eligible costs. Replace illustrative targets and budget ranges with evidence-based figures.</w:t>
      </w:r>
    </w:p>
    <w:p>
      <w:r>
        <w:br w:type="page"/>
      </w:r>
    </w:p>
    <w:p>
      <w:pPr>
        <w:pStyle w:val="Heading1"/>
      </w:pPr>
      <w:r>
        <w:t>6. Malaria Prevention &amp; Response</w:t>
      </w:r>
    </w:p>
    <w:p>
      <w:r>
        <w:rPr>
          <w:b/>
        </w:rPr>
        <w:t xml:space="preserve">Strategic pillar: </w:t>
      </w:r>
      <w:r>
        <w:t>Health &amp; Wellbeing</w:t>
      </w:r>
    </w:p>
    <w:p>
      <w:pPr>
        <w:pStyle w:val="Heading2"/>
      </w:pPr>
      <w:r>
        <w:t>1. Problem</w:t>
      </w:r>
    </w:p>
    <w:p>
      <w:r>
        <w:t>Malaria can place preventable health and economic burdens on households, particularly where prevention practices, timely diagnosis and access to appropriate care are limited.</w:t>
      </w:r>
    </w:p>
    <w:p>
      <w:pPr>
        <w:pStyle w:val="Heading2"/>
      </w:pPr>
      <w:r>
        <w:t>2. Target Population</w:t>
      </w:r>
    </w:p>
    <w:p>
      <w:r>
        <w:t>Malaria-affected communities, prioritizing households and populations identified through local health data and partner consultation.</w:t>
      </w:r>
    </w:p>
    <w:p>
      <w:pPr>
        <w:pStyle w:val="Heading2"/>
      </w:pPr>
      <w:r>
        <w:t>3. Objectives</w:t>
      </w:r>
    </w:p>
    <w:p>
      <w:pPr>
        <w:pStyle w:val="ListBullet"/>
      </w:pPr>
      <w:r>
        <w:t>Increase community awareness of malaria prevention.</w:t>
      </w:r>
    </w:p>
    <w:p>
      <w:pPr>
        <w:pStyle w:val="ListBullet"/>
      </w:pPr>
      <w:r>
        <w:t>Promote timely testing and appropriate referral.</w:t>
      </w:r>
    </w:p>
    <w:p>
      <w:pPr>
        <w:pStyle w:val="ListBullet"/>
      </w:pPr>
      <w:r>
        <w:t>Support locally appropriate prevention activities in coordination with health authorities.</w:t>
      </w:r>
    </w:p>
    <w:p>
      <w:pPr>
        <w:pStyle w:val="Heading2"/>
      </w:pPr>
      <w:r>
        <w:t>4. Core Activities</w:t>
      </w:r>
    </w:p>
    <w:p>
      <w:pPr>
        <w:pStyle w:val="ListBullet"/>
      </w:pPr>
      <w:r>
        <w:t>Community education on prevention and early care-seeking.</w:t>
      </w:r>
    </w:p>
    <w:p>
      <w:pPr>
        <w:pStyle w:val="ListBullet"/>
      </w:pPr>
      <w:r>
        <w:t>Referral and awareness activities linked to qualified health services.</w:t>
      </w:r>
    </w:p>
    <w:p>
      <w:pPr>
        <w:pStyle w:val="ListBullet"/>
      </w:pPr>
      <w:r>
        <w:t>Support distribution of approved prevention materials where funding and public-health coordination permit.</w:t>
      </w:r>
    </w:p>
    <w:p>
      <w:pPr>
        <w:pStyle w:val="ListBullet"/>
      </w:pPr>
      <w:r>
        <w:t>Community campaigns before and during high-risk periods.</w:t>
      </w:r>
    </w:p>
    <w:p>
      <w:pPr>
        <w:pStyle w:val="ListBullet"/>
      </w:pPr>
      <w:r>
        <w:t>Monitor reach and lessons for future campaigns.</w:t>
      </w:r>
    </w:p>
    <w:p>
      <w:pPr>
        <w:pStyle w:val="Heading2"/>
      </w:pPr>
      <w:r>
        <w:t>5. Expected Outputs</w:t>
      </w:r>
    </w:p>
    <w:p>
      <w:r>
        <w:t>Illustrative pilot: 10–20 community campaigns; 2,000–5,000 people reached; trained educators/volunteers; referral information distributed.</w:t>
      </w:r>
    </w:p>
    <w:p>
      <w:pPr>
        <w:pStyle w:val="Heading2"/>
      </w:pPr>
      <w:r>
        <w:t>6. Expected Outcomes</w:t>
      </w:r>
    </w:p>
    <w:p>
      <w:r>
        <w:t>Improved prevention knowledge, increased timely care-seeking and stronger community engagement in malaria prevention.</w:t>
      </w:r>
    </w:p>
    <w:p>
      <w:pPr>
        <w:pStyle w:val="Heading2"/>
      </w:pPr>
      <w:r>
        <w:t>7. Indicative Budget</w:t>
      </w:r>
    </w:p>
    <w:p>
      <w:r>
        <w:t>Illustrative pilot: USD 8,000–25,000 depending on geography, materials and whether prevention commodities are included.</w:t>
      </w:r>
    </w:p>
    <w:p>
      <w:pPr>
        <w:pStyle w:val="Heading2"/>
      </w:pPr>
      <w:r>
        <w:t>8. Monitoring, Evaluation &amp; Learning</w:t>
      </w:r>
    </w:p>
    <w:p>
      <w:r>
        <w:t>Track people reached, knowledge change, campaign coverage, referrals and partner-confirmed service linkages. Do not attribute changes in malaria incidence without appropriate epidemiological design.</w:t>
      </w:r>
    </w:p>
    <w:p>
      <w:pPr>
        <w:pStyle w:val="Heading2"/>
      </w:pPr>
      <w:r>
        <w:t>9. Sustainability</w:t>
      </w:r>
    </w:p>
    <w:p>
      <w:r>
        <w:t>Integration with public-health programs, health-sector partnerships, corporate sponsorship and community health structures.</w:t>
      </w:r>
    </w:p>
    <w:p>
      <w:pPr>
        <w:pStyle w:val="Heading2"/>
      </w:pPr>
      <w:r>
        <w:t>10. Partnership Opportunities</w:t>
      </w:r>
    </w:p>
    <w:p>
      <w:r>
        <w:t>Health authorities, qualified health providers, malaria-control programs, public-health NGOs and donors supporting malaria prevention.</w:t>
      </w:r>
    </w:p>
    <w:p>
      <w:pPr>
        <w:pStyle w:val="Heading2"/>
      </w:pPr>
      <w:r>
        <w:t>Donor Adaptation Note</w:t>
      </w:r>
    </w:p>
    <w:p>
      <w:r>
        <w:t>Before submission to a donor, adapt the concept to the donor's geographic priorities, target population, funding ceiling, theory of change, safeguarding requirements, implementation period and eligible costs. Replace illustrative targets and budget ranges with evidence-based figures.</w:t>
      </w:r>
    </w:p>
    <w:p>
      <w:r>
        <w:br w:type="page"/>
      </w:r>
    </w:p>
    <w:p>
      <w:pPr>
        <w:pStyle w:val="Heading1"/>
      </w:pPr>
      <w:r>
        <w:t>7. Mind &amp; Body</w:t>
      </w:r>
    </w:p>
    <w:p>
      <w:r>
        <w:rPr>
          <w:b/>
        </w:rPr>
        <w:t xml:space="preserve">Strategic pillar: </w:t>
      </w:r>
      <w:r>
        <w:t>Health &amp; Wellbeing</w:t>
      </w:r>
    </w:p>
    <w:p>
      <w:pPr>
        <w:pStyle w:val="Heading2"/>
      </w:pPr>
      <w:r>
        <w:t>1. Problem</w:t>
      </w:r>
    </w:p>
    <w:p>
      <w:r>
        <w:t>Mental wellbeing, nutrition and adolescent health are often interconnected, yet communities may have limited access to age-appropriate information, early support and referral pathways.</w:t>
      </w:r>
    </w:p>
    <w:p>
      <w:pPr>
        <w:pStyle w:val="Heading2"/>
      </w:pPr>
      <w:r>
        <w:t>2. Target Population</w:t>
      </w:r>
    </w:p>
    <w:p>
      <w:r>
        <w:t>Adolescents, young adults, caregivers and community members, with programming adapted to local needs and safeguarding requirements.</w:t>
      </w:r>
    </w:p>
    <w:p>
      <w:pPr>
        <w:pStyle w:val="Heading2"/>
      </w:pPr>
      <w:r>
        <w:t>3. Objectives</w:t>
      </w:r>
    </w:p>
    <w:p>
      <w:pPr>
        <w:pStyle w:val="ListBullet"/>
      </w:pPr>
      <w:r>
        <w:t>Improve awareness of mental wellbeing, nutrition and healthy behaviors.</w:t>
      </w:r>
    </w:p>
    <w:p>
      <w:pPr>
        <w:pStyle w:val="ListBullet"/>
      </w:pPr>
      <w:r>
        <w:t>Strengthen early identification and referral for concerns requiring professional support.</w:t>
      </w:r>
    </w:p>
    <w:p>
      <w:pPr>
        <w:pStyle w:val="ListBullet"/>
      </w:pPr>
      <w:r>
        <w:t>Promote safe, inclusive and age-appropriate health education.</w:t>
      </w:r>
    </w:p>
    <w:p>
      <w:pPr>
        <w:pStyle w:val="Heading2"/>
      </w:pPr>
      <w:r>
        <w:t>4. Core Activities</w:t>
      </w:r>
    </w:p>
    <w:p>
      <w:pPr>
        <w:pStyle w:val="ListBullet"/>
      </w:pPr>
      <w:r>
        <w:t>Facilitated awareness and life-skills sessions.</w:t>
      </w:r>
    </w:p>
    <w:p>
      <w:pPr>
        <w:pStyle w:val="ListBullet"/>
      </w:pPr>
      <w:r>
        <w:t>Nutrition and healthy-lifestyle education.</w:t>
      </w:r>
    </w:p>
    <w:p>
      <w:pPr>
        <w:pStyle w:val="ListBullet"/>
      </w:pPr>
      <w:r>
        <w:t>Adolescent health information sessions.</w:t>
      </w:r>
    </w:p>
    <w:p>
      <w:pPr>
        <w:pStyle w:val="ListBullet"/>
      </w:pPr>
      <w:r>
        <w:t>Establish referral pathways with qualified providers.</w:t>
      </w:r>
    </w:p>
    <w:p>
      <w:pPr>
        <w:pStyle w:val="ListBullet"/>
      </w:pPr>
      <w:r>
        <w:t>Train facilitators on safeguarding, confidentiality and appropriate boundaries.</w:t>
      </w:r>
    </w:p>
    <w:p>
      <w:pPr>
        <w:pStyle w:val="Heading2"/>
      </w:pPr>
      <w:r>
        <w:t>5. Expected Outputs</w:t>
      </w:r>
    </w:p>
    <w:p>
      <w:r>
        <w:t>Illustrative pilot: 20–40 sessions; 500–1,000 participants; trained facilitators; referral directory and safeguarding procedures.</w:t>
      </w:r>
    </w:p>
    <w:p>
      <w:pPr>
        <w:pStyle w:val="Heading2"/>
      </w:pPr>
      <w:r>
        <w:t>6. Expected Outcomes</w:t>
      </w:r>
    </w:p>
    <w:p>
      <w:r>
        <w:t>Improved health literacy, healthier behaviors, greater awareness of available support and stronger referral linkages.</w:t>
      </w:r>
    </w:p>
    <w:p>
      <w:pPr>
        <w:pStyle w:val="Heading2"/>
      </w:pPr>
      <w:r>
        <w:t>7. Indicative Budget</w:t>
      </w:r>
    </w:p>
    <w:p>
      <w:r>
        <w:t>Illustrative pilot: USD 8,000–20,000 depending on staffing, materials and coverage.</w:t>
      </w:r>
    </w:p>
    <w:p>
      <w:pPr>
        <w:pStyle w:val="Heading2"/>
      </w:pPr>
      <w:r>
        <w:t>8. Monitoring, Evaluation &amp; Learning</w:t>
      </w:r>
    </w:p>
    <w:p>
      <w:r>
        <w:t>Track participation, knowledge/attitude measures, referrals and participant feedback, while protecting privacy and sensitive information.</w:t>
      </w:r>
    </w:p>
    <w:p>
      <w:pPr>
        <w:pStyle w:val="Heading2"/>
      </w:pPr>
      <w:r>
        <w:t>9. Sustainability</w:t>
      </w:r>
    </w:p>
    <w:p>
      <w:r>
        <w:t>Schools, youth organizations, health providers, community groups and corporate wellbeing partnerships.</w:t>
      </w:r>
    </w:p>
    <w:p>
      <w:pPr>
        <w:pStyle w:val="Heading2"/>
      </w:pPr>
      <w:r>
        <w:t>10. Partnership Opportunities</w:t>
      </w:r>
    </w:p>
    <w:p>
      <w:r>
        <w:t>Qualified health professionals, schools, youth-serving organizations, nutrition partners and mental-health service providers.</w:t>
      </w:r>
    </w:p>
    <w:p>
      <w:pPr>
        <w:pStyle w:val="Heading2"/>
      </w:pPr>
      <w:r>
        <w:t>Donor Adaptation Note</w:t>
      </w:r>
    </w:p>
    <w:p>
      <w:r>
        <w:t>Before submission to a donor, adapt the concept to the donor's geographic priorities, target population, funding ceiling, theory of change, safeguarding requirements, implementation period and eligible costs. Replace illustrative targets and budget ranges with evidence-based figures.</w:t>
      </w:r>
    </w:p>
    <w:p>
      <w:r>
        <w:br w:type="page"/>
      </w:r>
    </w:p>
    <w:p>
      <w:pPr>
        <w:pStyle w:val="Heading1"/>
      </w:pPr>
      <w:r>
        <w:t>8. Jopetnah Micro-Grants</w:t>
      </w:r>
    </w:p>
    <w:p>
      <w:r>
        <w:rPr>
          <w:b/>
        </w:rPr>
        <w:t xml:space="preserve">Strategic pillar: </w:t>
      </w:r>
      <w:r>
        <w:t>Poverty Alleviation &amp; Livelihoods</w:t>
      </w:r>
    </w:p>
    <w:p>
      <w:pPr>
        <w:pStyle w:val="Heading2"/>
      </w:pPr>
      <w:r>
        <w:t>1. Problem</w:t>
      </w:r>
    </w:p>
    <w:p>
      <w:r>
        <w:t>Low-income households and aspiring entrepreneurs may have viable ideas but lack small amounts of capital, business knowledge and support needed to start or strengthen income-generating activities.</w:t>
      </w:r>
    </w:p>
    <w:p>
      <w:pPr>
        <w:pStyle w:val="Heading2"/>
      </w:pPr>
      <w:r>
        <w:t>2. Target Population</w:t>
      </w:r>
    </w:p>
    <w:p>
      <w:r>
        <w:t>Low-income entrepreneurs, women, youth and other priority groups selected through transparent criteria and local market assessment.</w:t>
      </w:r>
    </w:p>
    <w:p>
      <w:pPr>
        <w:pStyle w:val="Heading2"/>
      </w:pPr>
      <w:r>
        <w:t>3. Objectives</w:t>
      </w:r>
    </w:p>
    <w:p>
      <w:pPr>
        <w:pStyle w:val="ListBullet"/>
      </w:pPr>
      <w:r>
        <w:t>Provide targeted seed capital linked to training and support.</w:t>
      </w:r>
    </w:p>
    <w:p>
      <w:pPr>
        <w:pStyle w:val="ListBullet"/>
      </w:pPr>
      <w:r>
        <w:t>Strengthen small-enterprise survival and income potential.</w:t>
      </w:r>
    </w:p>
    <w:p>
      <w:pPr>
        <w:pStyle w:val="ListBullet"/>
      </w:pPr>
      <w:r>
        <w:t>Promote responsible use of grants and household economic resilience.</w:t>
      </w:r>
    </w:p>
    <w:p>
      <w:pPr>
        <w:pStyle w:val="Heading2"/>
      </w:pPr>
      <w:r>
        <w:t>4. Core Activities</w:t>
      </w:r>
    </w:p>
    <w:p>
      <w:pPr>
        <w:pStyle w:val="ListBullet"/>
      </w:pPr>
      <w:r>
        <w:t>Market and beneficiary assessment.</w:t>
      </w:r>
    </w:p>
    <w:p>
      <w:pPr>
        <w:pStyle w:val="ListBullet"/>
      </w:pPr>
      <w:r>
        <w:t>Entrepreneurship and financial-literacy training.</w:t>
      </w:r>
    </w:p>
    <w:p>
      <w:pPr>
        <w:pStyle w:val="ListBullet"/>
      </w:pPr>
      <w:r>
        <w:t>Competitive or needs-based grant selection.</w:t>
      </w:r>
    </w:p>
    <w:p>
      <w:pPr>
        <w:pStyle w:val="ListBullet"/>
      </w:pPr>
      <w:r>
        <w:t>Disbursement with clear grant agreements.</w:t>
      </w:r>
    </w:p>
    <w:p>
      <w:pPr>
        <w:pStyle w:val="ListBullet"/>
      </w:pPr>
      <w:r>
        <w:t>Business coaching and post-grant monitoring.</w:t>
      </w:r>
    </w:p>
    <w:p>
      <w:pPr>
        <w:pStyle w:val="Heading2"/>
      </w:pPr>
      <w:r>
        <w:t>5. Expected Outputs</w:t>
      </w:r>
    </w:p>
    <w:p>
      <w:r>
        <w:t>Illustrative pilot: 25–75 micro-grants; 50–150 people trained; business plans or action plans; follow-up coaching.</w:t>
      </w:r>
    </w:p>
    <w:p>
      <w:pPr>
        <w:pStyle w:val="Heading2"/>
      </w:pPr>
      <w:r>
        <w:t>6. Expected Outcomes</w:t>
      </w:r>
    </w:p>
    <w:p>
      <w:r>
        <w:t>Improved enterprise capability, increased income-generating activity and stronger household financial resilience.</w:t>
      </w:r>
    </w:p>
    <w:p>
      <w:pPr>
        <w:pStyle w:val="Heading2"/>
      </w:pPr>
      <w:r>
        <w:t>7. Indicative Budget</w:t>
      </w:r>
    </w:p>
    <w:p>
      <w:r>
        <w:t>Illustrative pilot: USD 15,000–40,000 including grants, training, coaching and administration.</w:t>
      </w:r>
    </w:p>
    <w:p>
      <w:pPr>
        <w:pStyle w:val="Heading2"/>
      </w:pPr>
      <w:r>
        <w:t>8. Monitoring, Evaluation &amp; Learning</w:t>
      </w:r>
    </w:p>
    <w:p>
      <w:r>
        <w:t>Track grant recipients, enterprise survival, business activity, revenue/profit measures where feasible, jobs supported and grant utilization.</w:t>
      </w:r>
    </w:p>
    <w:p>
      <w:pPr>
        <w:pStyle w:val="Heading2"/>
      </w:pPr>
      <w:r>
        <w:t>9. Sustainability</w:t>
      </w:r>
    </w:p>
    <w:p>
      <w:r>
        <w:t>Reinvestment/rotating capital only where legally and programmatically appropriate; savings groups, enterprise partners and blended donor/corporate funding.</w:t>
      </w:r>
    </w:p>
    <w:p>
      <w:pPr>
        <w:pStyle w:val="Heading2"/>
      </w:pPr>
      <w:r>
        <w:t>10. Partnership Opportunities</w:t>
      </w:r>
    </w:p>
    <w:p>
      <w:r>
        <w:t>Microfinance/financial-literacy organizations, business-development providers, local enterprises, corporate CSR programs and livelihood donors.</w:t>
      </w:r>
    </w:p>
    <w:p>
      <w:pPr>
        <w:pStyle w:val="Heading2"/>
      </w:pPr>
      <w:r>
        <w:t>Donor Adaptation Note</w:t>
      </w:r>
    </w:p>
    <w:p>
      <w:r>
        <w:t>Before submission to a donor, adapt the concept to the donor's geographic priorities, target population, funding ceiling, theory of change, safeguarding requirements, implementation period and eligible costs. Replace illustrative targets and budget ranges with evidence-based figures.</w:t>
      </w:r>
    </w:p>
    <w:p>
      <w:r>
        <w:br w:type="page"/>
      </w:r>
    </w:p>
    <w:p>
      <w:pPr>
        <w:pStyle w:val="Heading1"/>
      </w:pPr>
      <w:r>
        <w:t>9. Skills-to-Income Pipeline</w:t>
      </w:r>
    </w:p>
    <w:p>
      <w:r>
        <w:rPr>
          <w:b/>
        </w:rPr>
        <w:t xml:space="preserve">Strategic pillar: </w:t>
      </w:r>
      <w:r>
        <w:t>Poverty Alleviation &amp; Livelihoods</w:t>
      </w:r>
    </w:p>
    <w:p>
      <w:pPr>
        <w:pStyle w:val="Heading2"/>
      </w:pPr>
      <w:r>
        <w:t>1. Problem</w:t>
      </w:r>
    </w:p>
    <w:p>
      <w:r>
        <w:t>Training without a pathway to income can leave participants with certificates but limited economic opportunity. Skills development is more valuable when connected to market demand and employment or self-employment.</w:t>
      </w:r>
    </w:p>
    <w:p>
      <w:pPr>
        <w:pStyle w:val="Heading2"/>
      </w:pPr>
      <w:r>
        <w:t>2. Target Population</w:t>
      </w:r>
    </w:p>
    <w:p>
      <w:r>
        <w:t>Unemployed and underemployed youth and adults, particularly those facing barriers to formal employment.</w:t>
      </w:r>
    </w:p>
    <w:p>
      <w:pPr>
        <w:pStyle w:val="Heading2"/>
      </w:pPr>
      <w:r>
        <w:t>3. Objectives</w:t>
      </w:r>
    </w:p>
    <w:p>
      <w:pPr>
        <w:pStyle w:val="ListBullet"/>
      </w:pPr>
      <w:r>
        <w:t>Provide market-relevant vocational and employability skills.</w:t>
      </w:r>
    </w:p>
    <w:p>
      <w:pPr>
        <w:pStyle w:val="ListBullet"/>
      </w:pPr>
      <w:r>
        <w:t>Connect training to employers, apprenticeships or self-employment.</w:t>
      </w:r>
    </w:p>
    <w:p>
      <w:pPr>
        <w:pStyle w:val="ListBullet"/>
      </w:pPr>
      <w:r>
        <w:t>Improve transition from training into income-generating activity.</w:t>
      </w:r>
    </w:p>
    <w:p>
      <w:pPr>
        <w:pStyle w:val="Heading2"/>
      </w:pPr>
      <w:r>
        <w:t>4. Core Activities</w:t>
      </w:r>
    </w:p>
    <w:p>
      <w:pPr>
        <w:pStyle w:val="ListBullet"/>
      </w:pPr>
      <w:r>
        <w:t>Local labor-market and enterprise assessment.</w:t>
      </w:r>
    </w:p>
    <w:p>
      <w:pPr>
        <w:pStyle w:val="ListBullet"/>
      </w:pPr>
      <w:r>
        <w:t>Selection and enrollment of participants.</w:t>
      </w:r>
    </w:p>
    <w:p>
      <w:pPr>
        <w:pStyle w:val="ListBullet"/>
      </w:pPr>
      <w:r>
        <w:t>Practical vocational/technical training.</w:t>
      </w:r>
    </w:p>
    <w:p>
      <w:pPr>
        <w:pStyle w:val="ListBullet"/>
      </w:pPr>
      <w:r>
        <w:t>Work-readiness, entrepreneurship and financial-literacy training.</w:t>
      </w:r>
    </w:p>
    <w:p>
      <w:pPr>
        <w:pStyle w:val="ListBullet"/>
      </w:pPr>
      <w:r>
        <w:t>Employer/apprenticeship placement and post-training follow-up.</w:t>
      </w:r>
    </w:p>
    <w:p>
      <w:pPr>
        <w:pStyle w:val="Heading2"/>
      </w:pPr>
      <w:r>
        <w:t>5. Expected Outputs</w:t>
      </w:r>
    </w:p>
    <w:p>
      <w:r>
        <w:t>Illustrative pilot: 50–150 trainees; completion certificates; employer/apprenticeship relationships; post-training placement tracking.</w:t>
      </w:r>
    </w:p>
    <w:p>
      <w:pPr>
        <w:pStyle w:val="Heading2"/>
      </w:pPr>
      <w:r>
        <w:t>6. Expected Outcomes</w:t>
      </w:r>
    </w:p>
    <w:p>
      <w:r>
        <w:t>Higher employability, increased transitions into work/self-employment and improved income prospects.</w:t>
      </w:r>
    </w:p>
    <w:p>
      <w:pPr>
        <w:pStyle w:val="Heading2"/>
      </w:pPr>
      <w:r>
        <w:t>7. Indicative Budget</w:t>
      </w:r>
    </w:p>
    <w:p>
      <w:r>
        <w:t>Illustrative pilot: USD 20,000–50,000 depending on trade, equipment, trainer fees and placement model.</w:t>
      </w:r>
    </w:p>
    <w:p>
      <w:pPr>
        <w:pStyle w:val="Heading2"/>
      </w:pPr>
      <w:r>
        <w:t>8. Monitoring, Evaluation &amp; Learning</w:t>
      </w:r>
    </w:p>
    <w:p>
      <w:r>
        <w:t>Track enrollment, completion, competency assessment, placement/self-employment within 3–6 months and income progression where feasible.</w:t>
      </w:r>
    </w:p>
    <w:p>
      <w:pPr>
        <w:pStyle w:val="Heading2"/>
      </w:pPr>
      <w:r>
        <w:t>9. Sustainability</w:t>
      </w:r>
    </w:p>
    <w:p>
      <w:r>
        <w:t>Employer partnerships, vocational institutions, apprenticeship contributions, corporate sponsorship and outcome-based funding opportunities.</w:t>
      </w:r>
    </w:p>
    <w:p>
      <w:pPr>
        <w:pStyle w:val="Heading2"/>
      </w:pPr>
      <w:r>
        <w:t>10. Partnership Opportunities</w:t>
      </w:r>
    </w:p>
    <w:p>
      <w:r>
        <w:t>TVET institutions, employers, business associations, apprenticeship providers, youth organizations and skills funders.</w:t>
      </w:r>
    </w:p>
    <w:p>
      <w:pPr>
        <w:pStyle w:val="Heading2"/>
      </w:pPr>
      <w:r>
        <w:t>Donor Adaptation Note</w:t>
      </w:r>
    </w:p>
    <w:p>
      <w:r>
        <w:t>Before submission to a donor, adapt the concept to the donor's geographic priorities, target population, funding ceiling, theory of change, safeguarding requirements, implementation period and eligible costs. Replace illustrative targets and budget ranges with evidence-based figures.</w:t>
      </w:r>
    </w:p>
    <w:p>
      <w:r>
        <w:br w:type="page"/>
      </w:r>
    </w:p>
    <w:p>
      <w:pPr>
        <w:pStyle w:val="Heading1"/>
      </w:pPr>
      <w:r>
        <w:t>10. Cooperative Savings Circles</w:t>
      </w:r>
    </w:p>
    <w:p>
      <w:r>
        <w:rPr>
          <w:b/>
        </w:rPr>
        <w:t xml:space="preserve">Strategic pillar: </w:t>
      </w:r>
      <w:r>
        <w:t>Poverty Alleviation &amp; Livelihoods</w:t>
      </w:r>
    </w:p>
    <w:p>
      <w:pPr>
        <w:pStyle w:val="Heading2"/>
      </w:pPr>
      <w:r>
        <w:t>1. Problem</w:t>
      </w:r>
    </w:p>
    <w:p>
      <w:r>
        <w:t>Low-income households may have limited access to formal financial services and lack safe mechanisms for saving, managing shocks and planning for enterprise investment.</w:t>
      </w:r>
    </w:p>
    <w:p>
      <w:pPr>
        <w:pStyle w:val="Heading2"/>
      </w:pPr>
      <w:r>
        <w:t>2. Target Population</w:t>
      </w:r>
    </w:p>
    <w:p>
      <w:r>
        <w:t>Low-income adults, women, youth and community groups suitable for savings-group participation.</w:t>
      </w:r>
    </w:p>
    <w:p>
      <w:pPr>
        <w:pStyle w:val="Heading2"/>
      </w:pPr>
      <w:r>
        <w:t>3. Objectives</w:t>
      </w:r>
    </w:p>
    <w:p>
      <w:pPr>
        <w:pStyle w:val="ListBullet"/>
      </w:pPr>
      <w:r>
        <w:t>Build regular saving habits and financial literacy.</w:t>
      </w:r>
    </w:p>
    <w:p>
      <w:pPr>
        <w:pStyle w:val="ListBullet"/>
      </w:pPr>
      <w:r>
        <w:t>Strengthen community-based financial resilience.</w:t>
      </w:r>
    </w:p>
    <w:p>
      <w:pPr>
        <w:pStyle w:val="ListBullet"/>
      </w:pPr>
      <w:r>
        <w:t>Create a foundation for responsible enterprise and household investment.</w:t>
      </w:r>
    </w:p>
    <w:p>
      <w:pPr>
        <w:pStyle w:val="Heading2"/>
      </w:pPr>
      <w:r>
        <w:t>4. Core Activities</w:t>
      </w:r>
    </w:p>
    <w:p>
      <w:pPr>
        <w:pStyle w:val="ListBullet"/>
      </w:pPr>
      <w:r>
        <w:t>Form or strengthen savings groups using transparent rules.</w:t>
      </w:r>
    </w:p>
    <w:p>
      <w:pPr>
        <w:pStyle w:val="ListBullet"/>
      </w:pPr>
      <w:r>
        <w:t>Train members in savings, budgeting and recordkeeping.</w:t>
      </w:r>
    </w:p>
    <w:p>
      <w:pPr>
        <w:pStyle w:val="ListBullet"/>
      </w:pPr>
      <w:r>
        <w:t>Provide financial-literacy and enterprise education.</w:t>
      </w:r>
    </w:p>
    <w:p>
      <w:pPr>
        <w:pStyle w:val="ListBullet"/>
      </w:pPr>
      <w:r>
        <w:t>Support safe recordkeeping and governance.</w:t>
      </w:r>
    </w:p>
    <w:p>
      <w:pPr>
        <w:pStyle w:val="ListBullet"/>
      </w:pPr>
      <w:r>
        <w:t>Link groups to appropriate formal financial services where suitable.</w:t>
      </w:r>
    </w:p>
    <w:p>
      <w:pPr>
        <w:pStyle w:val="Heading2"/>
      </w:pPr>
      <w:r>
        <w:t>5. Expected Outputs</w:t>
      </w:r>
    </w:p>
    <w:p>
      <w:r>
        <w:t>Illustrative pilot: 10–20 groups; 150–300 members trained; savings records; governance structures; financial-literacy sessions.</w:t>
      </w:r>
    </w:p>
    <w:p>
      <w:pPr>
        <w:pStyle w:val="Heading2"/>
      </w:pPr>
      <w:r>
        <w:t>6. Expected Outcomes</w:t>
      </w:r>
    </w:p>
    <w:p>
      <w:r>
        <w:t>Improved saving behavior, stronger household financial planning and increased capacity to manage small shocks or invest in livelihoods.</w:t>
      </w:r>
    </w:p>
    <w:p>
      <w:pPr>
        <w:pStyle w:val="Heading2"/>
      </w:pPr>
      <w:r>
        <w:t>7. Indicative Budget</w:t>
      </w:r>
    </w:p>
    <w:p>
      <w:r>
        <w:t>Illustrative pilot: USD 8,000–20,000 excluding any capital fund or lending pool.</w:t>
      </w:r>
    </w:p>
    <w:p>
      <w:pPr>
        <w:pStyle w:val="Heading2"/>
      </w:pPr>
      <w:r>
        <w:t>8. Monitoring, Evaluation &amp; Learning</w:t>
      </w:r>
    </w:p>
    <w:p>
      <w:r>
        <w:t>Track group formation, member participation, savings behavior, financial-literacy scores, group governance and enterprise activity.</w:t>
      </w:r>
    </w:p>
    <w:p>
      <w:pPr>
        <w:pStyle w:val="Heading2"/>
      </w:pPr>
      <w:r>
        <w:t>9. Sustainability</w:t>
      </w:r>
    </w:p>
    <w:p>
      <w:r>
        <w:t>Member-owned structures, local facilitators, financial-institution partnerships and modest cost-sharing where appropriate.</w:t>
      </w:r>
    </w:p>
    <w:p>
      <w:pPr>
        <w:pStyle w:val="Heading2"/>
      </w:pPr>
      <w:r>
        <w:t>10. Partnership Opportunities</w:t>
      </w:r>
    </w:p>
    <w:p>
      <w:r>
        <w:t>Savings-group networks, financial-literacy organizations, banks/MFIs, cooperatives and livelihood-focused NGOs.</w:t>
      </w:r>
    </w:p>
    <w:p>
      <w:pPr>
        <w:pStyle w:val="Heading2"/>
      </w:pPr>
      <w:r>
        <w:t>Donor Adaptation Note</w:t>
      </w:r>
    </w:p>
    <w:p>
      <w:r>
        <w:t>Before submission to a donor, adapt the concept to the donor's geographic priorities, target population, funding ceiling, theory of change, safeguarding requirements, implementation period and eligible costs. Replace illustrative targets and budget ranges with evidence-based figures.</w:t>
      </w:r>
    </w:p>
    <w:p>
      <w:r>
        <w:br w:type="page"/>
      </w:r>
    </w:p>
    <w:p>
      <w:pPr>
        <w:pStyle w:val="Heading1"/>
      </w:pPr>
      <w:r>
        <w:t>11. Green Neighborhoods</w:t>
      </w:r>
    </w:p>
    <w:p>
      <w:r>
        <w:rPr>
          <w:b/>
        </w:rPr>
        <w:t xml:space="preserve">Strategic pillar: </w:t>
      </w:r>
      <w:r>
        <w:t>Environment &amp; Community Development</w:t>
      </w:r>
    </w:p>
    <w:p>
      <w:pPr>
        <w:pStyle w:val="Heading2"/>
      </w:pPr>
      <w:r>
        <w:t>1. Problem</w:t>
      </w:r>
    </w:p>
    <w:p>
      <w:r>
        <w:t>Poor waste management, degraded public spaces, loss of vegetation and limited community environmental awareness can undermine health, livelihoods and local resilience.</w:t>
      </w:r>
    </w:p>
    <w:p>
      <w:pPr>
        <w:pStyle w:val="Heading2"/>
      </w:pPr>
      <w:r>
        <w:t>2. Target Population</w:t>
      </w:r>
    </w:p>
    <w:p>
      <w:r>
        <w:t>Urban, peri-urban and rural communities selected through environmental and community needs assessments.</w:t>
      </w:r>
    </w:p>
    <w:p>
      <w:pPr>
        <w:pStyle w:val="Heading2"/>
      </w:pPr>
      <w:r>
        <w:t>3. Objectives</w:t>
      </w:r>
    </w:p>
    <w:p>
      <w:pPr>
        <w:pStyle w:val="ListBullet"/>
      </w:pPr>
      <w:r>
        <w:t>Improve community stewardship of local environments.</w:t>
      </w:r>
    </w:p>
    <w:p>
      <w:pPr>
        <w:pStyle w:val="ListBullet"/>
      </w:pPr>
      <w:r>
        <w:t>Increase tree cover and community-managed green spaces where ecologically appropriate.</w:t>
      </w:r>
    </w:p>
    <w:p>
      <w:pPr>
        <w:pStyle w:val="ListBullet"/>
      </w:pPr>
      <w:r>
        <w:t>Promote practical waste-management and environmental practices.</w:t>
      </w:r>
    </w:p>
    <w:p>
      <w:pPr>
        <w:pStyle w:val="Heading2"/>
      </w:pPr>
      <w:r>
        <w:t>4. Core Activities</w:t>
      </w:r>
    </w:p>
    <w:p>
      <w:pPr>
        <w:pStyle w:val="ListBullet"/>
      </w:pPr>
      <w:r>
        <w:t>Community environmental assessments.</w:t>
      </w:r>
    </w:p>
    <w:p>
      <w:pPr>
        <w:pStyle w:val="ListBullet"/>
      </w:pPr>
      <w:r>
        <w:t>Tree planting using locally appropriate species and survival plans.</w:t>
      </w:r>
    </w:p>
    <w:p>
      <w:pPr>
        <w:pStyle w:val="ListBullet"/>
      </w:pPr>
      <w:r>
        <w:t>Clean-up and waste-awareness campaigns.</w:t>
      </w:r>
    </w:p>
    <w:p>
      <w:pPr>
        <w:pStyle w:val="ListBullet"/>
      </w:pPr>
      <w:r>
        <w:t>Community gardens or green spaces where feasible.</w:t>
      </w:r>
    </w:p>
    <w:p>
      <w:pPr>
        <w:pStyle w:val="ListBullet"/>
      </w:pPr>
      <w:r>
        <w:t>Environmental education and youth engagement.</w:t>
      </w:r>
    </w:p>
    <w:p>
      <w:pPr>
        <w:pStyle w:val="Heading2"/>
      </w:pPr>
      <w:r>
        <w:t>5. Expected Outputs</w:t>
      </w:r>
    </w:p>
    <w:p>
      <w:r>
        <w:t>Illustrative pilot: 5–10 community sites; 2,000–5,000 seedlings/plants; clean-up campaigns; trained community groups; survival monitoring.</w:t>
      </w:r>
    </w:p>
    <w:p>
      <w:pPr>
        <w:pStyle w:val="Heading2"/>
      </w:pPr>
      <w:r>
        <w:t>6. Expected Outcomes</w:t>
      </w:r>
    </w:p>
    <w:p>
      <w:r>
        <w:t>Improved environmental practices, healthier public spaces and stronger community ownership of local environmental assets.</w:t>
      </w:r>
    </w:p>
    <w:p>
      <w:pPr>
        <w:pStyle w:val="Heading2"/>
      </w:pPr>
      <w:r>
        <w:t>7. Indicative Budget</w:t>
      </w:r>
    </w:p>
    <w:p>
      <w:r>
        <w:t>Illustrative pilot: USD 8,000–25,000 depending on seedlings, tools, water, land arrangements and maintenance.</w:t>
      </w:r>
    </w:p>
    <w:p>
      <w:pPr>
        <w:pStyle w:val="Heading2"/>
      </w:pPr>
      <w:r>
        <w:t>8. Monitoring, Evaluation &amp; Learning</w:t>
      </w:r>
    </w:p>
    <w:p>
      <w:r>
        <w:t>Track sites, plants established, survival rates, participation, waste removed/managed where measurable and community maintenance activity.</w:t>
      </w:r>
    </w:p>
    <w:p>
      <w:pPr>
        <w:pStyle w:val="Heading2"/>
      </w:pPr>
      <w:r>
        <w:t>9. Sustainability</w:t>
      </w:r>
    </w:p>
    <w:p>
      <w:r>
        <w:t>Community ownership, local authorities, schools, nurseries, corporate environmental sponsorship and maintenance plans.</w:t>
      </w:r>
    </w:p>
    <w:p>
      <w:pPr>
        <w:pStyle w:val="Heading2"/>
      </w:pPr>
      <w:r>
        <w:t>10. Partnership Opportunities</w:t>
      </w:r>
    </w:p>
    <w:p>
      <w:r>
        <w:t>Local authorities, schools, environmental organizations, nurseries, corporate ESG/CSR teams and community groups.</w:t>
      </w:r>
    </w:p>
    <w:p>
      <w:pPr>
        <w:pStyle w:val="Heading2"/>
      </w:pPr>
      <w:r>
        <w:t>Donor Adaptation Note</w:t>
      </w:r>
    </w:p>
    <w:p>
      <w:r>
        <w:t>Before submission to a donor, adapt the concept to the donor's geographic priorities, target population, funding ceiling, theory of change, safeguarding requirements, implementation period and eligible costs. Replace illustrative targets and budget ranges with evidence-based figures.</w:t>
      </w:r>
    </w:p>
    <w:p>
      <w:r>
        <w:br w:type="page"/>
      </w:r>
    </w:p>
    <w:p>
      <w:pPr>
        <w:pStyle w:val="Heading1"/>
      </w:pPr>
      <w:r>
        <w:t>12. Water &amp; Sanitation Access</w:t>
      </w:r>
    </w:p>
    <w:p>
      <w:r>
        <w:rPr>
          <w:b/>
        </w:rPr>
        <w:t xml:space="preserve">Strategic pillar: </w:t>
      </w:r>
      <w:r>
        <w:t>Environment &amp; Community Development</w:t>
      </w:r>
    </w:p>
    <w:p>
      <w:pPr>
        <w:pStyle w:val="Heading2"/>
      </w:pPr>
      <w:r>
        <w:t>1. Problem</w:t>
      </w:r>
    </w:p>
    <w:p>
      <w:r>
        <w:t>Limited access to safe water, sanitation and hygiene resources can contribute to preventable illness, time burdens and reduced school or livelihood participation.</w:t>
      </w:r>
    </w:p>
    <w:p>
      <w:pPr>
        <w:pStyle w:val="Heading2"/>
      </w:pPr>
      <w:r>
        <w:t>2. Target Population</w:t>
      </w:r>
    </w:p>
    <w:p>
      <w:r>
        <w:t>Communities identified through needs assessments and technical feasibility studies, prioritizing underserved households and institutions.</w:t>
      </w:r>
    </w:p>
    <w:p>
      <w:pPr>
        <w:pStyle w:val="Heading2"/>
      </w:pPr>
      <w:r>
        <w:t>3. Objectives</w:t>
      </w:r>
    </w:p>
    <w:p>
      <w:pPr>
        <w:pStyle w:val="ListBullet"/>
      </w:pPr>
      <w:r>
        <w:t>Increase access to safer water and sanitation solutions.</w:t>
      </w:r>
    </w:p>
    <w:p>
      <w:pPr>
        <w:pStyle w:val="ListBullet"/>
      </w:pPr>
      <w:r>
        <w:t>Improve hygiene knowledge and practices.</w:t>
      </w:r>
    </w:p>
    <w:p>
      <w:pPr>
        <w:pStyle w:val="ListBullet"/>
      </w:pPr>
      <w:r>
        <w:t>Strengthen community ownership and maintenance of water/sanitation assets.</w:t>
      </w:r>
    </w:p>
    <w:p>
      <w:pPr>
        <w:pStyle w:val="Heading2"/>
      </w:pPr>
      <w:r>
        <w:t>4. Core Activities</w:t>
      </w:r>
    </w:p>
    <w:p>
      <w:pPr>
        <w:pStyle w:val="ListBullet"/>
      </w:pPr>
      <w:r>
        <w:t>Technical and community needs assessment.</w:t>
      </w:r>
    </w:p>
    <w:p>
      <w:pPr>
        <w:pStyle w:val="ListBullet"/>
      </w:pPr>
      <w:r>
        <w:t>Support appropriate water infrastructure or treatment solutions.</w:t>
      </w:r>
    </w:p>
    <w:p>
      <w:pPr>
        <w:pStyle w:val="ListBullet"/>
      </w:pPr>
      <w:r>
        <w:t>Hygiene and sanitation education.</w:t>
      </w:r>
    </w:p>
    <w:p>
      <w:pPr>
        <w:pStyle w:val="ListBullet"/>
      </w:pPr>
      <w:r>
        <w:t>Establish local management and maintenance arrangements.</w:t>
      </w:r>
    </w:p>
    <w:p>
      <w:pPr>
        <w:pStyle w:val="ListBullet"/>
      </w:pPr>
      <w:r>
        <w:t>Water-quality and functionality monitoring where technically appropriate.</w:t>
      </w:r>
    </w:p>
    <w:p>
      <w:pPr>
        <w:pStyle w:val="Heading2"/>
      </w:pPr>
      <w:r>
        <w:t>5. Expected Outputs</w:t>
      </w:r>
    </w:p>
    <w:p>
      <w:r>
        <w:t>Illustrative pilot: 1–3 water/sanitation interventions; hygiene sessions; trained management committees; maintenance plans.</w:t>
      </w:r>
    </w:p>
    <w:p>
      <w:pPr>
        <w:pStyle w:val="Heading2"/>
      </w:pPr>
      <w:r>
        <w:t>6. Expected Outcomes</w:t>
      </w:r>
    </w:p>
    <w:p>
      <w:r>
        <w:t>Improved access to safer water, better hygiene practices and more sustainable community management of facilities.</w:t>
      </w:r>
    </w:p>
    <w:p>
      <w:pPr>
        <w:pStyle w:val="Heading2"/>
      </w:pPr>
      <w:r>
        <w:t>7. Indicative Budget</w:t>
      </w:r>
    </w:p>
    <w:p>
      <w:r>
        <w:t>Illustrative pilot: USD 20,000–75,000 depending on technology, site conditions, drilling/construction requirements and coverage.</w:t>
      </w:r>
    </w:p>
    <w:p>
      <w:pPr>
        <w:pStyle w:val="Heading2"/>
      </w:pPr>
      <w:r>
        <w:t>8. Monitoring, Evaluation &amp; Learning</w:t>
      </w:r>
    </w:p>
    <w:p>
      <w:r>
        <w:t>Track functional facilities, households/people served, water-quality indicators where applicable, usage, maintenance and hygiene knowledge.</w:t>
      </w:r>
    </w:p>
    <w:p>
      <w:pPr>
        <w:pStyle w:val="Heading2"/>
      </w:pPr>
      <w:r>
        <w:t>9. Sustainability</w:t>
      </w:r>
    </w:p>
    <w:p>
      <w:r>
        <w:t>Community management structures, maintenance funds, local government coordination and technical partner support.</w:t>
      </w:r>
    </w:p>
    <w:p>
      <w:pPr>
        <w:pStyle w:val="Heading2"/>
      </w:pPr>
      <w:r>
        <w:t>10. Partnership Opportunities</w:t>
      </w:r>
    </w:p>
    <w:p>
      <w:r>
        <w:t>Water/sanitation organizations, district/local authorities, engineers, schools, health facilities, WASH donors and corporate partners.</w:t>
      </w:r>
    </w:p>
    <w:p>
      <w:pPr>
        <w:pStyle w:val="Heading2"/>
      </w:pPr>
      <w:r>
        <w:t>Donor Adaptation Note</w:t>
      </w:r>
    </w:p>
    <w:p>
      <w:r>
        <w:t>Before submission to a donor, adapt the concept to the donor's geographic priorities, target population, funding ceiling, theory of change, safeguarding requirements, implementation period and eligible costs. Replace illustrative targets and budget ranges with evidence-based figures.</w:t>
      </w:r>
    </w:p>
    <w:p>
      <w:r>
        <w:br w:type="page"/>
      </w:r>
    </w:p>
    <w:p>
      <w:pPr>
        <w:pStyle w:val="Heading1"/>
      </w:pPr>
      <w:r>
        <w:t>13. Climate-Smart Livelihoods</w:t>
      </w:r>
    </w:p>
    <w:p>
      <w:r>
        <w:rPr>
          <w:b/>
        </w:rPr>
        <w:t xml:space="preserve">Strategic pillar: </w:t>
      </w:r>
      <w:r>
        <w:t>Environment &amp; Community Development</w:t>
      </w:r>
    </w:p>
    <w:p>
      <w:pPr>
        <w:pStyle w:val="Heading2"/>
      </w:pPr>
      <w:r>
        <w:t>1. Problem</w:t>
      </w:r>
    </w:p>
    <w:p>
      <w:r>
        <w:t>Climate variability can increase risks to agriculture, natural resources and household incomes. Livelihood programs need to improve productivity and resilience while reducing environmental harm.</w:t>
      </w:r>
    </w:p>
    <w:p>
      <w:pPr>
        <w:pStyle w:val="Heading2"/>
      </w:pPr>
      <w:r>
        <w:t>2. Target Population</w:t>
      </w:r>
    </w:p>
    <w:p>
      <w:r>
        <w:t>Smallholder farmers, youth, women and micro-enterprises whose livelihoods are exposed to climate or environmental risks.</w:t>
      </w:r>
    </w:p>
    <w:p>
      <w:pPr>
        <w:pStyle w:val="Heading2"/>
      </w:pPr>
      <w:r>
        <w:t>3. Objectives</w:t>
      </w:r>
    </w:p>
    <w:p>
      <w:pPr>
        <w:pStyle w:val="ListBullet"/>
      </w:pPr>
      <w:r>
        <w:t>Increase adoption of practical climate-resilient livelihood practices.</w:t>
      </w:r>
    </w:p>
    <w:p>
      <w:pPr>
        <w:pStyle w:val="ListBullet"/>
      </w:pPr>
      <w:r>
        <w:t>Strengthen income diversification and resource efficiency.</w:t>
      </w:r>
    </w:p>
    <w:p>
      <w:pPr>
        <w:pStyle w:val="ListBullet"/>
      </w:pPr>
      <w:r>
        <w:t>Link environmental stewardship with economic opportunity.</w:t>
      </w:r>
    </w:p>
    <w:p>
      <w:pPr>
        <w:pStyle w:val="Heading2"/>
      </w:pPr>
      <w:r>
        <w:t>4. Core Activities</w:t>
      </w:r>
    </w:p>
    <w:p>
      <w:pPr>
        <w:pStyle w:val="ListBullet"/>
      </w:pPr>
      <w:r>
        <w:t>Climate and livelihood risk assessment.</w:t>
      </w:r>
    </w:p>
    <w:p>
      <w:pPr>
        <w:pStyle w:val="ListBullet"/>
      </w:pPr>
      <w:r>
        <w:t>Training in locally appropriate climate-smart practices.</w:t>
      </w:r>
    </w:p>
    <w:p>
      <w:pPr>
        <w:pStyle w:val="ListBullet"/>
      </w:pPr>
      <w:r>
        <w:t>Demonstrations and peer learning.</w:t>
      </w:r>
    </w:p>
    <w:p>
      <w:pPr>
        <w:pStyle w:val="ListBullet"/>
      </w:pPr>
      <w:r>
        <w:t>Support for suitable inputs, tools or small enterprise opportunities.</w:t>
      </w:r>
    </w:p>
    <w:p>
      <w:pPr>
        <w:pStyle w:val="ListBullet"/>
      </w:pPr>
      <w:r>
        <w:t>Market linkages and post-training follow-up.</w:t>
      </w:r>
    </w:p>
    <w:p>
      <w:pPr>
        <w:pStyle w:val="Heading2"/>
      </w:pPr>
      <w:r>
        <w:t>5. Expected Outputs</w:t>
      </w:r>
    </w:p>
    <w:p>
      <w:r>
        <w:t>Illustrative pilot: 50–150 participants; demonstration sites; training sessions; enterprise/market linkages; adoption tracking.</w:t>
      </w:r>
    </w:p>
    <w:p>
      <w:pPr>
        <w:pStyle w:val="Heading2"/>
      </w:pPr>
      <w:r>
        <w:t>6. Expected Outcomes</w:t>
      </w:r>
    </w:p>
    <w:p>
      <w:r>
        <w:t>Improved resilience of participating livelihoods, greater adoption of sustainable practices and stronger income diversification.</w:t>
      </w:r>
    </w:p>
    <w:p>
      <w:pPr>
        <w:pStyle w:val="Heading2"/>
      </w:pPr>
      <w:r>
        <w:t>7. Indicative Budget</w:t>
      </w:r>
    </w:p>
    <w:p>
      <w:r>
        <w:t>Illustrative pilot: USD 15,000–40,000 depending on sector, inputs, demonstration sites and market-linkage activities.</w:t>
      </w:r>
    </w:p>
    <w:p>
      <w:pPr>
        <w:pStyle w:val="Heading2"/>
      </w:pPr>
      <w:r>
        <w:t>8. Monitoring, Evaluation &amp; Learning</w:t>
      </w:r>
    </w:p>
    <w:p>
      <w:r>
        <w:t>Track participants, practice adoption, production/income measures where feasible, diversification and environmental indicators appropriate to the intervention.</w:t>
      </w:r>
    </w:p>
    <w:p>
      <w:pPr>
        <w:pStyle w:val="Heading2"/>
      </w:pPr>
      <w:r>
        <w:t>9. Sustainability</w:t>
      </w:r>
    </w:p>
    <w:p>
      <w:r>
        <w:t>Producer groups, local extension services, buyers, cooperatives, agribusinesses and climate/livelihood financing.</w:t>
      </w:r>
    </w:p>
    <w:p>
      <w:pPr>
        <w:pStyle w:val="Heading2"/>
      </w:pPr>
      <w:r>
        <w:t>10. Partnership Opportunities</w:t>
      </w:r>
    </w:p>
    <w:p>
      <w:r>
        <w:t>Agriculture and environment authorities, research/extension organizations, cooperatives, agribusinesses, climate funds and development partners.</w:t>
      </w:r>
    </w:p>
    <w:p>
      <w:pPr>
        <w:pStyle w:val="Heading2"/>
      </w:pPr>
      <w:r>
        <w:t>Donor Adaptation Note</w:t>
      </w:r>
    </w:p>
    <w:p>
      <w:r>
        <w:t>Before submission to a donor, adapt the concept to the donor's geographic priorities, target population, funding ceiling, theory of change, safeguarding requirements, implementation period and eligible costs. Replace illustrative targets and budget ranges with evidence-based figures.</w:t>
      </w:r>
    </w:p>
    <w:p>
      <w:r>
        <w:br w:type="page"/>
      </w:r>
    </w:p>
    <w:p>
      <w:pPr>
        <w:pStyle w:val="Heading1"/>
      </w:pPr>
      <w:r>
        <w:t>Portfolio-Level Donor Packaging</w:t>
      </w:r>
    </w:p>
    <w:p>
      <w:r>
        <w:t>The 13 concept notes can be presented individually or bundled across TJF's four pillars. For institutional funders, TJF should normally lead with the problem and measurable outcome sought, then show how the proposed program fits the wider integrated, family-centered development model.</w:t>
      </w:r>
    </w:p>
    <w:p>
      <w:pPr>
        <w:pStyle w:val="ListBullet"/>
      </w:pPr>
      <w:r>
        <w:t>Education &amp; Youth Development: Jopetnah Scholars; Future-Ready Labs; Read to Lead.</w:t>
      </w:r>
    </w:p>
    <w:p>
      <w:pPr>
        <w:pStyle w:val="ListBullet"/>
      </w:pPr>
      <w:r>
        <w:t>Health &amp; Wellbeing: Community Health Champions; Mobile Wellness Clinics; Malaria Prevention &amp; Response; Mind &amp; Body.</w:t>
      </w:r>
    </w:p>
    <w:p>
      <w:pPr>
        <w:pStyle w:val="ListBullet"/>
      </w:pPr>
      <w:r>
        <w:t>Poverty Alleviation &amp; Livelihoods: Jopetnah Micro-Grants; Skills-to-Income Pipeline; Cooperative Savings Circles.</w:t>
      </w:r>
    </w:p>
    <w:p>
      <w:pPr>
        <w:pStyle w:val="ListBullet"/>
      </w:pPr>
      <w:r>
        <w:t>Environment &amp; Community Development: Green Neighborhoods; Water &amp; Sanitation Access; Climate-Smart Livelihoods.</w:t>
      </w:r>
    </w:p>
    <w:p>
      <w:pPr>
        <w:pStyle w:val="Heading1"/>
      </w:pPr>
      <w:r>
        <w:t>Recommended Donor-Ready Annexes</w:t>
      </w:r>
    </w:p>
    <w:p>
      <w:pPr>
        <w:pStyle w:val="ListBullet"/>
      </w:pPr>
      <w:r>
        <w:t>Detailed implementation plan and workplan.</w:t>
      </w:r>
    </w:p>
    <w:p>
      <w:pPr>
        <w:pStyle w:val="ListBullet"/>
      </w:pPr>
      <w:r>
        <w:t>Results framework / logframe.</w:t>
      </w:r>
    </w:p>
    <w:p>
      <w:pPr>
        <w:pStyle w:val="ListBullet"/>
      </w:pPr>
      <w:r>
        <w:t>Detailed activity-based budget.</w:t>
      </w:r>
    </w:p>
    <w:p>
      <w:pPr>
        <w:pStyle w:val="ListBullet"/>
      </w:pPr>
      <w:r>
        <w:t>Risk register and mitigation plan.</w:t>
      </w:r>
    </w:p>
    <w:p>
      <w:pPr>
        <w:pStyle w:val="ListBullet"/>
      </w:pPr>
      <w:r>
        <w:t>Safeguarding and protection plan.</w:t>
      </w:r>
    </w:p>
    <w:p>
      <w:pPr>
        <w:pStyle w:val="ListBullet"/>
      </w:pPr>
      <w:r>
        <w:t>Beneficiary selection and community-engagement methodology.</w:t>
      </w:r>
    </w:p>
    <w:p>
      <w:pPr>
        <w:pStyle w:val="ListBullet"/>
      </w:pPr>
      <w:r>
        <w:t>Monitoring tools and reporting schedule.</w:t>
      </w:r>
    </w:p>
    <w:p>
      <w:pPr>
        <w:pStyle w:val="ListBullet"/>
      </w:pPr>
      <w:r>
        <w:t>Organizational profile and governance information.</w:t>
      </w:r>
    </w:p>
    <w:p>
      <w:pPr>
        <w:pStyle w:val="ListBullet"/>
      </w:pPr>
      <w:r>
        <w:t>Evidence, baseline data and needs-assessment findings.</w:t>
      </w:r>
    </w:p>
    <w:p>
      <w:pPr>
        <w:pStyle w:val="ListBullet"/>
      </w:pPr>
      <w:r>
        <w:t>Sustainability and exit/transition plan.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The Jopetnah Foundation | Program Concept Notes | Draft for donor and partnership development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