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Top 20 Critical Pain Points</w:t>
      </w:r>
    </w:p>
    <w:p>
      <w:pPr>
        <w:spacing w:after="120"/>
      </w:pPr>
      <w:r>
        <w:rPr>
          <w:b/>
          <w:bCs/>
          <w:i/>
          <w:iCs/>
          <w:sz w:val="20"/>
          <w:szCs w:val="20"/>
        </w:rPr>
        <w:t xml:space="preserve">9-1-1 PSAP Funding &amp; Compliance Advisors — Post-Award Phase (Effective September 2026+)</w:t>
      </w:r>
    </w:p>
    <w:p>
      <w:pPr>
        <w:spacing w:after="200"/>
      </w:pPr>
      <w:r>
        <w:rPr>
          <w:sz w:val="17"/>
          <w:szCs w:val="17"/>
        </w:rPr>
        <w:t xml:space="preserve">This analysis anticipates the most significant operational, compliance, and workload challenges that County-assigned Funding/Compliance Advisors are likely to face regularly once the new CPE contracts from RFP 26-16743 are live and PSAPs begin submitting Advance Notifications and engaging awarded vendors. Pain points are ranked from highest to lowest criticality based on potential impact to funding timelines, compliance risk, PSAP satisfaction, advisor workload, and audit exposure.</w:t>
      </w:r>
    </w:p>
    <w:p>
      <w:pPr>
        <w:spacing w:after="200"/>
      </w:pPr>
      <w:r>
        <w:rPr>
          <w:b/>
          <w:bCs/>
          <w:sz w:val="17"/>
          <w:szCs w:val="17"/>
        </w:rPr>
        <w:t xml:space="preserve">Severity Legend:  </w:t>
      </w:r>
      <w:r>
        <w:rPr>
          <w:b/>
          <w:bCs/>
          <w:color w:val="C00000"/>
          <w:sz w:val="17"/>
          <w:szCs w:val="17"/>
        </w:rPr>
        <w:t xml:space="preserve">■ High Criticality   </w:t>
      </w:r>
      <w:r>
        <w:rPr>
          <w:b/>
          <w:bCs/>
          <w:color w:val="D35400"/>
          <w:sz w:val="17"/>
          <w:szCs w:val="17"/>
        </w:rPr>
        <w:t xml:space="preserve">■ Medium-High   </w:t>
      </w:r>
      <w:r>
        <w:rPr>
          <w:b/>
          <w:bCs/>
          <w:color w:val="B7950B"/>
          <w:sz w:val="17"/>
          <w:szCs w:val="17"/>
        </w:rPr>
        <w:t xml:space="preserve">■ Medium</w:t>
      </w:r>
    </w:p>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C00000" w:val="clear"/>
            <w:tcMar>
              <w:top w:type="dxa" w:w="50"/>
              <w:left w:type="dxa" w:w="70"/>
              <w:bottom w:type="dxa" w:w="50"/>
              <w:right w:type="dxa" w:w="70"/>
            </w:tcMar>
            <w:vAlign w:val="center"/>
          </w:tcPr>
          <w:p>
            <w:pPr>
              <w:jc w:val="center"/>
            </w:pPr>
            <w:r>
              <w:rPr>
                <w:rFonts w:ascii="Arial" w:cs="Arial" w:eastAsia="Arial" w:hAnsi="Arial"/>
                <w:b/>
                <w:bCs/>
                <w:color w:val="FFFFFF"/>
                <w:sz w:val="17"/>
                <w:szCs w:val="17"/>
              </w:rPr>
              <w:t xml:space="preserve">Rank</w:t>
            </w:r>
          </w:p>
        </w:tc>
        <w:tc>
          <w:tcPr>
            <w:tcW w:type="dxa" w:w="2600"/>
            <w:tcBorders>
              <w:top w:val="single" w:color="CCCCCC" w:sz="1"/>
              <w:left w:val="single" w:color="CCCCCC" w:sz="1"/>
              <w:bottom w:val="single" w:color="CCCCCC" w:sz="1"/>
              <w:right w:val="single" w:color="CCCCCC" w:sz="1"/>
            </w:tcBorders>
            <w:shd w:fill="C00000" w:val="clear"/>
            <w:tcMar>
              <w:top w:type="dxa" w:w="50"/>
              <w:left w:type="dxa" w:w="70"/>
              <w:bottom w:type="dxa" w:w="50"/>
              <w:right w:type="dxa" w:w="70"/>
            </w:tcMar>
            <w:vAlign w:val="center"/>
          </w:tcPr>
          <w:p>
            <w:pPr>
              <w:jc w:val="center"/>
            </w:pPr>
            <w:r>
              <w:rPr>
                <w:rFonts w:ascii="Arial" w:cs="Arial" w:eastAsia="Arial" w:hAnsi="Arial"/>
                <w:b/>
                <w:bCs/>
                <w:color w:val="FFFFFF"/>
                <w:sz w:val="17"/>
                <w:szCs w:val="17"/>
              </w:rPr>
              <w:t xml:space="preserve">Pain Point</w:t>
            </w:r>
          </w:p>
        </w:tc>
        <w:tc>
          <w:tcPr>
            <w:tcW w:type="dxa" w:w="3800"/>
            <w:tcBorders>
              <w:top w:val="single" w:color="CCCCCC" w:sz="1"/>
              <w:left w:val="single" w:color="CCCCCC" w:sz="1"/>
              <w:bottom w:val="single" w:color="CCCCCC" w:sz="1"/>
              <w:right w:val="single" w:color="CCCCCC" w:sz="1"/>
            </w:tcBorders>
            <w:shd w:fill="C00000" w:val="clear"/>
            <w:tcMar>
              <w:top w:type="dxa" w:w="50"/>
              <w:left w:type="dxa" w:w="70"/>
              <w:bottom w:type="dxa" w:w="50"/>
              <w:right w:type="dxa" w:w="70"/>
            </w:tcMar>
            <w:vAlign w:val="center"/>
          </w:tcPr>
          <w:p>
            <w:pPr>
              <w:jc w:val="center"/>
            </w:pPr>
            <w:r>
              <w:rPr>
                <w:rFonts w:ascii="Arial" w:cs="Arial" w:eastAsia="Arial" w:hAnsi="Arial"/>
                <w:b/>
                <w:bCs/>
                <w:color w:val="FFFFFF"/>
                <w:sz w:val="17"/>
                <w:szCs w:val="17"/>
              </w:rPr>
              <w:t xml:space="preserve">Description &amp; Likely Impact</w:t>
            </w:r>
          </w:p>
        </w:tc>
        <w:tc>
          <w:tcPr>
            <w:tcW w:type="dxa" w:w="2100"/>
            <w:tcBorders>
              <w:top w:val="single" w:color="CCCCCC" w:sz="1"/>
              <w:left w:val="single" w:color="CCCCCC" w:sz="1"/>
              <w:bottom w:val="single" w:color="CCCCCC" w:sz="1"/>
              <w:right w:val="single" w:color="CCCCCC" w:sz="1"/>
            </w:tcBorders>
            <w:shd w:fill="C00000" w:val="clear"/>
            <w:tcMar>
              <w:top w:type="dxa" w:w="50"/>
              <w:left w:type="dxa" w:w="70"/>
              <w:bottom w:type="dxa" w:w="50"/>
              <w:right w:type="dxa" w:w="70"/>
            </w:tcMar>
            <w:vAlign w:val="center"/>
          </w:tcPr>
          <w:p>
            <w:pPr>
              <w:jc w:val="center"/>
            </w:pPr>
            <w:r>
              <w:rPr>
                <w:rFonts w:ascii="Arial" w:cs="Arial" w:eastAsia="Arial" w:hAnsi="Arial"/>
                <w:b/>
                <w:bCs/>
                <w:color w:val="FFFFFF"/>
                <w:sz w:val="17"/>
                <w:szCs w:val="17"/>
              </w:rPr>
              <w:t xml:space="preserve">Root Cause (New Process)</w:t>
            </w:r>
          </w:p>
        </w:tc>
        <w:tc>
          <w:tcPr>
            <w:tcW w:type="dxa" w:w="2140"/>
            <w:tcBorders>
              <w:top w:val="single" w:color="CCCCCC" w:sz="1"/>
              <w:left w:val="single" w:color="CCCCCC" w:sz="1"/>
              <w:bottom w:val="single" w:color="CCCCCC" w:sz="1"/>
              <w:right w:val="single" w:color="CCCCCC" w:sz="1"/>
            </w:tcBorders>
            <w:shd w:fill="C00000" w:val="clear"/>
            <w:tcMar>
              <w:top w:type="dxa" w:w="50"/>
              <w:left w:type="dxa" w:w="70"/>
              <w:bottom w:type="dxa" w:w="50"/>
              <w:right w:type="dxa" w:w="70"/>
            </w:tcMar>
            <w:vAlign w:val="center"/>
          </w:tcPr>
          <w:p>
            <w:pPr>
              <w:jc w:val="center"/>
            </w:pPr>
            <w:r>
              <w:rPr>
                <w:rFonts w:ascii="Arial" w:cs="Arial" w:eastAsia="Arial" w:hAnsi="Arial"/>
                <w:b/>
                <w:bCs/>
                <w:color w:val="FFFFFF"/>
                <w:sz w:val="17"/>
                <w:szCs w:val="17"/>
              </w:rPr>
              <w:t xml:space="preserve">Severity &amp; Frequency</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SOW Template Compliance &amp; Completeness Issues</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Vendors and PSAPs frequently submit incomplete or non-compliant SOWs that miss required sections from Attachment 16 (e.g., missing responsibilities matrix, incomplete network elements list, vague maintenance SLAs, or missing appendices). This causes repeated revision cycles, project delays, and frustration.</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mandatory Attachment 16 template with 13+ detailed subsections. Shift from informal vendor proposals to highly structured SOWs.</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Very High frequency in first 6–9 months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2</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Invoice Rejections &amp; Payment Delays from Strict New Template</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Invoices submitted in old formats or missing mandatory fields (TD e-288 reference, proper breakdown of one-time vs monthly charges, System Acceptance Date, correct SHIP TO format, etc.). Results in payment delays, strained vendor cash flow, and repeated corrections.</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prescriptive Invoice Template (Att. 14/15) with 26 specific fields and mandatory TD e-288 reference. Centralized invoicing to CA911Invoicing@ mailbox.</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High frequency once projects reach invoicing stage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3</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Change Order Bottleneck &amp; Approval Delays</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Every scope, price, or timeline change requires formal Branch approval in addition to PSAP approval. High volume of change orders (especially in early projects) creates backlog, slows projects, and creates tension between PSAPs wanting speed and the Branch needing proper documentation.</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requirement that change orders need explicit CA 9-1-1 Branch approval (not just PSAP + Vendor). Part of standardized process to protect funding.</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High in first year; Medium thereafter</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4</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Incomplete or Non-Compliant Advance Notification Forms</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PSAPs submit forms missing key information, unclear Cloud vs On-Prem selection, or without proper signatures. This delays allotment determination and creates downstream problems when the wrong solution type is assumed.</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mandatory standardized form (Att. 11) with explicit Cloud/On-Prem checkboxes. Many PSAPs previously used informal emails or old processes.</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Very High in first 3–6 months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5</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Cloud vs On-Prem Funding Model Confusion &amp; Disputes</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Significant confusion over what is included in monthly maintenance for Cloud vs one-time costs + labor for On-Prem. Disputes arise about bandwidth responsibility, remote vs on-site support, and long-term cost projections. Advisors spend excessive time explaining differences.</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explicit support for both solution types with different cost structures (Exhibit C has separate workbooks). Many PSAPs lack experience with Cloud CPE models.</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High throughout first 12–18 months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6</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TD e-288 Issuance, Tracking &amp; Amendment Backlog</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Delays in creating or amending TD e-288 records (especially when change orders or additional funding are needed) cause projects to stall. Vendors refuse to proceed without written confirmation, creating a bottleneck at the advisor level.</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TD e-288 becomes the single source of truth for funding. Every financial action now routes through this document with stricter controls than previous processes.</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High volume once projects are active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7</w:t>
            </w:r>
          </w:p>
        </w:tc>
        <w:tc>
          <w:tcPr>
            <w:tcW w:type="dxa" w:w="26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PSAP Sign-off Delays on SOW and TD284 Acceptance</w:t>
            </w:r>
          </w:p>
        </w:tc>
        <w:tc>
          <w:tcPr>
            <w:tcW w:type="dxa" w:w="38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Multiple stakeholders at the PSAP (Director, IT, Operations, County Counsel) must review and sign, leading to delays. This pushes out installation dates and creates cascading timeline issues, especially when combined with change orders.</w:t>
            </w:r>
          </w:p>
        </w:tc>
        <w:tc>
          <w:tcPr>
            <w:tcW w:type="dxa" w:w="210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requirement for formal documented sign-off on both SOW and TD284. More rigorous than previous informal acceptance processes.</w:t>
            </w:r>
          </w:p>
        </w:tc>
        <w:tc>
          <w:tcPr>
            <w:tcW w:type="dxa" w:w="2140"/>
            <w:tcBorders>
              <w:top w:val="single" w:color="CCCCCC" w:sz="1"/>
              <w:left w:val="single" w:color="CCCCCC" w:sz="1"/>
              <w:bottom w:val="single" w:color="CCCCCC" w:sz="1"/>
              <w:right w:val="single" w:color="CCCCCC" w:sz="1"/>
            </w:tcBorders>
            <w:shd w:fill="FFCC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HIGH
Persistent challenge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8</w:t>
            </w:r>
          </w:p>
        </w:tc>
        <w:tc>
          <w:tcPr>
            <w:tcW w:type="dxa" w:w="26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Pricing / Scope Misalignment with Awarded Contract</w:t>
            </w:r>
          </w:p>
        </w:tc>
        <w:tc>
          <w:tcPr>
            <w:tcW w:type="dxa" w:w="38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Vendors submit SOW pricing or line items that do not match their awarded contract rates from Exhibit C Cost Workbooks. This creates compliance issues and requires time-consuming reconciliation.</w:t>
            </w:r>
          </w:p>
        </w:tc>
        <w:tc>
          <w:tcPr>
            <w:tcW w:type="dxa" w:w="21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competitive award process with locked-in pricing. Some vendors may try to adjust during SOW development phase.</w:t>
            </w:r>
          </w:p>
        </w:tc>
        <w:tc>
          <w:tcPr>
            <w:tcW w:type="dxa" w:w="214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MEDIUM-HIGH
Medium-High in first year</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9</w:t>
            </w:r>
          </w:p>
        </w:tc>
        <w:tc>
          <w:tcPr>
            <w:tcW w:type="dxa" w:w="26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On-Prem Site Readiness &amp; Physical Installation Coordination</w:t>
            </w:r>
          </w:p>
        </w:tc>
        <w:tc>
          <w:tcPr>
            <w:tcW w:type="dxa" w:w="38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Delays in PSAP site preparation (power, HVAC, cabling, floor space) for On-Prem solutions. Requires coordination between PSAP facilities, licensed C-7 contractors, and vendors. Often underestimated in initial schedules.</w:t>
            </w:r>
          </w:p>
        </w:tc>
        <w:tc>
          <w:tcPr>
            <w:tcW w:type="dxa" w:w="21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On-Prem projects require more physical/site work than Cloud. New emphasis on Site Certification Document and Floor Plan in SOW appendices.</w:t>
            </w:r>
          </w:p>
        </w:tc>
        <w:tc>
          <w:tcPr>
            <w:tcW w:type="dxa" w:w="214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MEDIUM-HIGH
High for On-Prem projects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10</w:t>
            </w:r>
          </w:p>
        </w:tc>
        <w:tc>
          <w:tcPr>
            <w:tcW w:type="dxa" w:w="26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CAD / Radio / NG9-1-1 Integration Gaps Discovered Late</w:t>
            </w:r>
          </w:p>
        </w:tc>
        <w:tc>
          <w:tcPr>
            <w:tcW w:type="dxa" w:w="38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Integration requirements with existing CAD and radio systems are more complex than anticipated in the initial SOW. Leads to change orders, testing failures, and acceptance delays.</w:t>
            </w:r>
          </w:p>
        </w:tc>
        <w:tc>
          <w:tcPr>
            <w:tcW w:type="dxa" w:w="21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SOW requires explicit Integration Requirements section, but many PSAPs have legacy/custom systems that are hard to document upfront.</w:t>
            </w:r>
          </w:p>
        </w:tc>
        <w:tc>
          <w:tcPr>
            <w:tcW w:type="dxa" w:w="214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MEDIUM-HIGH
Common during testing phase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11</w:t>
            </w:r>
          </w:p>
        </w:tc>
        <w:tc>
          <w:tcPr>
            <w:tcW w:type="dxa" w:w="26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Initial Wave Workload Spike from Multiple Simultaneous Submissions</w:t>
            </w:r>
          </w:p>
        </w:tc>
        <w:tc>
          <w:tcPr>
            <w:tcW w:type="dxa" w:w="38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Many PSAPs submit Advance Notifications and SOWs at the same time once contracts are live, creating a sudden high volume that overwhelms individual advisors and causes processing delays across the board.</w:t>
            </w:r>
          </w:p>
        </w:tc>
        <w:tc>
          <w:tcPr>
            <w:tcW w:type="dxa" w:w="210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Pent-up demand after long RFP process + new standardized process available for the first time. No phased rollout.</w:t>
            </w:r>
          </w:p>
        </w:tc>
        <w:tc>
          <w:tcPr>
            <w:tcW w:type="dxa" w:w="2140"/>
            <w:tcBorders>
              <w:top w:val="single" w:color="CCCCCC" w:sz="1"/>
              <w:left w:val="single" w:color="CCCCCC" w:sz="1"/>
              <w:bottom w:val="single" w:color="CCCCCC" w:sz="1"/>
              <w:right w:val="single" w:color="CCCCCC" w:sz="1"/>
            </w:tcBorders>
            <w:shd w:fill="FFE6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MEDIUM-HIGH
Very High in months 1–4</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12</w:t>
            </w:r>
          </w:p>
        </w:tc>
        <w:tc>
          <w:tcPr>
            <w:tcW w:type="dxa" w:w="26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Unclear Internal Escalation Paths When PSAP &amp; Vendor Disagree</w:t>
            </w:r>
          </w:p>
        </w:tc>
        <w:tc>
          <w:tcPr>
            <w:tcW w:type="dxa" w:w="38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When PSAP and Vendor have conflicting interpretations of scope or requirements, advisors lack clear internal guidance on how to escalate or mediate, leading to prolonged disputes and stalled projects.</w:t>
            </w:r>
          </w:p>
        </w:tc>
        <w:tc>
          <w:tcPr>
            <w:tcW w:type="dxa" w:w="21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multi-party process (PSAP + Vendor + Branch) with more formal requirements than previous informal relationships.</w:t>
            </w:r>
          </w:p>
        </w:tc>
        <w:tc>
          <w:tcPr>
            <w:tcW w:type="dxa" w:w="214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Recurring when conflicts arise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13</w:t>
            </w:r>
          </w:p>
        </w:tc>
        <w:tc>
          <w:tcPr>
            <w:tcW w:type="dxa" w:w="26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Post-Acceptance MAC Scope Creep Without Proper Change Control</w:t>
            </w:r>
          </w:p>
        </w:tc>
        <w:tc>
          <w:tcPr>
            <w:tcW w:type="dxa" w:w="38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After TD284 acceptance, PSAPs request many Moves/Adds/Changes that should go through formal change order but are sometimes handled informally under 'maintenance.' This creates funding and compliance risk.</w:t>
            </w:r>
          </w:p>
        </w:tc>
        <w:tc>
          <w:tcPr>
            <w:tcW w:type="dxa" w:w="21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distinction between minor MACs (under maintenance) and major changes (require change order + possible TD e-288 update).</w:t>
            </w:r>
          </w:p>
        </w:tc>
        <w:tc>
          <w:tcPr>
            <w:tcW w:type="dxa" w:w="214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Ongoing operational issue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14</w:t>
            </w:r>
          </w:p>
        </w:tc>
        <w:tc>
          <w:tcPr>
            <w:tcW w:type="dxa" w:w="26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Training Documentation &amp; Post-Training Follow-up Gaps</w:t>
            </w:r>
          </w:p>
        </w:tc>
        <w:tc>
          <w:tcPr>
            <w:tcW w:type="dxa" w:w="38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Training is delivered but attendance records, sign-off forms, and confirmation of manual delivery are not consistently collected or filed. Later disputes arise about whether training was adequate.</w:t>
            </w:r>
          </w:p>
        </w:tc>
        <w:tc>
          <w:tcPr>
            <w:tcW w:type="dxa" w:w="21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SOW section k explicitly requires Training Plan and documentation. Previously less formalized.</w:t>
            </w:r>
          </w:p>
        </w:tc>
        <w:tc>
          <w:tcPr>
            <w:tcW w:type="dxa" w:w="214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Common but lower visibility</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15</w:t>
            </w:r>
          </w:p>
        </w:tc>
        <w:tc>
          <w:tcPr>
            <w:tcW w:type="dxa" w:w="26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Maintaining Accurate Real-Time Project Tracking Across Many Counties</w:t>
            </w:r>
          </w:p>
        </w:tc>
        <w:tc>
          <w:tcPr>
            <w:tcW w:type="dxa" w:w="38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Advisors struggle to keep county-level trackers or dashboards current when juggling 10–20+ active projects at different stages. Status reports to leadership become outdated quickly.</w:t>
            </w:r>
          </w:p>
        </w:tc>
        <w:tc>
          <w:tcPr>
            <w:tcW w:type="dxa" w:w="210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Significant increase in structured project volume and required documentation compared to previous more informal processes.</w:t>
            </w:r>
          </w:p>
        </w:tc>
        <w:tc>
          <w:tcPr>
            <w:tcW w:type="dxa" w:w="2140"/>
            <w:tcBorders>
              <w:top w:val="single" w:color="CCCCCC" w:sz="1"/>
              <w:left w:val="single" w:color="CCCCCC" w:sz="1"/>
              <w:bottom w:val="single" w:color="CCCCCC" w:sz="1"/>
              <w:right w:val="single" w:color="CCCCCC" w:sz="1"/>
            </w:tcBorders>
            <w:shd w:fill="FFFFCC" w:val="clear"/>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Persistent workload issue</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16</w:t>
            </w:r>
          </w:p>
        </w:tc>
        <w:tc>
          <w:tcPr>
            <w:tcW w:type="dxa" w:w="26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New Awarded Vendors Unfamiliar with Cal OES / Branch Culture &amp; Processes</w:t>
            </w:r>
          </w:p>
        </w:tc>
        <w:tc>
          <w:tcPr>
            <w:tcW w:type="dxa" w:w="38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Some newly awarded vendors (especially smaller or out-of-state) do not understand the level of documentation, approval chains, and relationship management expected by Cal OES and the Branch.</w:t>
            </w:r>
          </w:p>
        </w:tc>
        <w:tc>
          <w:tcPr>
            <w:tcW w:type="dxa" w:w="21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Competitive award process brought in new vendors who may not have prior experience working with CA 9-1-1 Branch processes.</w:t>
            </w:r>
          </w:p>
        </w:tc>
        <w:tc>
          <w:tcPr>
            <w:tcW w:type="dxa" w:w="214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Higher in first 12 months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17</w:t>
            </w:r>
          </w:p>
        </w:tc>
        <w:tc>
          <w:tcPr>
            <w:tcW w:type="dxa" w:w="26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Bandwidth Provisioning &amp; Data Center Readiness Delays for Cloud Projects</w:t>
            </w:r>
          </w:p>
        </w:tc>
        <w:tc>
          <w:tcPr>
            <w:tcW w:type="dxa" w:w="38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Cloud projects are delayed because PSAPs or their carriers are slow to provision the required bandwidth or confirm data center connectivity. This is often discovered late in the SOW process.</w:t>
            </w:r>
          </w:p>
        </w:tc>
        <w:tc>
          <w:tcPr>
            <w:tcW w:type="dxa" w:w="21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emphasis on Cloud solutions with explicit bandwidth requirements in SOW section g. Previously less relevant for traditional On-Prem CPE.</w:t>
            </w:r>
          </w:p>
        </w:tc>
        <w:tc>
          <w:tcPr>
            <w:tcW w:type="dxa" w:w="214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Specific to Cloud projects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18</w:t>
            </w:r>
          </w:p>
        </w:tc>
        <w:tc>
          <w:tcPr>
            <w:tcW w:type="dxa" w:w="26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Audit Trail &amp; Record Completeness Gaps During Transition Period</w:t>
            </w:r>
          </w:p>
        </w:tc>
        <w:tc>
          <w:tcPr>
            <w:tcW w:type="dxa" w:w="38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Project files are incomplete (missing versions of SOWs, change order approvals, training records, or final TD284). This creates significant risk during internal or external audits in the first 1–2 years.</w:t>
            </w:r>
          </w:p>
        </w:tc>
        <w:tc>
          <w:tcPr>
            <w:tcW w:type="dxa" w:w="21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Rapid transition to much more rigorous documentation standards. Many projects started under old informal processes.</w:t>
            </w:r>
          </w:p>
        </w:tc>
        <w:tc>
          <w:tcPr>
            <w:tcW w:type="dxa" w:w="214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High risk during audits</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19</w:t>
            </w:r>
          </w:p>
        </w:tc>
        <w:tc>
          <w:tcPr>
            <w:tcW w:type="dxa" w:w="26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Confidentiality &amp; New Personnel/Subcontractor Onboarding Compliance</w:t>
            </w:r>
          </w:p>
        </w:tc>
        <w:tc>
          <w:tcPr>
            <w:tcW w:type="dxa" w:w="38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vendor personnel or subcontractors are brought onto projects without signed post-award Confidentiality Statements (Attachment 10). Creates compliance gaps that are hard to remediate retroactively.</w:t>
            </w:r>
          </w:p>
        </w:tc>
        <w:tc>
          <w:tcPr>
            <w:tcW w:type="dxa" w:w="21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New post-award requirement for all assigned personnel to sign confidentiality statements before starting work.</w:t>
            </w:r>
          </w:p>
        </w:tc>
        <w:tc>
          <w:tcPr>
            <w:tcW w:type="dxa" w:w="214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Ongoing compliance risk</w:t>
            </w:r>
          </w:p>
        </w:tc>
      </w:tr>
    </w:tbl>
    <w:tbl>
      <w:tblPr>
        <w:tblW w:type="dxa" w:w="110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800"/>
        <w:gridCol w:w="2100"/>
        <w:gridCol w:w="2140"/>
      </w:tblGrid>
      <w:tr>
        <w:tc>
          <w:tcPr>
            <w:tcW w:type="dxa" w:w="5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bCs/>
                <w:color w:val="000000"/>
                <w:sz w:val="17"/>
                <w:szCs w:val="17"/>
              </w:rPr>
              <w:t xml:space="preserve">20</w:t>
            </w:r>
          </w:p>
        </w:tc>
        <w:tc>
          <w:tcPr>
            <w:tcW w:type="dxa" w:w="26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bCs/>
                <w:color w:val="000000"/>
                <w:sz w:val="16"/>
                <w:szCs w:val="16"/>
              </w:rPr>
              <w:t xml:space="preserve">End-of-Fiscal-Year Rush Creating Backlogs and Errors</w:t>
            </w:r>
          </w:p>
        </w:tc>
        <w:tc>
          <w:tcPr>
            <w:tcW w:type="dxa" w:w="38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Significant spike in submissions and requests near fiscal year-end as PSAPs try to obligate funds. This creates errors, rushed reviews, and processing backlogs that carry over into the new fiscal year.</w:t>
            </w:r>
          </w:p>
        </w:tc>
        <w:tc>
          <w:tcPr>
            <w:tcW w:type="dxa" w:w="210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left"/>
            </w:pPr>
            <w:r>
              <w:rPr>
                <w:rFonts w:ascii="Arial" w:cs="Arial" w:eastAsia="Arial" w:hAnsi="Arial"/>
                <w:b w:val="false"/>
                <w:bCs w:val="false"/>
                <w:color w:val="000000"/>
                <w:sz w:val="15"/>
                <w:szCs w:val="15"/>
              </w:rPr>
              <w:t xml:space="preserve">Traditional government funding cycles combined with new structured process that has multiple approval gates.</w:t>
            </w:r>
          </w:p>
        </w:tc>
        <w:tc>
          <w:tcPr>
            <w:tcW w:type="dxa" w:w="2140"/>
            <w:tcBorders>
              <w:top w:val="single" w:color="CCCCCC" w:sz="1"/>
              <w:left w:val="single" w:color="CCCCCC" w:sz="1"/>
              <w:bottom w:val="single" w:color="CCCCCC" w:sz="1"/>
              <w:right w:val="single" w:color="CCCCCC" w:sz="1"/>
            </w:tcBorders>
            <w:tcMar>
              <w:top w:type="dxa" w:w="50"/>
              <w:left w:type="dxa" w:w="70"/>
              <w:bottom w:type="dxa" w:w="50"/>
              <w:right w:type="dxa" w:w="70"/>
            </w:tcMar>
            <w:vAlign w:val="center"/>
          </w:tcPr>
          <w:p>
            <w:pPr>
              <w:jc w:val="center"/>
            </w:pPr>
            <w:r>
              <w:rPr>
                <w:rFonts w:ascii="Arial" w:cs="Arial" w:eastAsia="Arial" w:hAnsi="Arial"/>
                <w:b w:val="false"/>
                <w:bCs w:val="false"/>
                <w:color w:val="000000"/>
                <w:sz w:val="15"/>
                <w:szCs w:val="15"/>
              </w:rPr>
              <w:t xml:space="preserve">MEDIUM
Predictable annual spike</w:t>
            </w:r>
          </w:p>
        </w:tc>
      </w:tr>
    </w:tbl>
    <w:p>
      <w:pPr>
        <w:spacing w:before="280"/>
      </w:pPr>
    </w:p>
    <w:p>
      <w:pPr>
        <w:pStyle w:val="Heading2"/>
      </w:pPr>
      <w:r>
        <w:t xml:space="preserve">Top 7 Highest-Impact Pain Points (Summary)</w:t>
      </w:r>
    </w:p>
    <w:p>
      <w:pPr>
        <w:pStyle w:val="ListParagraph"/>
        <w:numPr>
          <w:ilvl w:val="0"/>
          <w:numId w:val="2"/>
        </w:numPr>
      </w:pPr>
      <w:r>
        <w:rPr>
          <w:sz w:val="17"/>
          <w:szCs w:val="17"/>
        </w:rPr>
        <w:t xml:space="preserve">SOW Template Compliance Issues — Highest volume friction point; fix early with training and checklists.</w:t>
      </w:r>
    </w:p>
    <w:p>
      <w:pPr>
        <w:pStyle w:val="ListParagraph"/>
        <w:numPr>
          <w:ilvl w:val="0"/>
          <w:numId w:val="2"/>
        </w:numPr>
      </w:pPr>
      <w:r>
        <w:rPr>
          <w:sz w:val="17"/>
          <w:szCs w:val="17"/>
        </w:rPr>
        <w:t xml:space="preserve">Invoice Rejections — Directly impacts vendor payments and relationships; create quick-reference guides for vendors.</w:t>
      </w:r>
    </w:p>
    <w:p>
      <w:pPr>
        <w:pStyle w:val="ListParagraph"/>
        <w:numPr>
          <w:ilvl w:val="0"/>
          <w:numId w:val="2"/>
        </w:numPr>
      </w:pPr>
      <w:r>
        <w:rPr>
          <w:sz w:val="17"/>
          <w:szCs w:val="17"/>
        </w:rPr>
        <w:t xml:space="preserve">Change Order Bottleneck — Major source of project delays; consider delegation thresholds or streamlined templates.</w:t>
      </w:r>
    </w:p>
    <w:p>
      <w:pPr>
        <w:pStyle w:val="ListParagraph"/>
        <w:numPr>
          <w:ilvl w:val="0"/>
          <w:numId w:val="2"/>
        </w:numPr>
      </w:pPr>
      <w:r>
        <w:rPr>
          <w:sz w:val="17"/>
          <w:szCs w:val="17"/>
        </w:rPr>
        <w:t xml:space="preserve">Advance Notification Quality — Foundational; poor submissions poison the entire downstream process.</w:t>
      </w:r>
    </w:p>
    <w:p>
      <w:pPr>
        <w:pStyle w:val="ListParagraph"/>
        <w:numPr>
          <w:ilvl w:val="0"/>
          <w:numId w:val="2"/>
        </w:numPr>
      </w:pPr>
      <w:r>
        <w:rPr>
          <w:sz w:val="17"/>
          <w:szCs w:val="17"/>
        </w:rPr>
        <w:t xml:space="preserve">Cloud vs On-Prem Confusion — Strategic issue that affects long-term funding models and PSAP satisfaction.</w:t>
      </w:r>
    </w:p>
    <w:p>
      <w:pPr>
        <w:pStyle w:val="ListParagraph"/>
        <w:numPr>
          <w:ilvl w:val="0"/>
          <w:numId w:val="2"/>
        </w:numPr>
      </w:pPr>
      <w:r>
        <w:rPr>
          <w:sz w:val="17"/>
          <w:szCs w:val="17"/>
        </w:rPr>
        <w:t xml:space="preserve">TD e-288 Processing Speed — Critical path item for almost all financial and scheduling decisions.</w:t>
      </w:r>
    </w:p>
    <w:p>
      <w:pPr>
        <w:pStyle w:val="ListParagraph"/>
        <w:numPr>
          <w:ilvl w:val="0"/>
          <w:numId w:val="2"/>
        </w:numPr>
      </w:pPr>
      <w:r>
        <w:rPr>
          <w:sz w:val="17"/>
          <w:szCs w:val="17"/>
        </w:rPr>
        <w:t xml:space="preserve">PSAP Sign-off Delays — Chronic timeline killer; may need escalation protocols or pre-approved templates.</w:t>
      </w:r>
    </w:p>
    <w:p>
      <w:pPr>
        <w:spacing w:before="240"/>
      </w:pPr>
    </w:p>
    <w:p>
      <w:r>
        <w:rPr>
          <w:b/>
          <w:bCs/>
          <w:sz w:val="17"/>
          <w:szCs w:val="17"/>
        </w:rPr>
        <w:t xml:space="preserve">Recommendation: </w:t>
      </w:r>
      <w:r>
        <w:rPr>
          <w:sz w:val="17"/>
          <w:szCs w:val="17"/>
        </w:rPr>
        <w:t xml:space="preserve">Prioritize creating job aids, checklists, and short training videos for the top 5 pain points in the first 60–90 days after contract award. Consider forming a small cross-functional working group (Advisors + Finance + NG9-1-1 Technical) to address Change Order and TD e-288 process improvements quickly.</w:t>
      </w:r>
    </w:p>
    <w:p>
      <w:pPr>
        <w:spacing w:before="200"/>
      </w:pPr>
      <w:r>
        <w:rPr>
          <w:i/>
          <w:iCs/>
          <w:sz w:val="16"/>
          <w:szCs w:val="16"/>
        </w:rPr>
        <w:t xml:space="preserve">This analysis is derived from the requirements, forms, and process changes introduced in RFP 26-16743 and its attachments (particularly Attachments 11, 14, 15, and 16, plus TD284/TD e-288 references).</w:t>
      </w:r>
    </w:p>
    <w:sectPr>
      <w:headerReference w:type="default" r:id="rId7"/>
      <w:footerReference w:type="default" r:id="rId8"/>
      <w:pgSz w:w="12240" w:h="158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5"/>
        <w:szCs w:val="15"/>
      </w:rPr>
      <w:t xml:space="preserve">Critical Pain Points for Funding/Compliance Advisors  |  Page </w:t>
    </w:r>
    <w:r>
      <w:rPr>
        <w:rFonts w:ascii="Arial" w:cs="Arial" w:eastAsia="Arial" w:hAnsi="Arial"/>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5"/>
        <w:szCs w:val="15"/>
      </w:rPr>
      <w:t xml:space="preserve">Cal OES | CA 9-1-1 Branch  •  Post-Award Pain Point Analysis (RFP 26-16743)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C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2026-07-17T07:57:55.597Z</dcterms:created>
  <dcterms:modified xsi:type="dcterms:W3CDTF">2026-07-17T07:57:55.597Z</dcterms:modified>
</cp:coreProperties>
</file>

<file path=docProps/custom.xml><?xml version="1.0" encoding="utf-8"?>
<Properties xmlns="http://schemas.openxmlformats.org/officeDocument/2006/custom-properties" xmlns:vt="http://schemas.openxmlformats.org/officeDocument/2006/docPropsVTypes"/>
</file>