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3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duplicates</w:t>
      </w:r>
      <w:r>
        <w:t xml:space="preserve"> </w:t>
      </w:r>
      <w:r>
        <w:t xml:space="preserve">in</w:t>
      </w:r>
      <w:r>
        <w:t xml:space="preserve"> </w:t>
      </w:r>
      <w:r>
        <w:t xml:space="preserve">HIV</w:t>
      </w:r>
      <w:r>
        <w:t xml:space="preserve"> </w:t>
      </w:r>
      <w:r>
        <w:t xml:space="preserve">notifications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Rmarkdown document describes an exploration of the number and</w:t>
      </w:r>
      <w:r>
        <w:t xml:space="preserve"> </w:t>
      </w:r>
      <w:r>
        <w:t xml:space="preserve">proportion of duplicate notifications in the Australian HIV Registry. The</w:t>
      </w:r>
      <w:r>
        <w:t xml:space="preserve"> </w:t>
      </w:r>
      <w:r>
        <w:t xml:space="preserve">primary reason for this exploration is to assess the validity of using the</w:t>
      </w:r>
      <w:r>
        <w:t xml:space="preserve"> </w:t>
      </w:r>
      <w:r>
        <w:t xml:space="preserve">deduplication algorithm published in:</w:t>
      </w:r>
    </w:p>
    <w:p>
      <w:pPr>
        <w:pStyle w:val="BlockText"/>
      </w:pPr>
      <w:r>
        <w:t xml:space="preserve">Law, M G, A M McDonald, and J M Kaldor.</w:t>
      </w:r>
      <w:r>
        <w:t xml:space="preserve"> </w:t>
      </w:r>
      <w:r>
        <w:t xml:space="preserve">“</w:t>
      </w:r>
      <w:r>
        <w:t xml:space="preserve">Estimation of Cumulative HIV</w:t>
      </w:r>
      <w:r>
        <w:t xml:space="preserve"> </w:t>
      </w:r>
      <w:r>
        <w:t xml:space="preserve">Incidence in Australia, Based on National Case Reporting.</w:t>
      </w:r>
      <w:r>
        <w:t xml:space="preserve">”</w:t>
      </w:r>
      <w:r>
        <w:t xml:space="preserve"> </w:t>
      </w:r>
      <w:r>
        <w:t xml:space="preserve">Australian</w:t>
      </w:r>
      <w:r>
        <w:t xml:space="preserve"> </w:t>
      </w:r>
      <w:r>
        <w:t xml:space="preserve">and New Zealand Journal of Public Health 20, no. 2 (April 1996): 215-7.</w:t>
      </w:r>
    </w:p>
    <w:p>
      <w:pPr>
        <w:pStyle w:val="FirstParagraph"/>
      </w:pPr>
      <w:r>
        <w:t xml:space="preserve">for use in the Australian HIV diagnosis and care cascades.</w:t>
      </w:r>
    </w:p>
    <w:p>
      <w:pPr>
        <w:pStyle w:val="Heading2"/>
      </w:pPr>
      <w:bookmarkStart w:id="21" w:name="settings-and-assumptions"/>
      <w:bookmarkEnd w:id="21"/>
      <w:r>
        <w:t xml:space="preserve">Settings and assumptions</w:t>
      </w:r>
    </w:p>
    <w:p>
      <w:pPr>
        <w:pStyle w:val="FirstParagraph"/>
      </w:pPr>
      <w:r>
        <w:t xml:space="preserve">We applied the deduplication algorithm to the entire set of notifications</w:t>
      </w:r>
      <w:r>
        <w:t xml:space="preserve"> </w:t>
      </w:r>
      <w:r>
        <w:t xml:space="preserve">in the HIV registry to the end of 2016 and separately for notifications</w:t>
      </w:r>
      <w:r>
        <w:t xml:space="preserve"> </w:t>
      </w:r>
      <w:r>
        <w:t xml:space="preserve">from the states of New South Wales (NSW) and Victoria (Vic). For these</w:t>
      </w:r>
      <w:r>
        <w:t xml:space="preserve"> </w:t>
      </w:r>
      <w:r>
        <w:t xml:space="preserve">settings we estimated annual and cumulative notifications (including</w:t>
      </w:r>
      <w:r>
        <w:t xml:space="preserve"> </w:t>
      </w:r>
      <w:r>
        <w:t xml:space="preserve">duplicates), the cumulative number and proportion of notifications that</w:t>
      </w:r>
      <w:r>
        <w:t xml:space="preserve"> </w:t>
      </w:r>
      <w:r>
        <w:t xml:space="preserve">are unique, and the annual number and proportion of notifications that are</w:t>
      </w:r>
      <w:r>
        <w:t xml:space="preserve"> </w:t>
      </w:r>
      <w:r>
        <w:t xml:space="preserve">unique each year.</w:t>
      </w:r>
    </w:p>
    <w:p>
      <w:pPr>
        <w:pStyle w:val="BodyText"/>
      </w:pPr>
      <w:r>
        <w:t xml:space="preserve">The algorithm is statistical in nature and is applied to all notifications</w:t>
      </w:r>
      <w:r>
        <w:t xml:space="preserve"> </w:t>
      </w:r>
      <w:r>
        <w:t xml:space="preserve">since the start of Australia’s HIV epidemic in 1980 (year of first</w:t>
      </w:r>
      <w:r>
        <w:t xml:space="preserve"> </w:t>
      </w:r>
      <w:r>
        <w:t xml:space="preserve">notification). Annual estimates for a given year are obtained by applying</w:t>
      </w:r>
      <w:r>
        <w:t xml:space="preserve"> </w:t>
      </w:r>
      <w:r>
        <w:t xml:space="preserve">this algorithm to all the notifications between 1980 and each given year</w:t>
      </w:r>
      <w:r>
        <w:t xml:space="preserve"> </w:t>
      </w:r>
      <w:r>
        <w:t xml:space="preserve">and then taking the difference. This can lead to invalid estimates where</w:t>
      </w:r>
      <w:r>
        <w:t xml:space="preserve"> </w:t>
      </w:r>
      <w:r>
        <w:t xml:space="preserve">the annual proportion unique is &gt; 1 and the number of duplicates is</w:t>
      </w:r>
      <w:r>
        <w:t xml:space="preserve"> </w:t>
      </w:r>
      <w:r>
        <w:t xml:space="preserve">negative. However, adding the annual number of duplicates will produce the</w:t>
      </w:r>
      <w:r>
        <w:t xml:space="preserve"> </w:t>
      </w:r>
      <w:r>
        <w:t xml:space="preserve">correct cumulative number of unique notifications and this value is the</w:t>
      </w:r>
      <w:r>
        <w:t xml:space="preserve"> </w:t>
      </w:r>
      <w:r>
        <w:t xml:space="preserve">key estimate for the HIV cascades. Thus we pretend the annual estimates</w:t>
      </w:r>
      <w:r>
        <w:t xml:space="preserve"> </w:t>
      </w:r>
      <w:r>
        <w:t xml:space="preserve">are valid for the purposes of our calculations and estimates.</w:t>
      </w:r>
    </w:p>
    <w:p>
      <w:pPr>
        <w:pStyle w:val="BodyText"/>
      </w:pPr>
      <w:r>
        <w:t xml:space="preserve">In recent years there is likely to be very few duplicates in the registry</w:t>
      </w:r>
      <w:r>
        <w:t xml:space="preserve"> </w:t>
      </w:r>
      <w:r>
        <w:t xml:space="preserve">due to validation processes as part of HIV surveillance especially</w:t>
      </w:r>
      <w:r>
        <w:t xml:space="preserve"> </w:t>
      </w:r>
      <w:r>
        <w:t xml:space="preserve">following an audit of all notifications in 2002 (I believe). So far we</w:t>
      </w:r>
      <w:r>
        <w:t xml:space="preserve"> </w:t>
      </w:r>
      <w:r>
        <w:t xml:space="preserve">have simply applied the algorithm to all notifications and assumed the</w:t>
      </w:r>
      <w:r>
        <w:t xml:space="preserve"> </w:t>
      </w:r>
      <w:r>
        <w:t xml:space="preserve">estimates are valid, even if the number of duplicates seems a bit high in</w:t>
      </w:r>
      <w:r>
        <w:t xml:space="preserve"> </w:t>
      </w:r>
      <w:r>
        <w:t xml:space="preserve">recent years, and assumed other (uncertain) components of the cascade</w:t>
      </w:r>
      <w:r>
        <w:t xml:space="preserve"> </w:t>
      </w:r>
      <w:r>
        <w:t xml:space="preserve">calculations (such as emigration) balance out any errors in the estimates</w:t>
      </w:r>
      <w:r>
        <w:t xml:space="preserve"> </w:t>
      </w:r>
      <w:r>
        <w:t xml:space="preserve">for duplicates. We explored the validity of this assumption by considering</w:t>
      </w:r>
      <w:r>
        <w:t xml:space="preserve"> </w:t>
      </w:r>
      <w:r>
        <w:t xml:space="preserve">scenarios where all notifications since 1992 or 2002 overall and for each</w:t>
      </w:r>
      <w:r>
        <w:t xml:space="preserve"> </w:t>
      </w:r>
      <w:r>
        <w:t xml:space="preserve">state are unique (arbitrarily chosen years). We then compared the</w:t>
      </w:r>
      <w:r>
        <w:t xml:space="preserve"> </w:t>
      </w:r>
      <w:r>
        <w:t xml:space="preserve">estimates for each setting and scenario.</w:t>
      </w:r>
    </w:p>
    <w:p>
      <w:pPr>
        <w:pStyle w:val="BodyText"/>
      </w:pP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t xml:space="preserve">The following figures show selected results for each population. Figures 1</w:t>
      </w:r>
      <w:r>
        <w:t xml:space="preserve"> </w:t>
      </w:r>
      <w:r>
        <w:t xml:space="preserve">and 2 show the change in cumulative notifications over time for each state</w:t>
      </w:r>
      <w:r>
        <w:t xml:space="preserve"> </w:t>
      </w:r>
      <w:r>
        <w:t xml:space="preserve">under various assumptions for when all annual notifications rare unique.</w:t>
      </w:r>
      <w:r>
        <w:t xml:space="preserve"> </w:t>
      </w:r>
      <w:r>
        <w:t xml:space="preserve">Figure 1 shows the majority of duplicate notifications occurred prior to</w:t>
      </w:r>
      <w:r>
        <w:t xml:space="preserve"> </w:t>
      </w:r>
      <w:r>
        <w:t xml:space="preserve">1992 and the number of duplicates from Victoria is small. Zooming in to</w:t>
      </w:r>
      <w:r>
        <w:t xml:space="preserve"> </w:t>
      </w:r>
      <w:r>
        <w:t xml:space="preserve">recent years (Figure 2) shows there is little difference between the</w:t>
      </w:r>
      <w:r>
        <w:t xml:space="preserve"> </w:t>
      </w:r>
      <w:r>
        <w:t xml:space="preserve">algorithm output and the assumption all notifications are unique since</w:t>
      </w:r>
      <w:r>
        <w:t xml:space="preserve"> </w:t>
      </w:r>
      <w:r>
        <w:t xml:space="preserve">2002 (though the difference is a bit larger for NSW).</w:t>
      </w:r>
    </w:p>
    <w:p>
      <w:pPr>
        <w:pStyle w:val="BodyText"/>
      </w:pPr>
      <w:r>
        <w:t xml:space="preserve">Figure 1: Cumulative total (black line) and unique notifications</w:t>
      </w:r>
      <w:r>
        <w:t xml:space="preserve"> </w:t>
      </w:r>
      <w:r>
        <w:t xml:space="preserve">(green line) for A) Australia overall, B) NSW, and C) Victoria. The blue</w:t>
      </w:r>
      <w:r>
        <w:t xml:space="preserve"> </w:t>
      </w:r>
      <w:r>
        <w:t xml:space="preserve">and red lines show the results when all notifications since 1992</w:t>
      </w:r>
      <w:r>
        <w:t xml:space="preserve"> </w:t>
      </w:r>
      <w:r>
        <w:t xml:space="preserve">and 2002 are assumed to be unique, respectively.</w:t>
      </w:r>
      <w:r>
        <w:t xml:space="preserve"> </w:t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Figure 2: Zoom in on results from Figure 1.</w:t>
      </w:r>
      <w:r>
        <w:t xml:space="preserve"> </w:t>
      </w: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 shows the cumulative proportion of notifications that are unique</w:t>
      </w:r>
      <w:r>
        <w:t xml:space="preserve"> </w:t>
      </w:r>
      <w:r>
        <w:t xml:space="preserve">by sex and state. Over 95% of female and Overall Victorian notifications</w:t>
      </w:r>
      <w:r>
        <w:t xml:space="preserve"> </w:t>
      </w:r>
      <w:r>
        <w:t xml:space="preserve">are unique. The proportion in males, overall NSW, and overall nationally</w:t>
      </w:r>
      <w:r>
        <w:t xml:space="preserve"> </w:t>
      </w:r>
      <w:r>
        <w:t xml:space="preserve">are very similar according to the algorithm.</w:t>
      </w:r>
    </w:p>
    <w:p>
      <w:pPr>
        <w:pStyle w:val="BodyText"/>
      </w:pPr>
    </w:p>
    <w:p>
      <w:pPr>
        <w:pStyle w:val="BodyText"/>
      </w:pPr>
      <w:r>
        <w:t xml:space="preserve">Figure 3: Cumulative proportion unique by sex and state.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was still a little concerned there could be a saturation effect when</w:t>
      </w:r>
      <w:r>
        <w:t xml:space="preserve"> </w:t>
      </w:r>
      <w:r>
        <w:t xml:space="preserve">applying the algorithm to large numbers of notifications. For example the</w:t>
      </w:r>
      <w:r>
        <w:t xml:space="preserve"> </w:t>
      </w:r>
      <w:r>
        <w:t xml:space="preserve">proportion unique is very similar for national, male, and NSW</w:t>
      </w:r>
      <w:r>
        <w:t xml:space="preserve"> </w:t>
      </w:r>
      <w:r>
        <w:t xml:space="preserve">notifications. Figure 4 compares the cumulative proportion unique in</w:t>
      </w:r>
      <w:r>
        <w:t xml:space="preserve"> </w:t>
      </w:r>
      <w:r>
        <w:t xml:space="preserve">notifications in NSW and outside of NSW (with similar numbers of</w:t>
      </w:r>
      <w:r>
        <w:t xml:space="preserve"> </w:t>
      </w:r>
      <w:r>
        <w:t xml:space="preserve">duplicates). This figure suggests the majority of duplicates occurred in</w:t>
      </w:r>
      <w:r>
        <w:t xml:space="preserve"> </w:t>
      </w:r>
      <w:r>
        <w:t xml:space="preserve">NSW males.</w:t>
      </w:r>
    </w:p>
    <w:p>
      <w:pPr>
        <w:pStyle w:val="BodyText"/>
      </w:pPr>
      <w:r>
        <w:t xml:space="preserve">Figure 4: Cumulative proportion unique for NSW compared to rest of</w:t>
      </w:r>
      <w:r>
        <w:t xml:space="preserve"> </w:t>
      </w:r>
      <w:r>
        <w:t xml:space="preserve">Australia.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male notifications further, I ran the the deduplication</w:t>
      </w:r>
      <w:r>
        <w:t xml:space="preserve"> </w:t>
      </w:r>
      <w:r>
        <w:t xml:space="preserve">algorithm on male notifications by exposure category. Figure 5 shows the</w:t>
      </w:r>
      <w:r>
        <w:t xml:space="preserve"> </w:t>
      </w:r>
      <w:r>
        <w:t xml:space="preserve">cumulative proportion unique for each male exposure group. Considering the</w:t>
      </w:r>
      <w:r>
        <w:t xml:space="preserve"> </w:t>
      </w:r>
      <w:r>
        <w:t xml:space="preserve">exposure groups separately results in an underestimate for the number of</w:t>
      </w:r>
      <w:r>
        <w:t xml:space="preserve"> </w:t>
      </w:r>
      <w:r>
        <w:t xml:space="preserve">duplicates with an overall cumulative percentage of 94.6% compared to the</w:t>
      </w:r>
      <w:r>
        <w:t xml:space="preserve"> </w:t>
      </w:r>
      <w:r>
        <w:t xml:space="preserve">overall male percentage of 91.9%. This suggests duplicates are being missed because duplicate</w:t>
      </w:r>
      <w:r>
        <w:t xml:space="preserve"> </w:t>
      </w:r>
      <w:r>
        <w:t xml:space="preserve">notifications occur in distinct exposure categories (and hence are not</w:t>
      </w:r>
      <w:r>
        <w:t xml:space="preserve"> </w:t>
      </w:r>
      <w:r>
        <w:t xml:space="preserve">classified as duplicates when the algorithm is run on the separate exposure</w:t>
      </w:r>
      <w:r>
        <w:t xml:space="preserve"> </w:t>
      </w:r>
      <w:r>
        <w:t xml:space="preserve">categories). Figure 5 suggests combining the MSM and unknown exposure group</w:t>
      </w:r>
      <w:r>
        <w:t xml:space="preserve"> </w:t>
      </w:r>
      <w:r>
        <w:t xml:space="preserve">notifications produces a cumulative proportion unique that aligns with the</w:t>
      </w:r>
      <w:r>
        <w:t xml:space="preserve"> </w:t>
      </w:r>
      <w:r>
        <w:t xml:space="preserve">overall male and national populations.</w:t>
      </w:r>
    </w:p>
    <w:p>
      <w:pPr>
        <w:pStyle w:val="BodyText"/>
      </w:pPr>
      <w:r>
        <w:t xml:space="preserve">Figure 5: Cumulative number (A) and proportion (B) unique for male</w:t>
      </w:r>
      <w:r>
        <w:t xml:space="preserve"> </w:t>
      </w:r>
      <w:r>
        <w:t xml:space="preserve">exposure category groups.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discussion"/>
      <w:bookmarkEnd w:id="28"/>
      <w:r>
        <w:t xml:space="preserve">Discussion</w:t>
      </w:r>
    </w:p>
    <w:p>
      <w:pPr>
        <w:pStyle w:val="Compact"/>
        <w:numPr>
          <w:numId w:val="1001"/>
          <w:ilvl w:val="0"/>
        </w:numPr>
      </w:pPr>
      <w:r>
        <w:t xml:space="preserve">Using the overall proportion unique by applying the deduplication to all</w:t>
      </w:r>
      <w:r>
        <w:t xml:space="preserve"> </w:t>
      </w:r>
      <w:r>
        <w:t xml:space="preserve">notifications for males and the NSW population seems reasonable but</w:t>
      </w:r>
      <w:r>
        <w:t xml:space="preserve"> </w:t>
      </w:r>
      <w:r>
        <w:t xml:space="preserve">separate calculations should be done for females and other states.</w:t>
      </w:r>
    </w:p>
    <w:p>
      <w:pPr>
        <w:pStyle w:val="Compact"/>
        <w:numPr>
          <w:numId w:val="1001"/>
          <w:ilvl w:val="0"/>
        </w:numPr>
      </w:pPr>
      <w:r>
        <w:t xml:space="preserve">For the 2017 ASR I did the deduplication calculations for males and</w:t>
      </w:r>
      <w:r>
        <w:t xml:space="preserve"> </w:t>
      </w:r>
      <w:r>
        <w:t xml:space="preserve">females separately as required but the calculations should be done for</w:t>
      </w:r>
      <w:r>
        <w:t xml:space="preserve"> </w:t>
      </w:r>
      <w:r>
        <w:t xml:space="preserve">each sub-population.</w:t>
      </w:r>
    </w:p>
    <w:p>
      <w:pPr>
        <w:pStyle w:val="Compact"/>
        <w:numPr>
          <w:numId w:val="1001"/>
          <w:ilvl w:val="0"/>
        </w:numPr>
      </w:pPr>
      <w:r>
        <w:t xml:space="preserve">Previously published estimates for the number unique in NSW obtained</w:t>
      </w:r>
      <w:r>
        <w:t xml:space="preserve"> </w:t>
      </w:r>
      <w:r>
        <w:t xml:space="preserve">using the national estimates remain valid but NSW specific estimates will</w:t>
      </w:r>
      <w:r>
        <w:t xml:space="preserve"> </w:t>
      </w:r>
      <w:r>
        <w:t xml:space="preserve">be generated in the future.</w:t>
      </w:r>
    </w:p>
    <w:p>
      <w:pPr>
        <w:pStyle w:val="Compact"/>
        <w:numPr>
          <w:numId w:val="1001"/>
          <w:ilvl w:val="0"/>
        </w:numPr>
      </w:pPr>
      <w:r>
        <w:t xml:space="preserve">Assuming all notifications since 2002 are unique will have little impact</w:t>
      </w:r>
      <w:r>
        <w:t xml:space="preserve"> </w:t>
      </w:r>
      <w:r>
        <w:t xml:space="preserve">on the HIV cascade estimates.</w:t>
      </w:r>
    </w:p>
    <w:p>
      <w:pPr>
        <w:pStyle w:val="Compact"/>
        <w:numPr>
          <w:numId w:val="1001"/>
          <w:ilvl w:val="0"/>
        </w:numPr>
      </w:pPr>
      <w:r>
        <w:t xml:space="preserve">Seems like the majority of duplicates occurred in NSW males prior to 1992</w:t>
      </w:r>
      <w:r>
        <w:t xml:space="preserve"> </w:t>
      </w:r>
      <w:r>
        <w:t xml:space="preserve">particularly in MSM and males in the unknown exposure category (which makes</w:t>
      </w:r>
      <w:r>
        <w:t xml:space="preserve"> </w:t>
      </w:r>
      <w:r>
        <w:t xml:space="preserve">sense I think).</w:t>
      </w:r>
    </w:p>
    <w:p>
      <w:pPr>
        <w:pStyle w:val="Heading2"/>
      </w:pPr>
      <w:bookmarkStart w:id="29" w:name="appendix-1---annual-duplicates-and-proportion-unique"/>
      <w:bookmarkEnd w:id="29"/>
      <w:r>
        <w:t xml:space="preserve">Appendix 1 - Annual duplicates and proportion unique</w:t>
      </w:r>
    </w:p>
    <w:p>
      <w:pPr>
        <w:pStyle w:val="FirstParagraph"/>
      </w:pPr>
      <w:r>
        <w:t xml:space="preserve">As stated previously when we estimated the number and proportion of</w:t>
      </w:r>
      <w:r>
        <w:t xml:space="preserve"> </w:t>
      </w:r>
      <w:r>
        <w:t xml:space="preserve">duplicates annually we sometimes get a proportion &gt; 1 and a negative number</w:t>
      </w:r>
      <w:r>
        <w:t xml:space="preserve"> </w:t>
      </w:r>
      <w:r>
        <w:t xml:space="preserve">of duplicates. This is an artifact of the statistical method and</w:t>
      </w:r>
      <w:r>
        <w:t xml:space="preserve"> </w:t>
      </w:r>
      <w:r>
        <w:t xml:space="preserve">calculation because we use the cumulative number to estimate annual</w:t>
      </w:r>
      <w:r>
        <w:t xml:space="preserve"> </w:t>
      </w:r>
      <w:r>
        <w:t xml:space="preserve">duplicate numbers. Table 1 illustrates this using the national</w:t>
      </w:r>
      <w:r>
        <w:t xml:space="preserve"> </w:t>
      </w:r>
      <w:r>
        <w:t xml:space="preserve">results from the last 10 years.</w:t>
      </w:r>
    </w:p>
    <w:p>
      <w:pPr>
        <w:pStyle w:val="BodyText"/>
      </w:pPr>
      <w:r>
        <w:t xml:space="preserve">Even though proportions &gt; 1 and negative number of duplicates don’t make</w:t>
      </w:r>
      <w:r>
        <w:t xml:space="preserve"> </w:t>
      </w:r>
      <w:r>
        <w:t xml:space="preserve">sense, I pretend they do in the cascade calculations as the cumulative</w:t>
      </w:r>
      <w:r>
        <w:t xml:space="preserve"> </w:t>
      </w:r>
      <w:r>
        <w:t xml:space="preserve">values do make sense and cumulative numbers are the important values in the</w:t>
      </w:r>
      <w:r>
        <w:t xml:space="preserve"> </w:t>
      </w:r>
      <w:r>
        <w:t xml:space="preserve">cascade calculations (you may get a small of error going from year to year</w:t>
      </w:r>
      <w:r>
        <w:t xml:space="preserve"> </w:t>
      </w:r>
      <w:r>
        <w:t xml:space="preserve">but that will be much smaller than the uncertainties in other aspects of</w:t>
      </w:r>
      <w:r>
        <w:t xml:space="preserve"> </w:t>
      </w:r>
      <w:r>
        <w:t xml:space="preserve">the calculation).</w:t>
      </w:r>
    </w:p>
    <w:p>
      <w:pPr>
        <w:pStyle w:val="BodyText"/>
      </w:pPr>
      <w:r>
        <w:t xml:space="preserve">Figure 6 shows the number and proportion of all annual notifications that</w:t>
      </w:r>
      <w:r>
        <w:t xml:space="preserve"> </w:t>
      </w:r>
      <w:r>
        <w:t xml:space="preserve">are duplicates since 2007. The values tend to bounce around zero and 1</w:t>
      </w:r>
      <w:r>
        <w:t xml:space="preserve"> </w:t>
      </w:r>
      <w:r>
        <w:t xml:space="preserve">respectively. Note the number of annual duplicates can be a far from zero</w:t>
      </w:r>
      <w:r>
        <w:t xml:space="preserve"> </w:t>
      </w:r>
      <w:r>
        <w:t xml:space="preserve">(&gt; 100) because the numbers are obtained by taking the difference of</w:t>
      </w:r>
      <w:r>
        <w:t xml:space="preserve"> </w:t>
      </w:r>
      <w:r>
        <w:t xml:space="preserve">cumulative notifications which are &gt; 30,000.</w:t>
      </w:r>
    </w:p>
    <w:p>
      <w:pPr>
        <w:pStyle w:val="BodyText"/>
      </w:pPr>
      <w:r>
        <w:t xml:space="preserve">Table 1: Annual numbers of duplicates for overall notifications. The</w:t>
      </w:r>
      <w:r>
        <w:t xml:space="preserve"> </w:t>
      </w:r>
      <w:r>
        <w:t xml:space="preserve">letters and equations in brackets show how each column relates to the</w:t>
      </w:r>
      <w:r>
        <w:t xml:space="preserve"> </w:t>
      </w:r>
      <w:r>
        <w:t xml:space="preserve">other.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notifications (A)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proportion unique (B)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number unqiue (C = A*B)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unique each year (D = diff 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Actual annual notifications (E)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Annual number of duplicates (F=E-D)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Annual proportion duplicates (G=F/D)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28,548</w:t>
            </w:r>
          </w:p>
        </w:tc>
        <w:tc>
          <w:p>
            <w:pPr>
              <w:pStyle w:val="Compact"/>
              <w:jc w:val="left"/>
            </w:pPr>
            <w:r>
              <w:t xml:space="preserve">0.902</w:t>
            </w:r>
          </w:p>
        </w:tc>
        <w:tc>
          <w:p>
            <w:pPr>
              <w:pStyle w:val="Compact"/>
              <w:jc w:val="left"/>
            </w:pPr>
            <w:r>
              <w:t xml:space="preserve">25,744.5</w:t>
            </w:r>
          </w:p>
        </w:tc>
        <w:tc>
          <w:p>
            <w:pPr>
              <w:pStyle w:val="Compact"/>
              <w:jc w:val="left"/>
            </w:pPr>
            <w:r>
              <w:t xml:space="preserve">1,032</w:t>
            </w:r>
          </w:p>
        </w:tc>
        <w:tc>
          <w:p>
            <w:pPr>
              <w:pStyle w:val="Compact"/>
              <w:jc w:val="left"/>
            </w:pPr>
            <w:r>
              <w:t xml:space="preserve">1,052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29,563</w:t>
            </w:r>
          </w:p>
        </w:tc>
        <w:tc>
          <w:p>
            <w:pPr>
              <w:pStyle w:val="Compact"/>
              <w:jc w:val="left"/>
            </w:pPr>
            <w:r>
              <w:t xml:space="preserve">0.901</w:t>
            </w:r>
          </w:p>
        </w:tc>
        <w:tc>
          <w:p>
            <w:pPr>
              <w:pStyle w:val="Compact"/>
              <w:jc w:val="left"/>
            </w:pPr>
            <w:r>
              <w:t xml:space="preserve">26,645.5</w:t>
            </w:r>
          </w:p>
        </w:tc>
        <w:tc>
          <w:p>
            <w:pPr>
              <w:pStyle w:val="Compact"/>
              <w:jc w:val="left"/>
            </w:pPr>
            <w:r>
              <w:t xml:space="preserve">901.1</w:t>
            </w:r>
          </w:p>
        </w:tc>
        <w:tc>
          <w:p>
            <w:pPr>
              <w:pStyle w:val="Compact"/>
              <w:jc w:val="left"/>
            </w:pPr>
            <w:r>
              <w:t xml:space="preserve">1,015</w:t>
            </w:r>
          </w:p>
        </w:tc>
        <w:tc>
          <w:p>
            <w:pPr>
              <w:pStyle w:val="Compact"/>
              <w:jc w:val="left"/>
            </w:pPr>
            <w:r>
              <w:t xml:space="preserve">113.9</w:t>
            </w:r>
          </w:p>
        </w:tc>
        <w:tc>
          <w:p>
            <w:pPr>
              <w:pStyle w:val="Compact"/>
              <w:jc w:val="left"/>
            </w:pPr>
            <w:r>
              <w:t xml:space="preserve">0.888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30,637</w:t>
            </w:r>
          </w:p>
        </w:tc>
        <w:tc>
          <w:p>
            <w:pPr>
              <w:pStyle w:val="Compact"/>
              <w:jc w:val="left"/>
            </w:pPr>
            <w:r>
              <w:t xml:space="preserve">0.905</w:t>
            </w:r>
          </w:p>
        </w:tc>
        <w:tc>
          <w:p>
            <w:pPr>
              <w:pStyle w:val="Compact"/>
              <w:jc w:val="left"/>
            </w:pPr>
            <w:r>
              <w:t xml:space="preserve">27,731.9</w:t>
            </w:r>
          </w:p>
        </w:tc>
        <w:tc>
          <w:p>
            <w:pPr>
              <w:pStyle w:val="Compact"/>
              <w:jc w:val="left"/>
            </w:pPr>
            <w:r>
              <w:t xml:space="preserve">1,086.3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  <w:tc>
          <w:p>
            <w:pPr>
              <w:pStyle w:val="Compact"/>
              <w:jc w:val="left"/>
            </w:pPr>
            <w:r>
              <w:t xml:space="preserve">-12.3</w:t>
            </w:r>
          </w:p>
        </w:tc>
        <w:tc>
          <w:p>
            <w:pPr>
              <w:pStyle w:val="Compact"/>
              <w:jc w:val="left"/>
            </w:pPr>
            <w:r>
              <w:t xml:space="preserve">1.011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31,700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28,844.1</w:t>
            </w:r>
          </w:p>
        </w:tc>
        <w:tc>
          <w:p>
            <w:pPr>
              <w:pStyle w:val="Compact"/>
              <w:jc w:val="left"/>
            </w:pPr>
            <w:r>
              <w:t xml:space="preserve">1,112.2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  <w:tc>
          <w:p>
            <w:pPr>
              <w:pStyle w:val="Compact"/>
              <w:jc w:val="left"/>
            </w:pPr>
            <w:r>
              <w:t xml:space="preserve">-49.2</w:t>
            </w:r>
          </w:p>
        </w:tc>
        <w:tc>
          <w:p>
            <w:pPr>
              <w:pStyle w:val="Compact"/>
              <w:jc w:val="left"/>
            </w:pPr>
            <w:r>
              <w:t xml:space="preserve">1.046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32,845</w:t>
            </w:r>
          </w:p>
        </w:tc>
        <w:tc>
          <w:p>
            <w:pPr>
              <w:pStyle w:val="Compact"/>
              <w:jc w:val="left"/>
            </w:pPr>
            <w:r>
              <w:t xml:space="preserve">0.914</w:t>
            </w:r>
          </w:p>
        </w:tc>
        <w:tc>
          <w:p>
            <w:pPr>
              <w:pStyle w:val="Compact"/>
              <w:jc w:val="left"/>
            </w:pPr>
            <w:r>
              <w:t xml:space="preserve">30,012</w:t>
            </w:r>
          </w:p>
        </w:tc>
        <w:tc>
          <w:p>
            <w:pPr>
              <w:pStyle w:val="Compact"/>
              <w:jc w:val="left"/>
            </w:pPr>
            <w:r>
              <w:t xml:space="preserve">1,167.9</w:t>
            </w:r>
          </w:p>
        </w:tc>
        <w:tc>
          <w:p>
            <w:pPr>
              <w:pStyle w:val="Compact"/>
              <w:jc w:val="left"/>
            </w:pPr>
            <w:r>
              <w:t xml:space="preserve">1,145</w:t>
            </w:r>
          </w:p>
        </w:tc>
        <w:tc>
          <w:p>
            <w:pPr>
              <w:pStyle w:val="Compact"/>
              <w:jc w:val="left"/>
            </w:pPr>
            <w:r>
              <w:t xml:space="preserve">-22.9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34,102</w:t>
            </w:r>
          </w:p>
        </w:tc>
        <w:tc>
          <w:p>
            <w:pPr>
              <w:pStyle w:val="Compact"/>
              <w:jc w:val="left"/>
            </w:pPr>
            <w:r>
              <w:t xml:space="preserve">0.916</w:t>
            </w:r>
          </w:p>
        </w:tc>
        <w:tc>
          <w:p>
            <w:pPr>
              <w:pStyle w:val="Compact"/>
              <w:jc w:val="left"/>
            </w:pPr>
            <w:r>
              <w:t xml:space="preserve">31,243.4</w:t>
            </w:r>
          </w:p>
        </w:tc>
        <w:tc>
          <w:p>
            <w:pPr>
              <w:pStyle w:val="Compact"/>
              <w:jc w:val="left"/>
            </w:pPr>
            <w:r>
              <w:t xml:space="preserve">1,231.4</w:t>
            </w:r>
          </w:p>
        </w:tc>
        <w:tc>
          <w:p>
            <w:pPr>
              <w:pStyle w:val="Compact"/>
              <w:jc w:val="left"/>
            </w:pPr>
            <w:r>
              <w:t xml:space="preserve">1,257</w:t>
            </w:r>
          </w:p>
        </w:tc>
        <w:tc>
          <w:p>
            <w:pPr>
              <w:pStyle w:val="Compact"/>
              <w:jc w:val="left"/>
            </w:pPr>
            <w:r>
              <w:t xml:space="preserve">25.6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35,341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32,396.8</w:t>
            </w:r>
          </w:p>
        </w:tc>
        <w:tc>
          <w:p>
            <w:pPr>
              <w:pStyle w:val="Compact"/>
              <w:jc w:val="left"/>
            </w:pPr>
            <w:r>
              <w:t xml:space="preserve">1,153.4</w:t>
            </w:r>
          </w:p>
        </w:tc>
        <w:tc>
          <w:p>
            <w:pPr>
              <w:pStyle w:val="Compact"/>
              <w:jc w:val="left"/>
            </w:pPr>
            <w:r>
              <w:t xml:space="preserve">1,239</w:t>
            </w:r>
          </w:p>
        </w:tc>
        <w:tc>
          <w:p>
            <w:pPr>
              <w:pStyle w:val="Compact"/>
              <w:jc w:val="left"/>
            </w:pPr>
            <w:r>
              <w:t xml:space="preserve">85.6</w:t>
            </w:r>
          </w:p>
        </w:tc>
        <w:tc>
          <w:p>
            <w:pPr>
              <w:pStyle w:val="Compact"/>
              <w:jc w:val="left"/>
            </w:pPr>
            <w:r>
              <w:t xml:space="preserve">0.931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36,680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33,638.2</w:t>
            </w:r>
          </w:p>
        </w:tc>
        <w:tc>
          <w:p>
            <w:pPr>
              <w:pStyle w:val="Compact"/>
              <w:jc w:val="left"/>
            </w:pPr>
            <w:r>
              <w:t xml:space="preserve">1,241.3</w:t>
            </w:r>
          </w:p>
        </w:tc>
        <w:tc>
          <w:p>
            <w:pPr>
              <w:pStyle w:val="Compact"/>
              <w:jc w:val="left"/>
            </w:pPr>
            <w:r>
              <w:t xml:space="preserve">1,339</w:t>
            </w:r>
          </w:p>
        </w:tc>
        <w:tc>
          <w:p>
            <w:pPr>
              <w:pStyle w:val="Compact"/>
              <w:jc w:val="left"/>
            </w:pPr>
            <w:r>
              <w:t xml:space="preserve">97.7</w:t>
            </w:r>
          </w:p>
        </w:tc>
        <w:tc>
          <w:p>
            <w:pPr>
              <w:pStyle w:val="Compact"/>
              <w:jc w:val="left"/>
            </w:pPr>
            <w:r>
              <w:t xml:space="preserve">0.927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37,928</w:t>
            </w:r>
          </w:p>
        </w:tc>
        <w:tc>
          <w:p>
            <w:pPr>
              <w:pStyle w:val="Compact"/>
              <w:jc w:val="left"/>
            </w:pPr>
            <w:r>
              <w:t xml:space="preserve">0.919</w:t>
            </w:r>
          </w:p>
        </w:tc>
        <w:tc>
          <w:p>
            <w:pPr>
              <w:pStyle w:val="Compact"/>
              <w:jc w:val="left"/>
            </w:pPr>
            <w:r>
              <w:t xml:space="preserve">34,859.3</w:t>
            </w:r>
          </w:p>
        </w:tc>
        <w:tc>
          <w:p>
            <w:pPr>
              <w:pStyle w:val="Compact"/>
              <w:jc w:val="left"/>
            </w:pPr>
            <w:r>
              <w:t xml:space="preserve">1,221.1</w:t>
            </w:r>
          </w:p>
        </w:tc>
        <w:tc>
          <w:p>
            <w:pPr>
              <w:pStyle w:val="Compact"/>
              <w:jc w:val="left"/>
            </w:pPr>
            <w:r>
              <w:t xml:space="preserve">1,248</w:t>
            </w:r>
          </w:p>
        </w:tc>
        <w:tc>
          <w:p>
            <w:pPr>
              <w:pStyle w:val="Compact"/>
              <w:jc w:val="left"/>
            </w:pPr>
            <w:r>
              <w:t xml:space="preserve">26.9</w:t>
            </w:r>
          </w:p>
        </w:tc>
        <w:tc>
          <w:p>
            <w:pPr>
              <w:pStyle w:val="Compact"/>
              <w:jc w:val="lef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39,195</w:t>
            </w:r>
          </w:p>
        </w:tc>
        <w:tc>
          <w:p>
            <w:pPr>
              <w:pStyle w:val="Compact"/>
              <w:jc w:val="left"/>
            </w:pPr>
            <w:r>
              <w:t xml:space="preserve">0.922</w:t>
            </w:r>
          </w:p>
        </w:tc>
        <w:tc>
          <w:p>
            <w:pPr>
              <w:pStyle w:val="Compact"/>
              <w:jc w:val="left"/>
            </w:pPr>
            <w:r>
              <w:t xml:space="preserve">36,141.4</w:t>
            </w:r>
          </w:p>
        </w:tc>
        <w:tc>
          <w:p>
            <w:pPr>
              <w:pStyle w:val="Compact"/>
              <w:jc w:val="left"/>
            </w:pPr>
            <w:r>
              <w:t xml:space="preserve">1,282.1</w:t>
            </w:r>
          </w:p>
        </w:tc>
        <w:tc>
          <w:p>
            <w:pPr>
              <w:pStyle w:val="Compact"/>
              <w:jc w:val="left"/>
            </w:pPr>
            <w:r>
              <w:t xml:space="preserve">1,267</w:t>
            </w:r>
          </w:p>
        </w:tc>
        <w:tc>
          <w:p>
            <w:pPr>
              <w:pStyle w:val="Compact"/>
              <w:jc w:val="left"/>
            </w:pPr>
            <w:r>
              <w:t xml:space="preserve">-15.1</w:t>
            </w:r>
          </w:p>
        </w:tc>
        <w:tc>
          <w:p>
            <w:pPr>
              <w:pStyle w:val="Compact"/>
              <w:jc w:val="left"/>
            </w:pPr>
            <w:r>
              <w:t xml:space="preserve">1.012</w:t>
            </w:r>
          </w:p>
        </w:tc>
      </w:tr>
    </w:tbl>
    <w:p>
      <w:pPr>
        <w:pStyle w:val="BodyText"/>
      </w:pPr>
      <w:r>
        <w:t xml:space="preserve">Figure 6: Number (A) and proportion (B) of annual</w:t>
      </w:r>
      <w:r>
        <w:br w:type="textWrapping"/>
      </w:r>
      <w:r>
        <w:t xml:space="preserve">notifications that are unique for all national notifications.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appendix-2---cumulative-duplicates-analysis"/>
      <w:bookmarkEnd w:id="31"/>
      <w:r>
        <w:t xml:space="preserve">Appendix 2 - Cumulative duplicates analysis</w:t>
      </w:r>
    </w:p>
    <w:p>
      <w:pPr>
        <w:pStyle w:val="FirstParagraph"/>
      </w:pPr>
      <w:r>
        <w:t xml:space="preserve">To see if there is a natural time point from where we could assume all</w:t>
      </w:r>
      <w:r>
        <w:t xml:space="preserve"> </w:t>
      </w:r>
      <w:r>
        <w:t xml:space="preserve">notifications are unique I analysis the cumulative number of duplicates</w:t>
      </w:r>
      <w:r>
        <w:t xml:space="preserve"> </w:t>
      </w:r>
      <w:r>
        <w:t xml:space="preserve">over 1980-2016 (shown in Figure 7. This figure</w:t>
      </w:r>
      <w:r>
        <w:t xml:space="preserve"> </w:t>
      </w:r>
      <w:r>
        <w:t xml:space="preserve">suggests a rapid increase in duplicates until 1990 before a slow and steady</w:t>
      </w:r>
      <w:r>
        <w:t xml:space="preserve"> </w:t>
      </w:r>
      <w:r>
        <w:t xml:space="preserve">increase since 1996. There has potentially been a stabilisation in</w:t>
      </w:r>
      <w:r>
        <w:t xml:space="preserve"> </w:t>
      </w:r>
      <w:r>
        <w:t xml:space="preserve">duplicates since around 2005. In fact there is a fluctuation in cumulative</w:t>
      </w:r>
      <w:r>
        <w:t xml:space="preserve"> </w:t>
      </w:r>
      <w:r>
        <w:t xml:space="preserve">diagnoses since 2007 which is unrealistic since cumulative duplicates</w:t>
      </w:r>
      <w:r>
        <w:t xml:space="preserve"> </w:t>
      </w:r>
      <w:r>
        <w:t xml:space="preserve">should only increase.</w:t>
      </w:r>
    </w:p>
    <w:p>
      <w:pPr>
        <w:pStyle w:val="BodyText"/>
      </w:pPr>
      <w:r>
        <w:t xml:space="preserve">Figure 7: Cumulative number of duplicate notifications over</w:t>
      </w:r>
      <w:r>
        <w:t xml:space="preserve"> </w:t>
      </w:r>
      <w:r>
        <w:t xml:space="preserve">time.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explore this further I performed a trend analysis including an</w:t>
      </w:r>
      <w:r>
        <w:t xml:space="preserve"> </w:t>
      </w:r>
      <w:r>
        <w:t xml:space="preserve">exploration of change points. Figure 8 shows</w:t>
      </w:r>
      <w:r>
        <w:t xml:space="preserve"> </w:t>
      </w:r>
      <w:r>
        <w:t xml:space="preserve">the results when the analysis is done on cumulative duplicates since</w:t>
      </w:r>
      <w:r>
        <w:t xml:space="preserve"> </w:t>
      </w:r>
      <w:r>
        <w:t xml:space="preserve">1980 and when cumulative duplicates are truncated from 1990. The trend in</w:t>
      </w:r>
      <w:r>
        <w:t xml:space="preserve"> </w:t>
      </w:r>
      <w:r>
        <w:t xml:space="preserve">cumulative duplicates is well fitted by a segmented Poisson regression with</w:t>
      </w:r>
      <w:r>
        <w:t xml:space="preserve"> </w:t>
      </w:r>
      <w:r>
        <w:t xml:space="preserve">a single change point in 1998. Since 1998 there is a steady increase in</w:t>
      </w:r>
      <w:r>
        <w:t xml:space="preserve"> </w:t>
      </w:r>
      <w:r>
        <w:t xml:space="preserve">cumulative duplicates at around 1% per year. This suggests there is no</w:t>
      </w:r>
      <w:r>
        <w:t xml:space="preserve"> </w:t>
      </w:r>
      <w:r>
        <w:t xml:space="preserve">clear time where we can assume all duplicates are unique. However, given</w:t>
      </w:r>
      <w:r>
        <w:t xml:space="preserve"> </w:t>
      </w:r>
      <w:r>
        <w:t xml:space="preserve">the fluctuation in cumulative diagnoses since 2007, potentially the</w:t>
      </w:r>
      <w:r>
        <w:t xml:space="preserve"> </w:t>
      </w:r>
      <w:r>
        <w:t xml:space="preserve">de-duplication algorithm could be stopped at this point.</w:t>
      </w:r>
    </w:p>
    <w:p>
      <w:pPr>
        <w:pStyle w:val="BodyText"/>
      </w:pPr>
      <w:r>
        <w:t xml:space="preserve">Figure 8: (B) Trends in cumulative duplicates since 1980 with</w:t>
      </w:r>
      <w:r>
        <w:t xml:space="preserve"> </w:t>
      </w:r>
      <w:r>
        <w:t xml:space="preserve">segmented analysis. (C) Trend and segmented trend analysis since 1990</w:t>
      </w:r>
      <w:r>
        <w:t xml:space="preserve"> </w:t>
      </w:r>
      <w:r>
        <w:t xml:space="preserve">(trends recalculated from the truncated data set).</w:t>
      </w:r>
    </w:p>
    <w:p>
      <w:pPr>
        <w:pStyle w:val="BodyText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6752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5f33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rId26.png"/><Relationship Id="rId3" Type="http://schemas.openxmlformats.org/officeDocument/2006/relationships/settings" Target="settings.xml"/><Relationship Id="rId34" Type="http://schemas.openxmlformats.org/officeDocument/2006/relationships/customXml" Target="../customXml/item1.xml"/><Relationship Id="rId7" Type="http://schemas.openxmlformats.org/officeDocument/2006/relationships/footnotes" Target="footnotes.xml"/><Relationship Id="rId25" Type="http://schemas.openxmlformats.org/officeDocument/2006/relationships/image" Target="media/rId25.png"/><Relationship Id="rId33" Type="http://schemas.openxmlformats.org/officeDocument/2006/relationships/image" Target="media/rId3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image" Target="media/rId24.png"/><Relationship Id="rId32" Type="http://schemas.openxmlformats.org/officeDocument/2006/relationships/image" Target="media/rId32.png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36" Type="http://schemas.openxmlformats.org/officeDocument/2006/relationships/customXml" Target="../customXml/item3.xml"/><Relationship Id="rId4" Type="http://schemas.openxmlformats.org/officeDocument/2006/relationships/webSettings" Target="webSettings.xml"/><Relationship Id="rId27" Type="http://schemas.openxmlformats.org/officeDocument/2006/relationships/image" Target="media/rId27.png"/><Relationship Id="rId30" Type="http://schemas.openxmlformats.org/officeDocument/2006/relationships/image" Target="media/rId30.png"/><Relationship Id="rId35" Type="http://schemas.openxmlformats.org/officeDocument/2006/relationships/customXml" Target="../customXml/item2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7EE9C3B32F24C997F08FEDABFE4D4" ma:contentTypeVersion="12" ma:contentTypeDescription="Create a new document." ma:contentTypeScope="" ma:versionID="60c22afda614b97921dbb231d6f04942">
  <xsd:schema xmlns:xsd="http://www.w3.org/2001/XMLSchema" xmlns:xs="http://www.w3.org/2001/XMLSchema" xmlns:p="http://schemas.microsoft.com/office/2006/metadata/properties" xmlns:ns2="e2d22f42-674e-4fc3-9806-bf5045c6d197" xmlns:ns3="32705bbd-d6e6-412c-a7e2-7411e947c69b" targetNamespace="http://schemas.microsoft.com/office/2006/metadata/properties" ma:root="true" ma:fieldsID="87248bdc6f4646256e6432bc260be0e0" ns2:_="" ns3:_="">
    <xsd:import namespace="e2d22f42-674e-4fc3-9806-bf5045c6d197"/>
    <xsd:import namespace="32705bbd-d6e6-412c-a7e2-7411e947c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22f42-674e-4fc3-9806-bf5045c6d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05bbd-d6e6-412c-a7e2-7411e947c6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04FD05-8EEB-484B-ACDF-838C02FCDFED}"/>
</file>

<file path=customXml/itemProps2.xml><?xml version="1.0" encoding="utf-8"?>
<ds:datastoreItem xmlns:ds="http://schemas.openxmlformats.org/officeDocument/2006/customXml" ds:itemID="{A776CB5B-B2B5-4E32-98A7-2FB71F877326}"/>
</file>

<file path=customXml/itemProps3.xml><?xml version="1.0" encoding="utf-8"?>
<ds:datastoreItem xmlns:ds="http://schemas.openxmlformats.org/officeDocument/2006/customXml" ds:itemID="{8ADFE1DB-4E21-4E11-83F3-5895B84F03A4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duplicates in HIV notifications</dc:title>
  <dc:creator>Richard T. Gray</dc:creator>
  <dcterms:created xsi:type="dcterms:W3CDTF">2018-11-01T03:57:09Z</dcterms:created>
  <dcterms:modified xsi:type="dcterms:W3CDTF">2018-11-01T03:57:09Z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0x010100DE67EE9C3B32F24C997F08FEDABFE4D4</vt:lpwstr>
  </property>
</Properties>
</file>