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7451" w14:textId="4E8837D1" w:rsidR="00270555" w:rsidRDefault="00270555" w:rsidP="00270555">
      <w:pPr>
        <w:spacing w:after="200"/>
        <w:rPr>
          <w:b/>
          <w:sz w:val="40"/>
        </w:rPr>
      </w:pPr>
      <w:r w:rsidRPr="00270555">
        <w:rPr>
          <w:b/>
          <w:sz w:val="40"/>
        </w:rPr>
        <w:t>The Living Project v3 Cheat Sheet</w:t>
      </w:r>
    </w:p>
    <w:p w14:paraId="78770D47" w14:textId="0A455BCD" w:rsidR="00270555" w:rsidRDefault="00270555" w:rsidP="00270555">
      <w:pPr>
        <w:spacing w:after="120"/>
        <w:rPr>
          <w:b/>
          <w:sz w:val="22"/>
        </w:rPr>
      </w:pPr>
      <w:r w:rsidRPr="00270555">
        <w:rPr>
          <w:b/>
          <w:sz w:val="22"/>
        </w:rPr>
        <w:t>High-level prompt guidance for any user</w:t>
      </w:r>
    </w:p>
    <w:p w14:paraId="0BFEAE2F" w14:textId="446CF9F2" w:rsidR="00270555" w:rsidRDefault="00270555" w:rsidP="00270555">
      <w:pPr>
        <w:spacing w:after="120"/>
        <w:rPr>
          <w:sz w:val="22"/>
        </w:rPr>
      </w:pPr>
      <w:r w:rsidRPr="00270555">
        <w:rPr>
          <w:sz w:val="22"/>
        </w:rPr>
        <w:t>Install: npx -y @the-living-project/the-living-project-cli init</w:t>
      </w:r>
    </w:p>
    <w:p w14:paraId="41094361" w14:textId="1B6AB8CE" w:rsidR="00270555" w:rsidRDefault="00270555" w:rsidP="00270555">
      <w:pPr>
        <w:spacing w:after="120"/>
        <w:rPr>
          <w:b/>
          <w:sz w:val="28"/>
        </w:rPr>
      </w:pPr>
      <w:r w:rsidRPr="00270555">
        <w:rPr>
          <w:b/>
          <w:sz w:val="28"/>
        </w:rPr>
        <w:t>Core thesis</w:t>
      </w:r>
    </w:p>
    <w:p w14:paraId="2F25F7C1" w14:textId="5E9E781C" w:rsidR="00270555" w:rsidRDefault="00270555" w:rsidP="00270555">
      <w:pPr>
        <w:spacing w:after="120"/>
        <w:rPr>
          <w:sz w:val="22"/>
        </w:rPr>
      </w:pPr>
      <w:r w:rsidRPr="00270555">
        <w:rPr>
          <w:sz w:val="22"/>
        </w:rPr>
        <w:t>Context is the strongest determinant of output quality. Every phase should clarify intent, load context, generate deliberately, and improve with critique.</w:t>
      </w:r>
    </w:p>
    <w:p w14:paraId="0FFA87D4" w14:textId="19397C27" w:rsidR="00270555" w:rsidRDefault="00270555" w:rsidP="00270555">
      <w:pPr>
        <w:spacing w:after="120"/>
        <w:rPr>
          <w:b/>
          <w:sz w:val="28"/>
        </w:rPr>
      </w:pPr>
      <w:r w:rsidRPr="00270555">
        <w:rPr>
          <w:b/>
          <w:sz w:val="28"/>
        </w:rPr>
        <w:t>Core loop</w:t>
      </w:r>
    </w:p>
    <w:p w14:paraId="515DE88D" w14:textId="1AAF5B91" w:rsidR="00270555" w:rsidRDefault="00270555" w:rsidP="00270555">
      <w:pPr>
        <w:spacing w:after="120"/>
        <w:rPr>
          <w:sz w:val="22"/>
        </w:rPr>
      </w:pPr>
      <w:r w:rsidRPr="00270555">
        <w:rPr>
          <w:sz w:val="22"/>
        </w:rPr>
        <w:t>SEED -&gt; NOURISH -&gt; GROW -&gt; PRUNE -&gt; repeat</w:t>
      </w:r>
    </w:p>
    <w:p w14:paraId="4ED8986C" w14:textId="665C4139" w:rsidR="00270555" w:rsidRDefault="00270555" w:rsidP="00270555">
      <w:pPr>
        <w:spacing w:after="120"/>
        <w:rPr>
          <w:sz w:val="22"/>
        </w:rPr>
      </w:pPr>
      <w:r w:rsidRPr="00270555">
        <w:rPr>
          <w:sz w:val="22"/>
        </w:rPr>
        <w:t>Strategic phases: REPOT | COMPOST | CULTIVATE</w:t>
      </w:r>
    </w:p>
    <w:p w14:paraId="50F8A2D1" w14:textId="6D8B1772" w:rsidR="00270555" w:rsidRDefault="00270555" w:rsidP="00270555">
      <w:pPr>
        <w:spacing w:after="120"/>
        <w:rPr>
          <w:b/>
          <w:sz w:val="28"/>
        </w:rPr>
      </w:pPr>
      <w:r w:rsidRPr="00270555">
        <w:rPr>
          <w:b/>
          <w:sz w:val="28"/>
        </w:rPr>
        <w:t>Phase guide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70555" w:rsidRPr="00270555" w14:paraId="11985F6D" w14:textId="77777777" w:rsidTr="0027055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64CAB94" w14:textId="1DC46BEA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3120" w:type="dxa"/>
          </w:tcPr>
          <w:p w14:paraId="465F1226" w14:textId="136CBF36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What to do</w:t>
            </w:r>
          </w:p>
        </w:tc>
        <w:tc>
          <w:tcPr>
            <w:tcW w:w="3120" w:type="dxa"/>
          </w:tcPr>
          <w:p w14:paraId="48481D49" w14:textId="4DF02DDE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Prompt guidance</w:t>
            </w:r>
          </w:p>
        </w:tc>
      </w:tr>
      <w:tr w:rsidR="00270555" w:rsidRPr="00270555" w14:paraId="2BE1D34B" w14:textId="77777777" w:rsidTr="0027055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D918D46" w14:textId="121C80C8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3120" w:type="dxa"/>
          </w:tcPr>
          <w:p w14:paraId="73E58481" w14:textId="6A85380B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Find the root problem, answer the 5Ws, and write a clear seed statement.</w:t>
            </w:r>
          </w:p>
        </w:tc>
        <w:tc>
          <w:tcPr>
            <w:tcW w:w="3120" w:type="dxa"/>
          </w:tcPr>
          <w:p w14:paraId="47192D0B" w14:textId="13C3F177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run 5 Whys on the problem, challenge assumptions, and produce a one-paragraph seed statement with blind spots.</w:t>
            </w:r>
          </w:p>
        </w:tc>
      </w:tr>
      <w:tr w:rsidR="00270555" w:rsidRPr="00270555" w14:paraId="7D362E1A" w14:textId="77777777" w:rsidTr="0027055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173A4FD" w14:textId="5F13122F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NOURISH</w:t>
            </w:r>
          </w:p>
        </w:tc>
        <w:tc>
          <w:tcPr>
            <w:tcW w:w="3120" w:type="dxa"/>
          </w:tcPr>
          <w:p w14:paraId="1C8D2EFE" w14:textId="79AD7880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Gather the relevant documents, stakeholder inputs, constraints, and prior work.</w:t>
            </w:r>
          </w:p>
        </w:tc>
        <w:tc>
          <w:tcPr>
            <w:tcW w:w="3120" w:type="dxa"/>
          </w:tcPr>
          <w:p w14:paraId="6F5078C6" w14:textId="0EF4C821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synthesize the project context, flag contradictions, and tell you what important context is still missing.</w:t>
            </w:r>
          </w:p>
        </w:tc>
      </w:tr>
      <w:tr w:rsidR="00270555" w:rsidRPr="00270555" w14:paraId="49270010" w14:textId="77777777" w:rsidTr="0027055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293841F" w14:textId="5FAE56C1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GROW</w:t>
            </w:r>
          </w:p>
        </w:tc>
        <w:tc>
          <w:tcPr>
            <w:tcW w:w="3120" w:type="dxa"/>
          </w:tcPr>
          <w:p w14:paraId="104069AA" w14:textId="3E430FDE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Generate directional drafts, options, and iterations using the seed and context.</w:t>
            </w:r>
          </w:p>
        </w:tc>
        <w:tc>
          <w:tcPr>
            <w:tcW w:w="3120" w:type="dxa"/>
          </w:tcPr>
          <w:p w14:paraId="12224E6A" w14:textId="2DC484C0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for multiple approaches, then compare them against the seed criteria before developing one further.</w:t>
            </w:r>
          </w:p>
        </w:tc>
      </w:tr>
      <w:tr w:rsidR="00270555" w:rsidRPr="00270555" w14:paraId="0FF1B246" w14:textId="77777777" w:rsidTr="0027055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83A518E" w14:textId="67259011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PRUNE</w:t>
            </w:r>
          </w:p>
        </w:tc>
        <w:tc>
          <w:tcPr>
            <w:tcW w:w="3120" w:type="dxa"/>
          </w:tcPr>
          <w:p w14:paraId="7057BC6E" w14:textId="2714BF9C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Critique, tighten, simplify, and reduce risk before shipping the output.</w:t>
            </w:r>
          </w:p>
        </w:tc>
        <w:tc>
          <w:tcPr>
            <w:tcW w:w="3120" w:type="dxa"/>
          </w:tcPr>
          <w:p w14:paraId="70E4ADF0" w14:textId="62077892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review the draft against the original goal, identify gaps and risks, score it, and improve it.</w:t>
            </w:r>
          </w:p>
        </w:tc>
      </w:tr>
      <w:tr w:rsidR="00270555" w:rsidRPr="00270555" w14:paraId="28D1CA35" w14:textId="77777777" w:rsidTr="0027055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650D210" w14:textId="53A95C05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REPOT</w:t>
            </w:r>
          </w:p>
        </w:tc>
        <w:tc>
          <w:tcPr>
            <w:tcW w:w="3120" w:type="dxa"/>
          </w:tcPr>
          <w:p w14:paraId="25979737" w14:textId="233C03A2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Decide whether the project has outgrown its current scope, structure, or resources.</w:t>
            </w:r>
          </w:p>
        </w:tc>
        <w:tc>
          <w:tcPr>
            <w:tcW w:w="3120" w:type="dxa"/>
          </w:tcPr>
          <w:p w14:paraId="4390E5EF" w14:textId="50643332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for a comparison of constrained, expanded, and split-project options, including risks, effort, and time to value.</w:t>
            </w:r>
          </w:p>
        </w:tc>
      </w:tr>
      <w:tr w:rsidR="00270555" w:rsidRPr="00270555" w14:paraId="14E60584" w14:textId="77777777" w:rsidTr="0027055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471891" w14:textId="2F0CDABC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COMPOST</w:t>
            </w:r>
          </w:p>
        </w:tc>
        <w:tc>
          <w:tcPr>
            <w:tcW w:w="3120" w:type="dxa"/>
          </w:tcPr>
          <w:p w14:paraId="298626D4" w14:textId="1B302269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Extract validated learnings, reusable pieces, and a stronger next seed.</w:t>
            </w:r>
          </w:p>
        </w:tc>
        <w:tc>
          <w:tcPr>
            <w:tcW w:w="3120" w:type="dxa"/>
          </w:tcPr>
          <w:p w14:paraId="1A8C56AE" w14:textId="20A4CDE5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summarize validated and invalidated assumptions, reusable components, and a stronger restart brief.</w:t>
            </w:r>
          </w:p>
        </w:tc>
      </w:tr>
      <w:tr w:rsidR="00270555" w:rsidRPr="00270555" w14:paraId="72EA3371" w14:textId="77777777" w:rsidTr="00270555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76E4430" w14:textId="6D7B830F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CULTIVATE</w:t>
            </w:r>
          </w:p>
        </w:tc>
        <w:tc>
          <w:tcPr>
            <w:tcW w:w="3120" w:type="dxa"/>
          </w:tcPr>
          <w:p w14:paraId="3C3AB7DC" w14:textId="365FD17B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Compare multiple active efforts, risks, blockers, and cross-pollination opportunities.</w:t>
            </w:r>
          </w:p>
        </w:tc>
        <w:tc>
          <w:tcPr>
            <w:tcW w:w="3120" w:type="dxa"/>
          </w:tcPr>
          <w:p w14:paraId="7E5F1AA6" w14:textId="77777777" w:rsidR="00270555" w:rsidRDefault="00270555" w:rsidP="00270555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review all active projects together and recommend where attention should go this week.</w:t>
            </w:r>
          </w:p>
          <w:p w14:paraId="33AC4545" w14:textId="14F43F6B" w:rsidR="00270555" w:rsidRPr="00270555" w:rsidRDefault="00270555" w:rsidP="00270555">
            <w:pPr>
              <w:spacing w:after="120"/>
              <w:rPr>
                <w:b/>
                <w:sz w:val="20"/>
              </w:rPr>
            </w:pPr>
          </w:p>
        </w:tc>
      </w:tr>
    </w:tbl>
    <w:p w14:paraId="4563661C" w14:textId="77777777" w:rsidR="00270555" w:rsidRDefault="00270555" w:rsidP="00270555">
      <w:pPr>
        <w:spacing w:after="120"/>
        <w:rPr>
          <w:b/>
          <w:sz w:val="28"/>
        </w:rPr>
      </w:pPr>
    </w:p>
    <w:p w14:paraId="6BEED7BF" w14:textId="77777777" w:rsidR="00270555" w:rsidRDefault="00270555" w:rsidP="00270555">
      <w:pPr>
        <w:spacing w:after="120"/>
        <w:rPr>
          <w:b/>
          <w:sz w:val="28"/>
        </w:rPr>
      </w:pPr>
    </w:p>
    <w:p w14:paraId="5D4D1549" w14:textId="713678EB" w:rsidR="00270555" w:rsidRDefault="00270555" w:rsidP="00270555">
      <w:pPr>
        <w:spacing w:after="120"/>
        <w:rPr>
          <w:b/>
          <w:sz w:val="28"/>
        </w:rPr>
      </w:pPr>
      <w:r w:rsidRPr="00270555">
        <w:rPr>
          <w:b/>
          <w:sz w:val="28"/>
        </w:rPr>
        <w:t>Good usage patterns</w:t>
      </w:r>
    </w:p>
    <w:p w14:paraId="4A72A87C" w14:textId="2BB68772" w:rsidR="00270555" w:rsidRDefault="00270555" w:rsidP="0027055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270555">
        <w:rPr>
          <w:b/>
          <w:sz w:val="22"/>
        </w:rPr>
        <w:t>Start with the problem, not the deliverable.</w:t>
      </w:r>
    </w:p>
    <w:p w14:paraId="2345DF59" w14:textId="4A962708" w:rsidR="00270555" w:rsidRDefault="00270555" w:rsidP="00270555">
      <w:pPr>
        <w:spacing w:after="0"/>
        <w:ind w:left="360"/>
        <w:rPr>
          <w:b/>
          <w:sz w:val="22"/>
        </w:rPr>
      </w:pPr>
      <w:r w:rsidRPr="00270555">
        <w:rPr>
          <w:b/>
          <w:sz w:val="22"/>
        </w:rPr>
        <w:t>Feed the assistant enough context to be specific.</w:t>
      </w:r>
    </w:p>
    <w:p w14:paraId="136206D3" w14:textId="32AC90C3" w:rsidR="00270555" w:rsidRDefault="00270555" w:rsidP="0027055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270555">
        <w:rPr>
          <w:b/>
          <w:sz w:val="22"/>
        </w:rPr>
        <w:t>Ask for options before converging too early.</w:t>
      </w:r>
    </w:p>
    <w:p w14:paraId="6D9DC2F4" w14:textId="584CF4AA" w:rsidR="00270555" w:rsidRDefault="00270555" w:rsidP="00270555">
      <w:pPr>
        <w:spacing w:after="0"/>
        <w:ind w:left="360"/>
        <w:rPr>
          <w:b/>
          <w:sz w:val="22"/>
        </w:rPr>
      </w:pPr>
      <w:r w:rsidRPr="00270555">
        <w:rPr>
          <w:b/>
          <w:sz w:val="22"/>
        </w:rPr>
        <w:t>Use critique before sharing work broadly.</w:t>
      </w:r>
    </w:p>
    <w:p w14:paraId="5C693C17" w14:textId="4C331905" w:rsidR="00270555" w:rsidRDefault="00270555" w:rsidP="0027055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270555">
        <w:rPr>
          <w:b/>
          <w:sz w:val="22"/>
        </w:rPr>
        <w:t>Treat .living-project as the durable memory layer for the project.</w:t>
      </w:r>
    </w:p>
    <w:p w14:paraId="6D794209" w14:textId="77777777" w:rsidR="00270555" w:rsidRDefault="00270555" w:rsidP="0027055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47CDA277" w14:textId="77777777" w:rsidR="00270555" w:rsidRDefault="00270555" w:rsidP="00270555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0BB84103" w14:textId="36A2B8C7" w:rsidR="00270555" w:rsidRDefault="00270555" w:rsidP="00270555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270555">
        <w:rPr>
          <w:b/>
          <w:sz w:val="28"/>
        </w:rPr>
        <w:t>Current state</w:t>
      </w:r>
    </w:p>
    <w:p w14:paraId="500C29F1" w14:textId="7DB1DBB6" w:rsidR="00270555" w:rsidRDefault="00270555" w:rsidP="00270555">
      <w:pPr>
        <w:spacing w:after="0"/>
        <w:ind w:left="360"/>
        <w:rPr>
          <w:b/>
          <w:sz w:val="22"/>
        </w:rPr>
      </w:pPr>
      <w:r w:rsidRPr="00270555">
        <w:rPr>
          <w:b/>
          <w:sz w:val="22"/>
        </w:rPr>
        <w:t>Public npm package is live at @the-living-project/the-living-project-cli.</w:t>
      </w:r>
    </w:p>
    <w:p w14:paraId="145407B3" w14:textId="1A8D09D2" w:rsidR="00270555" w:rsidRDefault="00270555" w:rsidP="0027055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270555">
        <w:rPr>
          <w:b/>
          <w:sz w:val="22"/>
        </w:rPr>
        <w:t>The standard install command is tested and working.</w:t>
      </w:r>
    </w:p>
    <w:p w14:paraId="29418D26" w14:textId="52D0C072" w:rsidR="00270555" w:rsidRDefault="00270555" w:rsidP="00270555">
      <w:pPr>
        <w:spacing w:after="0"/>
        <w:ind w:left="360"/>
        <w:rPr>
          <w:b/>
          <w:sz w:val="22"/>
        </w:rPr>
      </w:pPr>
      <w:r w:rsidRPr="00270555">
        <w:rPr>
          <w:b/>
          <w:sz w:val="22"/>
        </w:rPr>
        <w:t>GitHub Actions trusted publishing is configured for tagged releases.</w:t>
      </w:r>
    </w:p>
    <w:p w14:paraId="202453BB" w14:textId="2CACE8CE" w:rsidR="00270555" w:rsidRDefault="00270555" w:rsidP="0027055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270555">
        <w:rPr>
          <w:b/>
          <w:sz w:val="22"/>
        </w:rPr>
        <w:t>Codex skill support is installed when available, but the workspace also works with a universal prompt.</w:t>
      </w:r>
    </w:p>
    <w:p w14:paraId="71CEEC8C" w14:textId="77777777" w:rsidR="00270555" w:rsidRDefault="00270555" w:rsidP="0027055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3400E249" w14:textId="77777777" w:rsidR="00270555" w:rsidRDefault="00270555" w:rsidP="0027055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10893A2A" w14:textId="77777777" w:rsidR="00270555" w:rsidRPr="00270555" w:rsidRDefault="00270555" w:rsidP="00270555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sectPr w:rsidR="00270555" w:rsidRPr="00270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F3A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9E617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176967701">
    <w:abstractNumId w:val="0"/>
  </w:num>
  <w:num w:numId="2" w16cid:durableId="203456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55"/>
    <w:rsid w:val="00270555"/>
    <w:rsid w:val="002834E6"/>
    <w:rsid w:val="005865E3"/>
    <w:rsid w:val="00852C67"/>
    <w:rsid w:val="00BB60F0"/>
    <w:rsid w:val="00C93C84"/>
    <w:rsid w:val="00CC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3275"/>
  <w15:chartTrackingRefBased/>
  <w15:docId w15:val="{BDD21F3C-64DE-45F2-A107-034F1560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Abeysekera</dc:creator>
  <cp:keywords/>
  <dc:description/>
  <cp:lastModifiedBy>Chamal Abeysekera</cp:lastModifiedBy>
  <cp:revision>1</cp:revision>
  <dcterms:created xsi:type="dcterms:W3CDTF">2026-04-06T04:18:00Z</dcterms:created>
  <dcterms:modified xsi:type="dcterms:W3CDTF">2026-04-06T04:18:00Z</dcterms:modified>
</cp:coreProperties>
</file>