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3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600"/>
        <w:gridCol w:w="3147"/>
        <w:gridCol w:w="722"/>
        <w:gridCol w:w="2072"/>
        <w:gridCol w:w="2983"/>
      </w:tblGrid>
      <w:tr w:rsidR="00D7168D" w:rsidRPr="00C5515D" w14:paraId="04077344" w14:textId="77777777" w:rsidTr="007B0BBA">
        <w:tc>
          <w:tcPr>
            <w:tcW w:w="3270" w:type="pct"/>
            <w:gridSpan w:val="4"/>
            <w:tcMar>
              <w:top w:w="105" w:type="dxa"/>
              <w:left w:w="105" w:type="dxa"/>
              <w:bottom w:w="105" w:type="dxa"/>
              <w:right w:w="105" w:type="dxa"/>
            </w:tcMar>
          </w:tcPr>
          <w:bookmarkStart w:id="0" w:name="_GoBack"/>
          <w:bookmarkEnd w:id="0"/>
          <w:p w14:paraId="108EA9EB" w14:textId="77777777" w:rsidR="006C7507" w:rsidRPr="00795C67" w:rsidRDefault="00FE28B8" w:rsidP="00F4183B">
            <w:pPr>
              <w:pStyle w:val="GenEdCategory"/>
            </w:pPr>
            <w:r>
              <w:fldChar w:fldCharType="begin"/>
            </w:r>
            <w:r>
              <w:instrText xml:space="preserve"> ASK GenEdCat "Enter GenEd Category" \* MERGEFORMAT </w:instrText>
            </w:r>
            <w:r>
              <w:fldChar w:fldCharType="separate"/>
            </w:r>
            <w:bookmarkStart w:id="1" w:name="GenEdCat"/>
            <w:r w:rsidR="00214280">
              <w:t>Understanding Plural Societies</w:t>
            </w:r>
            <w:bookmarkEnd w:id="1"/>
            <w:r>
              <w:fldChar w:fldCharType="end"/>
            </w:r>
            <w:r w:rsidR="00D811DD">
              <w:fldChar w:fldCharType="begin"/>
            </w:r>
            <w:r w:rsidR="00D811DD">
              <w:instrText xml:space="preserve"> REF GenEdCat \* MERGEFORMAT </w:instrText>
            </w:r>
            <w:r w:rsidR="00D811DD">
              <w:fldChar w:fldCharType="separate"/>
            </w:r>
            <w:r w:rsidR="002C7D92">
              <w:t>Understanding Plural Societies</w:t>
            </w:r>
            <w:r w:rsidR="00D811DD">
              <w:fldChar w:fldCharType="end"/>
            </w:r>
          </w:p>
        </w:tc>
        <w:tc>
          <w:tcPr>
            <w:tcW w:w="1730" w:type="pct"/>
            <w:gridSpan w:val="2"/>
          </w:tcPr>
          <w:p w14:paraId="4C195CBC" w14:textId="77777777" w:rsidR="00D7168D" w:rsidRDefault="00D7168D" w:rsidP="00EC59AE">
            <w:pPr>
              <w:spacing w:after="0" w:line="0" w:lineRule="atLeast"/>
              <w:rPr>
                <w:rFonts w:eastAsia="Times New Roman" w:cs="Arial"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6FC788" wp14:editId="1846A844">
                  <wp:extent cx="2743200" cy="419100"/>
                  <wp:effectExtent l="0" t="0" r="0" b="0"/>
                  <wp:docPr id="1" name="Picture 1" descr="C:\Users\deanugst\Downloads\UndergraduateStudies3widejpg.jpg" title="Office of Undergraduate Studies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deanugst\Downloads\UndergraduateStudies3widejpg.jpg" title="Office of Undergraduate Studies Logo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68D" w:rsidRPr="00C5515D" w14:paraId="03AFDFFC" w14:textId="77777777" w:rsidTr="007B0BBA">
        <w:trPr>
          <w:trHeight w:val="573"/>
        </w:trPr>
        <w:tc>
          <w:tcPr>
            <w:tcW w:w="5000" w:type="pct"/>
            <w:gridSpan w:val="6"/>
            <w:tcBorders>
              <w:bottom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2A62A2" w14:textId="5A3B4D44" w:rsidR="00762CDD" w:rsidRDefault="00762CDD" w:rsidP="00762CDD">
            <w:pPr>
              <w:pStyle w:val="RubricPreamble"/>
              <w:spacing w:after="120"/>
            </w:pPr>
            <w:r>
              <w:t xml:space="preserve">Each General Education category is grounded in a set of learning outcomes. For the full set of learning outcomes for Understanding Plural Societies courses see: </w:t>
            </w:r>
            <w:hyperlink r:id="rId10" w:history="1">
              <w:r w:rsidRPr="002048E1">
                <w:rPr>
                  <w:rStyle w:val="Hyperlink"/>
                </w:rPr>
                <w:t>www.gened.umd.edu</w:t>
              </w:r>
            </w:hyperlink>
            <w:r>
              <w:t xml:space="preserve"> </w:t>
            </w:r>
          </w:p>
          <w:p w14:paraId="3DF40717" w14:textId="0C16827F" w:rsidR="00C93F2E" w:rsidRDefault="00762CDD" w:rsidP="00762CDD">
            <w:pPr>
              <w:pStyle w:val="RubricPreamble"/>
            </w:pPr>
            <w:r w:rsidRPr="00D7168D">
              <w:t xml:space="preserve">This rubric </w:t>
            </w:r>
            <w:r>
              <w:t>is designed as a tool to assess activities aimed at student gains in the follow learning</w:t>
            </w:r>
            <w:r w:rsidRPr="00D7168D">
              <w:t xml:space="preserve"> outcome</w:t>
            </w:r>
            <w:r>
              <w:t>(s)</w:t>
            </w:r>
            <w:r w:rsidRPr="00D7168D">
              <w:t xml:space="preserve"> for the </w:t>
            </w:r>
            <w:r w:rsidR="00C93F2E">
              <w:t>Understanding Plural Societies</w:t>
            </w:r>
            <w:r w:rsidR="00C93F2E" w:rsidRPr="00D7168D">
              <w:t xml:space="preserve"> General Education Category</w:t>
            </w:r>
            <w:r w:rsidR="00C93F2E">
              <w:t>:</w:t>
            </w:r>
          </w:p>
          <w:p w14:paraId="55C0D40C" w14:textId="77777777" w:rsidR="00C93F2E" w:rsidRDefault="00C93F2E" w:rsidP="00C93F2E">
            <w:pPr>
              <w:pStyle w:val="LearningOutcome"/>
            </w:pPr>
            <w:r w:rsidRPr="00795C67">
              <w:t>At the completion of this co</w:t>
            </w:r>
            <w:r>
              <w:t>urse, students will be able to:</w:t>
            </w:r>
          </w:p>
          <w:p w14:paraId="0221F2A4" w14:textId="0221E774" w:rsidR="00656147" w:rsidRDefault="00656147" w:rsidP="00481495">
            <w:pPr>
              <w:pStyle w:val="RubricPreamble"/>
              <w:numPr>
                <w:ilvl w:val="0"/>
                <w:numId w:val="33"/>
              </w:numPr>
              <w:spacing w:after="0"/>
              <w:ind w:left="1260"/>
            </w:pPr>
            <w:r>
              <w:t>Demonstrate understanding of the basis of human diversity and socially-driven constructions of difference: biological, cultural, historical, social, economic, or ideological.</w:t>
            </w:r>
          </w:p>
          <w:p w14:paraId="6B662E47" w14:textId="58F87175" w:rsidR="00656147" w:rsidRDefault="00656147" w:rsidP="00481495">
            <w:pPr>
              <w:pStyle w:val="RubricPreamble"/>
              <w:numPr>
                <w:ilvl w:val="0"/>
                <w:numId w:val="33"/>
              </w:numPr>
              <w:spacing w:after="0"/>
              <w:ind w:left="1260"/>
            </w:pPr>
            <w:r>
              <w:t>Demonstrate understanding of fundamental concepts and methods that produce knowledge about plural societies and systems of classification.</w:t>
            </w:r>
          </w:p>
          <w:p w14:paraId="4A0A5C8B" w14:textId="37B1FC80" w:rsidR="00656147" w:rsidRDefault="00656147" w:rsidP="00481495">
            <w:pPr>
              <w:pStyle w:val="RubricPreamble"/>
              <w:numPr>
                <w:ilvl w:val="0"/>
                <w:numId w:val="33"/>
              </w:numPr>
              <w:spacing w:after="0"/>
              <w:ind w:left="1260"/>
            </w:pPr>
            <w:r>
              <w:t>Explicate the policies, social structures, ideologies or institutional structures that do or do not create inequalities based on notions of human difference.</w:t>
            </w:r>
          </w:p>
          <w:p w14:paraId="0A8D2FEB" w14:textId="7BE5E79E" w:rsidR="00656147" w:rsidRDefault="00656147" w:rsidP="00481495">
            <w:pPr>
              <w:pStyle w:val="RubricPreamble"/>
              <w:numPr>
                <w:ilvl w:val="0"/>
                <w:numId w:val="33"/>
              </w:numPr>
              <w:spacing w:after="0"/>
              <w:ind w:left="1260"/>
            </w:pPr>
            <w:r>
              <w:t xml:space="preserve">Interrogate, critique, or question traditional hierarchies or social categories </w:t>
            </w:r>
          </w:p>
          <w:p w14:paraId="657401AB" w14:textId="76A690E4" w:rsidR="00656147" w:rsidRDefault="00656147" w:rsidP="00481495">
            <w:pPr>
              <w:pStyle w:val="RubricPreamble"/>
              <w:numPr>
                <w:ilvl w:val="0"/>
                <w:numId w:val="33"/>
              </w:numPr>
              <w:spacing w:after="0"/>
              <w:ind w:left="1260"/>
            </w:pPr>
            <w:r>
              <w:t xml:space="preserve">Analyze forms and traditions of thought or expression in relation to cultural, historical, political, and social contexts, as for example, dance, </w:t>
            </w:r>
            <w:proofErr w:type="spellStart"/>
            <w:r>
              <w:t>foodways</w:t>
            </w:r>
            <w:proofErr w:type="spellEnd"/>
            <w:r>
              <w:t>, literature, music, and philosophical and religious traditions.</w:t>
            </w:r>
          </w:p>
          <w:p w14:paraId="3F2359D0" w14:textId="77777777" w:rsidR="00481495" w:rsidRDefault="00656147" w:rsidP="00A924C0">
            <w:pPr>
              <w:pStyle w:val="RubricPreamble"/>
              <w:numPr>
                <w:ilvl w:val="0"/>
                <w:numId w:val="33"/>
              </w:numPr>
              <w:spacing w:after="0"/>
              <w:ind w:left="1260"/>
            </w:pPr>
            <w:r>
              <w:t>Use a comparative, intersectional, or relational framework to examine the experiences, cultures, or histories of two or more social groups or constituencies within a single society or across societies, or within a single historical timeframe or across historical time.</w:t>
            </w:r>
          </w:p>
          <w:p w14:paraId="44DA3F01" w14:textId="0E983030" w:rsidR="00A924C0" w:rsidRPr="00795C67" w:rsidRDefault="00A924C0" w:rsidP="00A924C0">
            <w:pPr>
              <w:pStyle w:val="RubricPreamble"/>
              <w:spacing w:after="0"/>
              <w:ind w:left="1260"/>
            </w:pPr>
          </w:p>
        </w:tc>
      </w:tr>
      <w:tr w:rsidR="00D7168D" w:rsidRPr="00C5515D" w14:paraId="7827D2E5" w14:textId="77777777" w:rsidTr="00A924C0">
        <w:tc>
          <w:tcPr>
            <w:tcW w:w="71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307920" w14:textId="77777777" w:rsidR="00D7168D" w:rsidRPr="007B0BBA" w:rsidRDefault="00D7168D" w:rsidP="00B14A4A">
            <w:pPr>
              <w:pStyle w:val="TableHeader"/>
            </w:pPr>
            <w:r w:rsidRPr="007B0BBA">
              <w:t xml:space="preserve">Criterion </w:t>
            </w:r>
            <w:r w:rsidRPr="007B0BBA">
              <w:br/>
              <w:t>for review of student work</w:t>
            </w:r>
          </w:p>
        </w:tc>
        <w:tc>
          <w:tcPr>
            <w:tcW w:w="4286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38B68" w14:textId="77777777" w:rsidR="00D7168D" w:rsidRPr="007B0BBA" w:rsidRDefault="007B0BBA" w:rsidP="00B14A4A">
            <w:pPr>
              <w:pStyle w:val="TableHeader"/>
            </w:pPr>
            <w:r w:rsidRPr="007B0BBA">
              <w:t>Descriptions of levels of student performance</w:t>
            </w:r>
          </w:p>
        </w:tc>
      </w:tr>
      <w:tr w:rsidR="00A924C0" w:rsidRPr="00C5515D" w14:paraId="2237CCA0" w14:textId="77777777" w:rsidTr="00A924C0">
        <w:trPr>
          <w:trHeight w:val="20"/>
        </w:trPr>
        <w:tc>
          <w:tcPr>
            <w:tcW w:w="714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28B49" w14:textId="77777777" w:rsidR="00D7168D" w:rsidRPr="007B0BBA" w:rsidRDefault="00D7168D" w:rsidP="00EC59AE">
            <w:pPr>
              <w:spacing w:after="0" w:line="0" w:lineRule="atLeast"/>
              <w:rPr>
                <w:rFonts w:eastAsia="Times New Roman" w:cs="Times New Roman"/>
                <w:b/>
                <w:szCs w:val="20"/>
              </w:rPr>
            </w:pP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363F2B" w14:textId="77777777" w:rsidR="00D7168D" w:rsidRPr="007B0BBA" w:rsidRDefault="00D7168D" w:rsidP="00A924C0">
            <w:pPr>
              <w:pStyle w:val="TableHeader"/>
              <w:rPr>
                <w:rFonts w:cs="Times New Roman"/>
              </w:rPr>
            </w:pPr>
            <w:r w:rsidRPr="007B0BBA">
              <w:t>Advanced</w:t>
            </w:r>
          </w:p>
        </w:tc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2231AF" w14:textId="77777777" w:rsidR="00D7168D" w:rsidRPr="007B0BBA" w:rsidRDefault="00D7168D" w:rsidP="00A924C0">
            <w:pPr>
              <w:pStyle w:val="TableHeader"/>
              <w:rPr>
                <w:rFonts w:cs="Times New Roman"/>
              </w:rPr>
            </w:pPr>
            <w:r w:rsidRPr="007B0BBA">
              <w:t>Proficient</w:t>
            </w:r>
          </w:p>
        </w:tc>
        <w:tc>
          <w:tcPr>
            <w:tcW w:w="9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D8D0FA" w14:textId="77777777" w:rsidR="00D7168D" w:rsidRPr="007B0BBA" w:rsidRDefault="00D7168D" w:rsidP="00A924C0">
            <w:pPr>
              <w:pStyle w:val="TableHeader"/>
              <w:rPr>
                <w:rFonts w:cs="Times New Roman"/>
              </w:rPr>
            </w:pPr>
            <w:r w:rsidRPr="007B0BBA">
              <w:t>Beginning</w:t>
            </w:r>
          </w:p>
        </w:tc>
        <w:tc>
          <w:tcPr>
            <w:tcW w:w="1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D5EED2" w14:textId="77777777" w:rsidR="00D7168D" w:rsidRPr="007B0BBA" w:rsidRDefault="00D7168D" w:rsidP="00A924C0">
            <w:pPr>
              <w:pStyle w:val="TableHeader"/>
              <w:rPr>
                <w:rFonts w:cs="Times New Roman"/>
              </w:rPr>
            </w:pPr>
            <w:r w:rsidRPr="007B0BBA">
              <w:t>Unacceptable</w:t>
            </w:r>
          </w:p>
        </w:tc>
      </w:tr>
      <w:tr w:rsidR="00A924C0" w:rsidRPr="00C5515D" w14:paraId="34E595AF" w14:textId="77777777" w:rsidTr="00A924C0">
        <w:trPr>
          <w:trHeight w:val="2697"/>
        </w:trPr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B1E3E6" w14:textId="77777777" w:rsidR="00C36037" w:rsidRDefault="00C36037" w:rsidP="00481495">
            <w:pPr>
              <w:pStyle w:val="CriterionHeading"/>
            </w:pPr>
            <w:r w:rsidRPr="00C06C82">
              <w:t>Concepts</w:t>
            </w:r>
          </w:p>
          <w:p w14:paraId="6EA3E2EA" w14:textId="77777777" w:rsidR="00C36037" w:rsidRDefault="00C36037" w:rsidP="00481495">
            <w:pPr>
              <w:pStyle w:val="RubricPreamble"/>
              <w:spacing w:after="0"/>
            </w:pPr>
            <w:r>
              <w:t>Can articulate fundamental concepts and one or more bases for human diversity (biological, cultural, historical, social, economic, or ideology).</w:t>
            </w:r>
          </w:p>
          <w:p w14:paraId="3080DD3A" w14:textId="60190630" w:rsidR="00481495" w:rsidRPr="00C36037" w:rsidRDefault="00481495" w:rsidP="00481495">
            <w:pPr>
              <w:pStyle w:val="CellText"/>
            </w:pPr>
            <w:r w:rsidRPr="009F5113">
              <w:t>(Learning outcome 1)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B3B869" w14:textId="6BDAF1CC" w:rsidR="00C36037" w:rsidRPr="007524ED" w:rsidRDefault="00C36037" w:rsidP="00481495">
            <w:pPr>
              <w:pStyle w:val="CellBullet"/>
            </w:pPr>
            <w:r w:rsidRPr="007524ED">
              <w:rPr>
                <w:b/>
                <w:i/>
              </w:rPr>
              <w:t>In addition to</w:t>
            </w:r>
            <w:r w:rsidRPr="007524ED">
              <w:t xml:space="preserve"> accurately recalling, defining</w:t>
            </w:r>
            <w:r>
              <w:t>,</w:t>
            </w:r>
            <w:r w:rsidRPr="007524ED">
              <w:t xml:space="preserve"> and describing key concepts, is able to explain theories underlying key concepts</w:t>
            </w:r>
            <w:r w:rsidR="00481495">
              <w:t xml:space="preserve"> and distinguishes between examples</w:t>
            </w:r>
          </w:p>
          <w:p w14:paraId="3BB672C8" w14:textId="77777777" w:rsidR="00C36037" w:rsidRPr="007524ED" w:rsidRDefault="00C36037" w:rsidP="00C36037">
            <w:pPr>
              <w:pStyle w:val="CellBullet"/>
            </w:pPr>
            <w:r>
              <w:t>Can</w:t>
            </w:r>
            <w:r w:rsidRPr="007524ED">
              <w:t xml:space="preserve"> differentiate related concepts that are distinct from each other</w:t>
            </w:r>
          </w:p>
          <w:p w14:paraId="615E25F1" w14:textId="497B1D83" w:rsidR="00C36037" w:rsidRPr="007524ED" w:rsidRDefault="00C36037" w:rsidP="00C36037">
            <w:pPr>
              <w:pStyle w:val="CellBullet"/>
            </w:pPr>
            <w:r>
              <w:t>Can</w:t>
            </w:r>
            <w:r w:rsidRPr="007524ED">
              <w:t xml:space="preserve"> apply </w:t>
            </w:r>
            <w:r>
              <w:t xml:space="preserve">(e.g., complicates, challenges, opens up) </w:t>
            </w:r>
            <w:r w:rsidRPr="007524ED">
              <w:t xml:space="preserve">key concepts or theories </w:t>
            </w:r>
            <w:r>
              <w:t>to</w:t>
            </w:r>
            <w:r w:rsidRPr="007524ED">
              <w:t xml:space="preserve"> </w:t>
            </w:r>
            <w:r w:rsidRPr="007524ED">
              <w:rPr>
                <w:i/>
              </w:rPr>
              <w:t>novel</w:t>
            </w:r>
            <w:r w:rsidRPr="007524ED">
              <w:t xml:space="preserve"> contexts</w:t>
            </w:r>
            <w:r w:rsidR="00481495">
              <w:t xml:space="preserve"> and provides specific examples</w:t>
            </w:r>
          </w:p>
        </w:tc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E26CBC" w14:textId="1C0F1784" w:rsidR="00C36037" w:rsidRPr="007524ED" w:rsidRDefault="00C36037" w:rsidP="00C36037">
            <w:pPr>
              <w:pStyle w:val="CellBullet"/>
            </w:pPr>
            <w:r w:rsidRPr="007524ED">
              <w:t xml:space="preserve">Accurately recalls, defines </w:t>
            </w:r>
            <w:r w:rsidR="00A924C0">
              <w:t>and</w:t>
            </w:r>
            <w:r w:rsidRPr="007524ED">
              <w:t xml:space="preserve"> describes many key concepts</w:t>
            </w:r>
          </w:p>
          <w:p w14:paraId="50724E80" w14:textId="1CDA0974" w:rsidR="00C36037" w:rsidRPr="007524ED" w:rsidRDefault="00C36037" w:rsidP="00C36037">
            <w:pPr>
              <w:pStyle w:val="CellBullet"/>
            </w:pPr>
            <w:r w:rsidRPr="007524ED">
              <w:t>Can articulate theories associated with and relationships among key concepts</w:t>
            </w:r>
            <w:r w:rsidR="00A924C0">
              <w:t xml:space="preserve"> and provides limit</w:t>
            </w:r>
            <w:r w:rsidR="009C05BF">
              <w:t>ed examples related to concepts</w:t>
            </w:r>
          </w:p>
          <w:p w14:paraId="4C3A550C" w14:textId="77777777" w:rsidR="00C36037" w:rsidRPr="007524ED" w:rsidRDefault="00C36037" w:rsidP="00C36037">
            <w:pPr>
              <w:pStyle w:val="CellBullet"/>
            </w:pPr>
            <w:r>
              <w:t>Can</w:t>
            </w:r>
            <w:r w:rsidRPr="007524ED">
              <w:t xml:space="preserve"> apply concepts in contexts discussed in class or readings</w:t>
            </w:r>
          </w:p>
        </w:tc>
        <w:tc>
          <w:tcPr>
            <w:tcW w:w="9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DD9150" w14:textId="77777777" w:rsidR="00C36037" w:rsidRPr="007524ED" w:rsidRDefault="00C36037" w:rsidP="00C36037">
            <w:pPr>
              <w:pStyle w:val="CellBullet"/>
            </w:pPr>
            <w:r w:rsidRPr="007524ED">
              <w:t>Correctly recognizes or defines core concepts but has difficulty recalling key ideas or describing relationships between concepts</w:t>
            </w:r>
          </w:p>
          <w:p w14:paraId="731C8FBD" w14:textId="77777777" w:rsidR="00C36037" w:rsidRPr="007524ED" w:rsidRDefault="00C36037" w:rsidP="00C36037">
            <w:pPr>
              <w:pStyle w:val="CellBullet"/>
            </w:pPr>
            <w:r w:rsidRPr="007524ED">
              <w:t xml:space="preserve">Shows </w:t>
            </w:r>
            <w:r>
              <w:t>some</w:t>
            </w:r>
            <w:r w:rsidRPr="007524ED">
              <w:t xml:space="preserve"> capacity to apply concepts, theories or empirical observations to examples described in course</w:t>
            </w:r>
          </w:p>
        </w:tc>
        <w:tc>
          <w:tcPr>
            <w:tcW w:w="1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C3323C" w14:textId="77777777" w:rsidR="00C36037" w:rsidRPr="007524ED" w:rsidRDefault="00C36037" w:rsidP="00C36037">
            <w:pPr>
              <w:pStyle w:val="CellBullet"/>
            </w:pPr>
            <w:r w:rsidRPr="007524ED">
              <w:t>Cannot consistently define or describe core concepts when these are presented</w:t>
            </w:r>
          </w:p>
          <w:p w14:paraId="406AE2EA" w14:textId="77777777" w:rsidR="00C36037" w:rsidRPr="007524ED" w:rsidRDefault="00C36037" w:rsidP="00C36037">
            <w:pPr>
              <w:pStyle w:val="CellBullet"/>
            </w:pPr>
            <w:r w:rsidRPr="007524ED">
              <w:t>Fails to understand many simple relationships among concepts</w:t>
            </w:r>
          </w:p>
          <w:p w14:paraId="5F9010E9" w14:textId="77777777" w:rsidR="00C36037" w:rsidRPr="007524ED" w:rsidRDefault="00C36037" w:rsidP="00C36037">
            <w:pPr>
              <w:pStyle w:val="CellBullet"/>
            </w:pPr>
            <w:r w:rsidRPr="007524ED">
              <w:t>Relies on peers or instructor to apply concepts even in contexts discussed explicitly in class or readings</w:t>
            </w:r>
          </w:p>
        </w:tc>
      </w:tr>
      <w:tr w:rsidR="00A924C0" w:rsidRPr="00C5515D" w14:paraId="0A67DE18" w14:textId="77777777" w:rsidTr="00A924C0">
        <w:trPr>
          <w:cantSplit/>
          <w:trHeight w:val="1320"/>
        </w:trPr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AC28A6" w14:textId="77777777" w:rsidR="00C36037" w:rsidRDefault="00C36037" w:rsidP="00C36037">
            <w:pPr>
              <w:pStyle w:val="CriterionHeading"/>
            </w:pPr>
            <w:r w:rsidRPr="00C06C82">
              <w:lastRenderedPageBreak/>
              <w:t>Methods</w:t>
            </w:r>
          </w:p>
          <w:p w14:paraId="244AE782" w14:textId="77777777" w:rsidR="00C36037" w:rsidRDefault="00C36037" w:rsidP="00A924C0">
            <w:pPr>
              <w:pStyle w:val="CriterionDesciption"/>
            </w:pPr>
            <w:r>
              <w:t xml:space="preserve">Can describe or use </w:t>
            </w:r>
            <w:r w:rsidRPr="00C06C82">
              <w:t>methodologies</w:t>
            </w:r>
            <w:r>
              <w:t xml:space="preserve"> (close readings, historical analysis, qualitative interviews, survey research, etc.)</w:t>
            </w:r>
            <w:r w:rsidRPr="00C06C82">
              <w:t xml:space="preserve"> that produce knowledge about human diversity </w:t>
            </w:r>
            <w:r w:rsidR="00A924C0">
              <w:t>and</w:t>
            </w:r>
            <w:r w:rsidRPr="00C06C82">
              <w:t xml:space="preserve"> plural societies</w:t>
            </w:r>
            <w:r>
              <w:t>.</w:t>
            </w:r>
          </w:p>
          <w:p w14:paraId="75A04C7B" w14:textId="68A01EA5" w:rsidR="00A924C0" w:rsidRPr="00C36037" w:rsidRDefault="00A924C0" w:rsidP="00A924C0">
            <w:pPr>
              <w:pStyle w:val="CriterionDesciption"/>
            </w:pPr>
            <w:r w:rsidRPr="009F5113">
              <w:t>(Learning outcome #2)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A30545" w14:textId="77777777" w:rsidR="00C36037" w:rsidRPr="007524ED" w:rsidRDefault="00C36037" w:rsidP="00C36037">
            <w:pPr>
              <w:pStyle w:val="CellBullet"/>
            </w:pPr>
            <w:r>
              <w:t>Explains</w:t>
            </w:r>
            <w:r w:rsidRPr="007524ED">
              <w:t xml:space="preserve"> how to apply methodology and derive a valid interpretation from this application</w:t>
            </w:r>
          </w:p>
          <w:p w14:paraId="060DE1D7" w14:textId="17D5ACF8" w:rsidR="00C36037" w:rsidRPr="007524ED" w:rsidRDefault="00C36037" w:rsidP="00C36037">
            <w:pPr>
              <w:pStyle w:val="CellBullet"/>
            </w:pPr>
            <w:r>
              <w:t>Can describe</w:t>
            </w:r>
            <w:r w:rsidRPr="007524ED">
              <w:t xml:space="preserve"> rationale underlying methods and their unique benefits </w:t>
            </w:r>
            <w:r w:rsidR="00A924C0">
              <w:t>and</w:t>
            </w:r>
            <w:r w:rsidRPr="007524ED">
              <w:t xml:space="preserve"> drawbacks</w:t>
            </w:r>
          </w:p>
          <w:p w14:paraId="5D9DAA4E" w14:textId="00BBC93A" w:rsidR="00C36037" w:rsidRPr="007524ED" w:rsidRDefault="00C36037" w:rsidP="00A924C0">
            <w:pPr>
              <w:pStyle w:val="CellBullet"/>
              <w:rPr>
                <w:i/>
                <w:iCs/>
                <w:color w:val="404040" w:themeColor="text1" w:themeTint="BF"/>
              </w:rPr>
            </w:pPr>
            <w:r w:rsidRPr="007524ED">
              <w:t xml:space="preserve">Critically evaluates quality of information or analysis produced, based on methodologies used to </w:t>
            </w:r>
            <w:r w:rsidR="00A924C0">
              <w:t>g</w:t>
            </w:r>
            <w:r w:rsidRPr="007524ED">
              <w:t>enerate information</w:t>
            </w:r>
          </w:p>
        </w:tc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9B4AD5" w14:textId="00E12E04" w:rsidR="00C36037" w:rsidRPr="007524ED" w:rsidRDefault="00C36037" w:rsidP="00C36037">
            <w:pPr>
              <w:pStyle w:val="CellBullet"/>
            </w:pPr>
            <w:r w:rsidRPr="007524ED">
              <w:t xml:space="preserve">Is able to describe methods used </w:t>
            </w:r>
            <w:r w:rsidR="00A924C0">
              <w:t>and</w:t>
            </w:r>
            <w:r w:rsidRPr="007524ED">
              <w:t xml:space="preserve"> type of information or analysis produced </w:t>
            </w:r>
          </w:p>
          <w:p w14:paraId="54926E59" w14:textId="5C74F719" w:rsidR="00C36037" w:rsidRPr="007524ED" w:rsidRDefault="00C36037" w:rsidP="00C36037">
            <w:pPr>
              <w:pStyle w:val="CellBullet"/>
            </w:pPr>
            <w:r>
              <w:t>Can explain</w:t>
            </w:r>
            <w:r w:rsidRPr="007524ED">
              <w:t xml:space="preserve"> why a method is used but does not comprehend the full range of benefits </w:t>
            </w:r>
            <w:r w:rsidR="00A924C0">
              <w:t>and</w:t>
            </w:r>
            <w:r w:rsidRPr="007524ED">
              <w:t xml:space="preserve"> drawbacks</w:t>
            </w:r>
          </w:p>
          <w:p w14:paraId="10A0232D" w14:textId="77777777" w:rsidR="00C36037" w:rsidRPr="007524ED" w:rsidRDefault="00C36037" w:rsidP="00C36037">
            <w:pPr>
              <w:pStyle w:val="CellBullet"/>
            </w:pPr>
            <w:r w:rsidRPr="007524ED">
              <w:t xml:space="preserve">Is able to distinguish stronger from weaker applications of a given method </w:t>
            </w:r>
          </w:p>
        </w:tc>
        <w:tc>
          <w:tcPr>
            <w:tcW w:w="9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723CD4" w14:textId="77777777" w:rsidR="00C36037" w:rsidRPr="007524ED" w:rsidRDefault="00C36037" w:rsidP="00C36037">
            <w:pPr>
              <w:pStyle w:val="CellBullet"/>
            </w:pPr>
            <w:r w:rsidRPr="007524ED">
              <w:t xml:space="preserve">Recognizes methods used &amp; type(s) of data produced </w:t>
            </w:r>
          </w:p>
          <w:p w14:paraId="3B9475CB" w14:textId="77777777" w:rsidR="00C36037" w:rsidRPr="007524ED" w:rsidRDefault="00C36037" w:rsidP="00C36037">
            <w:pPr>
              <w:pStyle w:val="CellBullet"/>
            </w:pPr>
            <w:r w:rsidRPr="007524ED">
              <w:t xml:space="preserve">Does not fully appreciate the rationale underlying use of method(s) </w:t>
            </w:r>
          </w:p>
          <w:p w14:paraId="4977D259" w14:textId="77777777" w:rsidR="00C36037" w:rsidRPr="007524ED" w:rsidRDefault="00C36037" w:rsidP="00C36037">
            <w:pPr>
              <w:pStyle w:val="CellBullet"/>
            </w:pPr>
            <w:r w:rsidRPr="007524ED">
              <w:t>Recognizes that methods can be used well vs. poorly (e.g., that various methods differ in quality of data produced)</w:t>
            </w:r>
          </w:p>
        </w:tc>
        <w:tc>
          <w:tcPr>
            <w:tcW w:w="1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CD85DD" w14:textId="77777777" w:rsidR="00C36037" w:rsidRPr="007524ED" w:rsidRDefault="00C36037" w:rsidP="00C36037">
            <w:pPr>
              <w:pStyle w:val="CellBullet"/>
            </w:pPr>
            <w:r w:rsidRPr="007524ED">
              <w:t xml:space="preserve">Cannot recognize methods used or the type(s) of data produced </w:t>
            </w:r>
          </w:p>
          <w:p w14:paraId="2B95277C" w14:textId="77777777" w:rsidR="00C36037" w:rsidRPr="007524ED" w:rsidRDefault="00C36037" w:rsidP="00C36037">
            <w:pPr>
              <w:pStyle w:val="CellBullet"/>
            </w:pPr>
            <w:r w:rsidRPr="007524ED">
              <w:t xml:space="preserve">Is unable to distinguish acceptable from unsound applications of method </w:t>
            </w:r>
          </w:p>
          <w:p w14:paraId="14187C5E" w14:textId="77777777" w:rsidR="00C36037" w:rsidRPr="007524ED" w:rsidRDefault="00C36037" w:rsidP="00C36037">
            <w:pPr>
              <w:pStyle w:val="CellBullet"/>
              <w:rPr>
                <w:i/>
                <w:iCs/>
                <w:color w:val="404040" w:themeColor="text1" w:themeTint="BF"/>
              </w:rPr>
            </w:pPr>
            <w:r w:rsidRPr="007524ED">
              <w:t>Is unaware of how to determine differences in quality of information or analysis</w:t>
            </w:r>
          </w:p>
        </w:tc>
      </w:tr>
      <w:tr w:rsidR="00A924C0" w:rsidRPr="00C5515D" w14:paraId="3BC0299A" w14:textId="77777777" w:rsidTr="00A924C0">
        <w:trPr>
          <w:trHeight w:val="1320"/>
        </w:trPr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BFFE2F" w14:textId="77777777" w:rsidR="00C36037" w:rsidRDefault="00C36037" w:rsidP="00C36037">
            <w:pPr>
              <w:pStyle w:val="CriterionHeading"/>
            </w:pPr>
            <w:r>
              <w:t>C</w:t>
            </w:r>
            <w:r w:rsidRPr="00C06C82">
              <w:t>ritical evaluation</w:t>
            </w:r>
          </w:p>
          <w:p w14:paraId="59872524" w14:textId="77777777" w:rsidR="00C36037" w:rsidRDefault="00C36037" w:rsidP="00C36037">
            <w:pPr>
              <w:pStyle w:val="CriterionDesciption"/>
            </w:pPr>
            <w:r>
              <w:t xml:space="preserve">Offers </w:t>
            </w:r>
            <w:r w:rsidRPr="00C06C82">
              <w:t xml:space="preserve">critical </w:t>
            </w:r>
            <w:r>
              <w:t>analysis:</w:t>
            </w:r>
          </w:p>
          <w:p w14:paraId="30A8CEA4" w14:textId="77777777" w:rsidR="00C36037" w:rsidRDefault="00C36037" w:rsidP="00C36037">
            <w:pPr>
              <w:pStyle w:val="CriterionDesciption"/>
              <w:numPr>
                <w:ilvl w:val="0"/>
                <w:numId w:val="31"/>
              </w:numPr>
            </w:pPr>
            <w:r>
              <w:t>Of s</w:t>
            </w:r>
            <w:r w:rsidRPr="00597DDB">
              <w:t xml:space="preserve">ocial or institutional structures or ideologies that create or disrupt hierarchies, </w:t>
            </w:r>
          </w:p>
          <w:p w14:paraId="570C2705" w14:textId="77777777" w:rsidR="00C36037" w:rsidRDefault="00C36037" w:rsidP="00C36037">
            <w:pPr>
              <w:pStyle w:val="CriterionDesciption"/>
              <w:numPr>
                <w:ilvl w:val="0"/>
                <w:numId w:val="31"/>
              </w:numPr>
            </w:pPr>
            <w:r>
              <w:t xml:space="preserve">Of traditional hierarchies or social categories, </w:t>
            </w:r>
            <w:r w:rsidRPr="00597DDB">
              <w:t>o</w:t>
            </w:r>
            <w:r>
              <w:t>r</w:t>
            </w:r>
          </w:p>
          <w:p w14:paraId="0841C290" w14:textId="77777777" w:rsidR="00C36037" w:rsidRPr="00597DDB" w:rsidRDefault="00C36037" w:rsidP="00C36037">
            <w:pPr>
              <w:pStyle w:val="CriterionDesciption"/>
              <w:numPr>
                <w:ilvl w:val="0"/>
                <w:numId w:val="31"/>
              </w:numPr>
            </w:pPr>
            <w:r>
              <w:t>Using c</w:t>
            </w:r>
            <w:r w:rsidRPr="00597DDB">
              <w:t>omparative</w:t>
            </w:r>
            <w:r>
              <w:t>, intersectional or relational</w:t>
            </w:r>
            <w:r w:rsidRPr="00597DDB">
              <w:t xml:space="preserve"> frameworks</w:t>
            </w:r>
          </w:p>
          <w:p w14:paraId="5DD1B653" w14:textId="49873CDE" w:rsidR="00C36037" w:rsidRPr="00C06C82" w:rsidRDefault="00A924C0" w:rsidP="00A924C0">
            <w:pPr>
              <w:pStyle w:val="CellText"/>
            </w:pPr>
            <w:r w:rsidRPr="009F5113">
              <w:t>(Learning outcomes #3,4,5, &amp; 6)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4C67D7" w14:textId="77777777" w:rsidR="00C36037" w:rsidRPr="007524ED" w:rsidRDefault="00C36037" w:rsidP="00C36037">
            <w:pPr>
              <w:pStyle w:val="CellBullet"/>
            </w:pPr>
            <w:r w:rsidRPr="007524ED">
              <w:t xml:space="preserve">Consistently distinguishes evidence from interpretation </w:t>
            </w:r>
          </w:p>
          <w:p w14:paraId="7B388D33" w14:textId="77777777" w:rsidR="00C36037" w:rsidRPr="007524ED" w:rsidRDefault="00C36037" w:rsidP="00C36037">
            <w:pPr>
              <w:pStyle w:val="CellBullet"/>
            </w:pPr>
            <w:r w:rsidRPr="007524ED">
              <w:t>Recognizes conditions under which assumptions are and are not defensible</w:t>
            </w:r>
          </w:p>
          <w:p w14:paraId="438DE586" w14:textId="77777777" w:rsidR="00C36037" w:rsidRPr="007524ED" w:rsidRDefault="00C36037" w:rsidP="00C36037">
            <w:pPr>
              <w:pStyle w:val="CellBullet"/>
            </w:pPr>
            <w:r w:rsidRPr="007524ED">
              <w:t xml:space="preserve">Consistently applies an intersectional or comparative framework to illustrate complex understanding of identity formation </w:t>
            </w:r>
          </w:p>
          <w:p w14:paraId="35AB133B" w14:textId="77777777" w:rsidR="00C36037" w:rsidRPr="007524ED" w:rsidRDefault="00C36037" w:rsidP="00C36037">
            <w:pPr>
              <w:pStyle w:val="CellBullet"/>
            </w:pPr>
            <w:r>
              <w:t>Recognizes</w:t>
            </w:r>
            <w:r w:rsidRPr="007524ED">
              <w:t xml:space="preserve"> that identity formation is relational across groups and that relative power can be an important factor in intergroup relations</w:t>
            </w:r>
          </w:p>
        </w:tc>
        <w:tc>
          <w:tcPr>
            <w:tcW w:w="10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0D9832" w14:textId="1A4E786B" w:rsidR="00C36037" w:rsidRPr="007524ED" w:rsidRDefault="00C36037" w:rsidP="00C36037">
            <w:pPr>
              <w:pStyle w:val="CellBullet"/>
            </w:pPr>
            <w:r w:rsidRPr="007524ED">
              <w:t xml:space="preserve">Is able to differentiate between evidence </w:t>
            </w:r>
            <w:r w:rsidR="00A924C0">
              <w:t>and</w:t>
            </w:r>
            <w:r w:rsidRPr="007524ED">
              <w:t xml:space="preserve"> interpretation</w:t>
            </w:r>
          </w:p>
          <w:p w14:paraId="4794A73B" w14:textId="19A97651" w:rsidR="00C36037" w:rsidRPr="007524ED" w:rsidRDefault="00C36037" w:rsidP="00C36037">
            <w:pPr>
              <w:pStyle w:val="CellBullet"/>
            </w:pPr>
            <w:r w:rsidRPr="007524ED">
              <w:t xml:space="preserve">Sometimes recognizes assumptions </w:t>
            </w:r>
            <w:r w:rsidR="00A924C0">
              <w:t>and</w:t>
            </w:r>
            <w:r w:rsidRPr="007524ED">
              <w:t xml:space="preserve"> their role in modifying conclusions (i.e., does not do this consistently)</w:t>
            </w:r>
          </w:p>
          <w:p w14:paraId="2CE06005" w14:textId="77777777" w:rsidR="00C36037" w:rsidRPr="007524ED" w:rsidRDefault="00C36037" w:rsidP="00C36037">
            <w:pPr>
              <w:pStyle w:val="CellBullet"/>
            </w:pPr>
            <w:r w:rsidRPr="007524ED">
              <w:t>Is able to apply an intersectional or comparative framework to understand identity formation</w:t>
            </w:r>
          </w:p>
          <w:p w14:paraId="36D074A3" w14:textId="77777777" w:rsidR="00C36037" w:rsidRPr="007524ED" w:rsidRDefault="00C36037" w:rsidP="00C36037">
            <w:pPr>
              <w:pStyle w:val="CellBullet"/>
            </w:pPr>
            <w:r>
              <w:t>Recognizes</w:t>
            </w:r>
            <w:r w:rsidRPr="007524ED">
              <w:t xml:space="preserve"> that identity formation is relational across groups</w:t>
            </w:r>
          </w:p>
        </w:tc>
        <w:tc>
          <w:tcPr>
            <w:tcW w:w="95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175C5D" w14:textId="77777777" w:rsidR="00C36037" w:rsidRPr="007524ED" w:rsidRDefault="00C36037" w:rsidP="00C36037">
            <w:pPr>
              <w:pStyle w:val="CellBullet"/>
            </w:pPr>
            <w:r w:rsidRPr="007524ED">
              <w:t>Recognizes that evidence differs from interpretation but has difficulty applying these concepts correctly</w:t>
            </w:r>
          </w:p>
          <w:p w14:paraId="793F631A" w14:textId="77777777" w:rsidR="00C36037" w:rsidRPr="007524ED" w:rsidRDefault="00C36037" w:rsidP="00C36037">
            <w:pPr>
              <w:pStyle w:val="CellBullet"/>
            </w:pPr>
            <w:r w:rsidRPr="007524ED">
              <w:t xml:space="preserve">Is able to differentiate stronger from weaker reasoning at a gross level when evaluating argument strength </w:t>
            </w:r>
          </w:p>
          <w:p w14:paraId="0FC9DE73" w14:textId="77777777" w:rsidR="00C36037" w:rsidRPr="007524ED" w:rsidRDefault="00C36037" w:rsidP="00C36037">
            <w:pPr>
              <w:pStyle w:val="CellBullet"/>
            </w:pPr>
            <w:r w:rsidRPr="007524ED">
              <w:t xml:space="preserve">Can give an example of an intersectional or comparative framework </w:t>
            </w:r>
          </w:p>
        </w:tc>
        <w:tc>
          <w:tcPr>
            <w:tcW w:w="10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679AF2" w14:textId="77777777" w:rsidR="00C36037" w:rsidRPr="007524ED" w:rsidRDefault="00C36037" w:rsidP="00C36037">
            <w:pPr>
              <w:pStyle w:val="CellBullet"/>
            </w:pPr>
            <w:r w:rsidRPr="007524ED">
              <w:t>Fails to identify logical flaws in reasoning or exhibits logical fallacies in own arguments</w:t>
            </w:r>
          </w:p>
          <w:p w14:paraId="77B02674" w14:textId="77777777" w:rsidR="00C36037" w:rsidRPr="007524ED" w:rsidRDefault="00C36037" w:rsidP="00C36037">
            <w:pPr>
              <w:pStyle w:val="CellBullet"/>
            </w:pPr>
            <w:r w:rsidRPr="007524ED">
              <w:t>Fails to identify the ways in which multiple identities might be represented or instituted or how they might inform one another</w:t>
            </w:r>
          </w:p>
        </w:tc>
      </w:tr>
      <w:tr w:rsidR="00C36037" w:rsidRPr="00C5515D" w14:paraId="28551FAE" w14:textId="77777777" w:rsidTr="007B3689">
        <w:trPr>
          <w:trHeight w:val="25"/>
        </w:trPr>
        <w:tc>
          <w:tcPr>
            <w:tcW w:w="5000" w:type="pct"/>
            <w:gridSpan w:val="6"/>
            <w:tcBorders>
              <w:top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38709F" w14:textId="77777777" w:rsidR="00C36037" w:rsidRDefault="00C36037" w:rsidP="000C7796">
            <w:pPr>
              <w:pStyle w:val="Postamble"/>
            </w:pPr>
            <w:r w:rsidRPr="007B3689">
              <w:t xml:space="preserve">The </w:t>
            </w:r>
            <w:r w:rsidR="00D811DD">
              <w:fldChar w:fldCharType="begin"/>
            </w:r>
            <w:r w:rsidR="00D811DD">
              <w:instrText xml:space="preserve"> REF GenEdCat \* MERGEFORMAT </w:instrText>
            </w:r>
            <w:r w:rsidR="00D811DD">
              <w:fldChar w:fldCharType="separate"/>
            </w:r>
            <w:r w:rsidR="002C7D92">
              <w:t>Understanding Plural Societies</w:t>
            </w:r>
            <w:r w:rsidR="00D811DD">
              <w:fldChar w:fldCharType="end"/>
            </w:r>
            <w:r w:rsidRPr="007B3689">
              <w:t xml:space="preserve"> Rubric was developed by the</w:t>
            </w:r>
            <w:r>
              <w:t xml:space="preserve"> </w:t>
            </w:r>
            <w:r w:rsidR="00D811DD">
              <w:fldChar w:fldCharType="begin"/>
            </w:r>
            <w:r w:rsidR="00D811DD">
              <w:instrText xml:space="preserve"> REF GenEdCat \* MERGEFORMAT </w:instrText>
            </w:r>
            <w:r w:rsidR="00D811DD">
              <w:fldChar w:fldCharType="separate"/>
            </w:r>
            <w:r w:rsidR="002C7D92">
              <w:t>Understanding Plural Societies</w:t>
            </w:r>
            <w:r w:rsidR="00D811DD">
              <w:fldChar w:fldCharType="end"/>
            </w:r>
            <w:r>
              <w:t xml:space="preserve"> </w:t>
            </w:r>
            <w:r w:rsidRPr="007B3689">
              <w:t xml:space="preserve">Faculty Board, supported by the Office of Undergraduate Studies and the Office of Institutional Research, Planning, and Assessment with the </w:t>
            </w:r>
            <w:r w:rsidR="00D811DD">
              <w:fldChar w:fldCharType="begin"/>
            </w:r>
            <w:r w:rsidR="00D811DD">
              <w:instrText xml:space="preserve"> REF GenEdCat \* MERGEFORMAT </w:instrText>
            </w:r>
            <w:r w:rsidR="00D811DD">
              <w:fldChar w:fldCharType="separate"/>
            </w:r>
            <w:r w:rsidR="002C7D92">
              <w:t>Understanding Plural Societies</w:t>
            </w:r>
            <w:r w:rsidR="00D811DD">
              <w:fldChar w:fldCharType="end"/>
            </w:r>
            <w:r w:rsidRPr="007B3689">
              <w:t xml:space="preserve"> instructors upon r</w:t>
            </w:r>
            <w:r>
              <w:t xml:space="preserve">eview of the AAC&amp;U VALUE rubrics </w:t>
            </w:r>
            <w:r w:rsidRPr="007B3689">
              <w:t xml:space="preserve">and according to standards determined by the </w:t>
            </w:r>
            <w:r w:rsidR="00D811DD">
              <w:fldChar w:fldCharType="begin"/>
            </w:r>
            <w:r w:rsidR="00D811DD">
              <w:instrText xml:space="preserve"> REF GenEdCat \* MERGEFORMAT </w:instrText>
            </w:r>
            <w:r w:rsidR="00D811DD">
              <w:fldChar w:fldCharType="separate"/>
            </w:r>
            <w:r w:rsidR="002C7D92">
              <w:t>Understanding Plural Societies</w:t>
            </w:r>
            <w:r w:rsidR="00D811DD">
              <w:fldChar w:fldCharType="end"/>
            </w:r>
            <w:r w:rsidRPr="007B3689">
              <w:t xml:space="preserve"> Faculty Board for student performance in </w:t>
            </w:r>
            <w:r>
              <w:t xml:space="preserve">the </w:t>
            </w:r>
            <w:r w:rsidRPr="007B3689">
              <w:t xml:space="preserve">General Education </w:t>
            </w:r>
            <w:r w:rsidR="00D811DD">
              <w:fldChar w:fldCharType="begin"/>
            </w:r>
            <w:r w:rsidR="00D811DD">
              <w:instrText xml:space="preserve"> REF GenEdCat \* MERGEFORMAT </w:instrText>
            </w:r>
            <w:r w:rsidR="00D811DD">
              <w:fldChar w:fldCharType="separate"/>
            </w:r>
            <w:r w:rsidR="002C7D92">
              <w:t>Understanding Plural Societies</w:t>
            </w:r>
            <w:r w:rsidR="00D811DD">
              <w:fldChar w:fldCharType="end"/>
            </w:r>
            <w:r w:rsidRPr="007B3689">
              <w:t xml:space="preserve"> courses.  The rubric defines the standards for student performance in </w:t>
            </w:r>
            <w:r w:rsidR="00D811DD">
              <w:fldChar w:fldCharType="begin"/>
            </w:r>
            <w:r w:rsidR="00D811DD">
              <w:instrText xml:space="preserve"> REF GenEdCat \* MERGEFORMAT </w:instrText>
            </w:r>
            <w:r w:rsidR="00D811DD">
              <w:fldChar w:fldCharType="separate"/>
            </w:r>
            <w:r w:rsidR="002C7D92">
              <w:t>Understanding Plural Societies</w:t>
            </w:r>
            <w:r w:rsidR="00D811DD">
              <w:fldChar w:fldCharType="end"/>
            </w:r>
            <w:r>
              <w:t xml:space="preserve"> courses</w:t>
            </w:r>
            <w:r w:rsidRPr="007B3689">
              <w:t xml:space="preserve"> at the University of Maryland.</w:t>
            </w:r>
          </w:p>
          <w:p w14:paraId="5608BD5B" w14:textId="77777777" w:rsidR="00A924C0" w:rsidRDefault="00A924C0" w:rsidP="000C7796">
            <w:pPr>
              <w:pStyle w:val="Postamble"/>
            </w:pPr>
          </w:p>
        </w:tc>
      </w:tr>
    </w:tbl>
    <w:p w14:paraId="64AD24F5" w14:textId="77777777" w:rsidR="00A85BEC" w:rsidRDefault="00A85BEC" w:rsidP="00A85BEC"/>
    <w:sectPr w:rsidR="00A85BEC" w:rsidSect="002C7D92">
      <w:footerReference w:type="default" r:id="rId11"/>
      <w:pgSz w:w="15840" w:h="12240" w:orient="landscape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EE898" w14:textId="77777777" w:rsidR="00214280" w:rsidRDefault="00214280" w:rsidP="00142B6A">
      <w:pPr>
        <w:spacing w:after="0" w:line="240" w:lineRule="auto"/>
      </w:pPr>
      <w:r>
        <w:separator/>
      </w:r>
    </w:p>
  </w:endnote>
  <w:endnote w:type="continuationSeparator" w:id="0">
    <w:p w14:paraId="760BED11" w14:textId="77777777" w:rsidR="00214280" w:rsidRDefault="00214280" w:rsidP="0014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2713B" w14:textId="3B925BAD" w:rsidR="00FE28B8" w:rsidRPr="007E2181" w:rsidRDefault="00FE28B8" w:rsidP="007E2181">
    <w:pPr>
      <w:pStyle w:val="Header"/>
    </w:pPr>
    <w:r>
      <w:fldChar w:fldCharType="begin"/>
    </w:r>
    <w:r>
      <w:instrText xml:space="preserve"> SAVEDATE \@ "MMMM d, y" \* MERGEFORMAT </w:instrText>
    </w:r>
    <w:r>
      <w:fldChar w:fldCharType="separate"/>
    </w:r>
    <w:r w:rsidR="00D811DD">
      <w:rPr>
        <w:noProof/>
      </w:rPr>
      <w:t xml:space="preserve">May 14, </w:t>
    </w:r>
    <w:r w:rsidR="00D811DD">
      <w:rPr>
        <w:noProof/>
      </w:rPr>
      <w:t>20</w:t>
    </w:r>
    <w:r w:rsidR="00D811DD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F5D8" w14:textId="77777777" w:rsidR="00214280" w:rsidRDefault="00214280" w:rsidP="00142B6A">
      <w:pPr>
        <w:spacing w:after="0" w:line="240" w:lineRule="auto"/>
      </w:pPr>
      <w:r>
        <w:separator/>
      </w:r>
    </w:p>
  </w:footnote>
  <w:footnote w:type="continuationSeparator" w:id="0">
    <w:p w14:paraId="5BB24EE3" w14:textId="77777777" w:rsidR="00214280" w:rsidRDefault="00214280" w:rsidP="0014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693"/>
    <w:multiLevelType w:val="hybridMultilevel"/>
    <w:tmpl w:val="F51A8B7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232A5"/>
    <w:multiLevelType w:val="hybridMultilevel"/>
    <w:tmpl w:val="510E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F3630"/>
    <w:multiLevelType w:val="hybridMultilevel"/>
    <w:tmpl w:val="FC98E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122D1D"/>
    <w:multiLevelType w:val="hybridMultilevel"/>
    <w:tmpl w:val="E2243ABC"/>
    <w:lvl w:ilvl="0" w:tplc="5624263A">
      <w:numFmt w:val="bullet"/>
      <w:lvlText w:val="-"/>
      <w:lvlJc w:val="left"/>
      <w:pPr>
        <w:ind w:left="691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">
    <w:nsid w:val="10AA734E"/>
    <w:multiLevelType w:val="hybridMultilevel"/>
    <w:tmpl w:val="FD240948"/>
    <w:lvl w:ilvl="0" w:tplc="68B8FCF2">
      <w:start w:val="1"/>
      <w:numFmt w:val="bullet"/>
      <w:pStyle w:val="LearningOutcome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>
    <w:nsid w:val="11B743AB"/>
    <w:multiLevelType w:val="hybridMultilevel"/>
    <w:tmpl w:val="64DCE6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25919D1"/>
    <w:multiLevelType w:val="hybridMultilevel"/>
    <w:tmpl w:val="CD0E3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E32EF"/>
    <w:multiLevelType w:val="hybridMultilevel"/>
    <w:tmpl w:val="3A8C5B4E"/>
    <w:lvl w:ilvl="0" w:tplc="59241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40AF1"/>
    <w:multiLevelType w:val="hybridMultilevel"/>
    <w:tmpl w:val="5D8AEE18"/>
    <w:lvl w:ilvl="0" w:tplc="274AADC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77493"/>
    <w:multiLevelType w:val="hybridMultilevel"/>
    <w:tmpl w:val="CEDA2BDA"/>
    <w:lvl w:ilvl="0" w:tplc="5624263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7236C"/>
    <w:multiLevelType w:val="hybridMultilevel"/>
    <w:tmpl w:val="21CE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625B9C"/>
    <w:multiLevelType w:val="hybridMultilevel"/>
    <w:tmpl w:val="02BC58E4"/>
    <w:lvl w:ilvl="0" w:tplc="0AA4A5C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BE7910"/>
    <w:multiLevelType w:val="hybridMultilevel"/>
    <w:tmpl w:val="7116B5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27B50C7E"/>
    <w:multiLevelType w:val="multilevel"/>
    <w:tmpl w:val="9E325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302E1"/>
    <w:multiLevelType w:val="hybridMultilevel"/>
    <w:tmpl w:val="62A6155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>
    <w:nsid w:val="30B012B1"/>
    <w:multiLevelType w:val="hybridMultilevel"/>
    <w:tmpl w:val="8DB010FA"/>
    <w:lvl w:ilvl="0" w:tplc="040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6">
    <w:nsid w:val="316F3947"/>
    <w:multiLevelType w:val="hybridMultilevel"/>
    <w:tmpl w:val="1CCC4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86B92"/>
    <w:multiLevelType w:val="hybridMultilevel"/>
    <w:tmpl w:val="AE7078F6"/>
    <w:lvl w:ilvl="0" w:tplc="51F45E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44E23"/>
    <w:multiLevelType w:val="hybridMultilevel"/>
    <w:tmpl w:val="9C8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45DFC"/>
    <w:multiLevelType w:val="hybridMultilevel"/>
    <w:tmpl w:val="9E32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B53BC5"/>
    <w:multiLevelType w:val="hybridMultilevel"/>
    <w:tmpl w:val="7CC4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46078"/>
    <w:multiLevelType w:val="hybridMultilevel"/>
    <w:tmpl w:val="F578B828"/>
    <w:lvl w:ilvl="0" w:tplc="5624263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AE70B7"/>
    <w:multiLevelType w:val="hybridMultilevel"/>
    <w:tmpl w:val="D086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8E0A14"/>
    <w:multiLevelType w:val="hybridMultilevel"/>
    <w:tmpl w:val="92900752"/>
    <w:lvl w:ilvl="0" w:tplc="5624263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EF77BE"/>
    <w:multiLevelType w:val="hybridMultilevel"/>
    <w:tmpl w:val="0B900900"/>
    <w:lvl w:ilvl="0" w:tplc="5624263A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1D4527"/>
    <w:multiLevelType w:val="hybridMultilevel"/>
    <w:tmpl w:val="3EF8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861B24"/>
    <w:multiLevelType w:val="multilevel"/>
    <w:tmpl w:val="590EEA64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D730D"/>
    <w:multiLevelType w:val="hybridMultilevel"/>
    <w:tmpl w:val="C240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B0064E"/>
    <w:multiLevelType w:val="hybridMultilevel"/>
    <w:tmpl w:val="1DA2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155132"/>
    <w:multiLevelType w:val="hybridMultilevel"/>
    <w:tmpl w:val="590EEA64"/>
    <w:lvl w:ilvl="0" w:tplc="8C424E9C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90AAA"/>
    <w:multiLevelType w:val="hybridMultilevel"/>
    <w:tmpl w:val="BC0A4890"/>
    <w:lvl w:ilvl="0" w:tplc="04090001">
      <w:start w:val="1"/>
      <w:numFmt w:val="bullet"/>
      <w:lvlText w:val=""/>
      <w:lvlJc w:val="left"/>
      <w:pPr>
        <w:ind w:left="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7" w:hanging="360"/>
      </w:pPr>
      <w:rPr>
        <w:rFonts w:ascii="Wingdings" w:hAnsi="Wingdings" w:hint="default"/>
      </w:rPr>
    </w:lvl>
  </w:abstractNum>
  <w:abstractNum w:abstractNumId="31">
    <w:nsid w:val="79F6142D"/>
    <w:multiLevelType w:val="hybridMultilevel"/>
    <w:tmpl w:val="54268630"/>
    <w:lvl w:ilvl="0" w:tplc="56EAC29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3807F8"/>
    <w:multiLevelType w:val="hybridMultilevel"/>
    <w:tmpl w:val="DE28686E"/>
    <w:lvl w:ilvl="0" w:tplc="C7720DFC">
      <w:start w:val="1"/>
      <w:numFmt w:val="bullet"/>
      <w:pStyle w:val="Cell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66ABA"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8"/>
  </w:num>
  <w:num w:numId="5">
    <w:abstractNumId w:val="7"/>
  </w:num>
  <w:num w:numId="6">
    <w:abstractNumId w:val="18"/>
  </w:num>
  <w:num w:numId="7">
    <w:abstractNumId w:val="6"/>
  </w:num>
  <w:num w:numId="8">
    <w:abstractNumId w:val="32"/>
  </w:num>
  <w:num w:numId="9">
    <w:abstractNumId w:val="9"/>
  </w:num>
  <w:num w:numId="10">
    <w:abstractNumId w:val="24"/>
  </w:num>
  <w:num w:numId="11">
    <w:abstractNumId w:val="30"/>
  </w:num>
  <w:num w:numId="12">
    <w:abstractNumId w:val="28"/>
  </w:num>
  <w:num w:numId="13">
    <w:abstractNumId w:val="14"/>
  </w:num>
  <w:num w:numId="14">
    <w:abstractNumId w:val="21"/>
  </w:num>
  <w:num w:numId="15">
    <w:abstractNumId w:val="3"/>
  </w:num>
  <w:num w:numId="16">
    <w:abstractNumId w:val="23"/>
  </w:num>
  <w:num w:numId="17">
    <w:abstractNumId w:val="20"/>
  </w:num>
  <w:num w:numId="18">
    <w:abstractNumId w:val="1"/>
  </w:num>
  <w:num w:numId="19">
    <w:abstractNumId w:val="25"/>
  </w:num>
  <w:num w:numId="20">
    <w:abstractNumId w:val="12"/>
  </w:num>
  <w:num w:numId="21">
    <w:abstractNumId w:val="4"/>
  </w:num>
  <w:num w:numId="22">
    <w:abstractNumId w:val="16"/>
  </w:num>
  <w:num w:numId="23">
    <w:abstractNumId w:val="22"/>
  </w:num>
  <w:num w:numId="24">
    <w:abstractNumId w:val="27"/>
  </w:num>
  <w:num w:numId="25">
    <w:abstractNumId w:val="10"/>
  </w:num>
  <w:num w:numId="26">
    <w:abstractNumId w:val="5"/>
  </w:num>
  <w:num w:numId="27">
    <w:abstractNumId w:val="19"/>
  </w:num>
  <w:num w:numId="28">
    <w:abstractNumId w:val="13"/>
  </w:num>
  <w:num w:numId="29">
    <w:abstractNumId w:val="29"/>
  </w:num>
  <w:num w:numId="30">
    <w:abstractNumId w:val="26"/>
  </w:num>
  <w:num w:numId="31">
    <w:abstractNumId w:val="31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4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280"/>
    <w:rsid w:val="0000106E"/>
    <w:rsid w:val="000129B2"/>
    <w:rsid w:val="00015624"/>
    <w:rsid w:val="0002430F"/>
    <w:rsid w:val="00082EED"/>
    <w:rsid w:val="00092904"/>
    <w:rsid w:val="000A36AE"/>
    <w:rsid w:val="000B257B"/>
    <w:rsid w:val="000B65D2"/>
    <w:rsid w:val="000C7796"/>
    <w:rsid w:val="000D22DF"/>
    <w:rsid w:val="00107D31"/>
    <w:rsid w:val="00115E7C"/>
    <w:rsid w:val="00137C24"/>
    <w:rsid w:val="00142B6A"/>
    <w:rsid w:val="001A220B"/>
    <w:rsid w:val="001A552C"/>
    <w:rsid w:val="001B00DD"/>
    <w:rsid w:val="001D6FB9"/>
    <w:rsid w:val="001F216A"/>
    <w:rsid w:val="002108F7"/>
    <w:rsid w:val="00214280"/>
    <w:rsid w:val="00252836"/>
    <w:rsid w:val="002529C1"/>
    <w:rsid w:val="00262E28"/>
    <w:rsid w:val="002823AA"/>
    <w:rsid w:val="002A3D3A"/>
    <w:rsid w:val="002C778C"/>
    <w:rsid w:val="002C7D92"/>
    <w:rsid w:val="002F1876"/>
    <w:rsid w:val="00310F6A"/>
    <w:rsid w:val="00344D2C"/>
    <w:rsid w:val="00367B24"/>
    <w:rsid w:val="003978FC"/>
    <w:rsid w:val="003D3FEA"/>
    <w:rsid w:val="00407B16"/>
    <w:rsid w:val="00474EC4"/>
    <w:rsid w:val="00480BD3"/>
    <w:rsid w:val="00481495"/>
    <w:rsid w:val="004B2EDC"/>
    <w:rsid w:val="004D1780"/>
    <w:rsid w:val="004E16C8"/>
    <w:rsid w:val="004E4E6A"/>
    <w:rsid w:val="005607BA"/>
    <w:rsid w:val="00624DB3"/>
    <w:rsid w:val="00627DE2"/>
    <w:rsid w:val="00656147"/>
    <w:rsid w:val="00694628"/>
    <w:rsid w:val="006C7507"/>
    <w:rsid w:val="006E1065"/>
    <w:rsid w:val="007603D8"/>
    <w:rsid w:val="00762CDD"/>
    <w:rsid w:val="007667E7"/>
    <w:rsid w:val="0077756A"/>
    <w:rsid w:val="007937DF"/>
    <w:rsid w:val="0079526D"/>
    <w:rsid w:val="00795C67"/>
    <w:rsid w:val="007B0BBA"/>
    <w:rsid w:val="007B3689"/>
    <w:rsid w:val="007D59E4"/>
    <w:rsid w:val="007E15E6"/>
    <w:rsid w:val="007E2181"/>
    <w:rsid w:val="0082093D"/>
    <w:rsid w:val="00824F2E"/>
    <w:rsid w:val="00864A6C"/>
    <w:rsid w:val="00882146"/>
    <w:rsid w:val="008A4012"/>
    <w:rsid w:val="008E2382"/>
    <w:rsid w:val="008F44C1"/>
    <w:rsid w:val="00910647"/>
    <w:rsid w:val="00954005"/>
    <w:rsid w:val="00965726"/>
    <w:rsid w:val="00983A28"/>
    <w:rsid w:val="009941E7"/>
    <w:rsid w:val="009C05BF"/>
    <w:rsid w:val="00A15A03"/>
    <w:rsid w:val="00A202CA"/>
    <w:rsid w:val="00A343A2"/>
    <w:rsid w:val="00A47A26"/>
    <w:rsid w:val="00A717A4"/>
    <w:rsid w:val="00A85BEC"/>
    <w:rsid w:val="00A924C0"/>
    <w:rsid w:val="00B1084A"/>
    <w:rsid w:val="00B14A4A"/>
    <w:rsid w:val="00B754A9"/>
    <w:rsid w:val="00B8715C"/>
    <w:rsid w:val="00BE0490"/>
    <w:rsid w:val="00BE4EBD"/>
    <w:rsid w:val="00C017D1"/>
    <w:rsid w:val="00C12F3E"/>
    <w:rsid w:val="00C15879"/>
    <w:rsid w:val="00C36037"/>
    <w:rsid w:val="00C43DF6"/>
    <w:rsid w:val="00C5515D"/>
    <w:rsid w:val="00C93F2E"/>
    <w:rsid w:val="00C94541"/>
    <w:rsid w:val="00C97A00"/>
    <w:rsid w:val="00D02D65"/>
    <w:rsid w:val="00D15C6C"/>
    <w:rsid w:val="00D7168D"/>
    <w:rsid w:val="00D811DD"/>
    <w:rsid w:val="00D94470"/>
    <w:rsid w:val="00D9590E"/>
    <w:rsid w:val="00DA60F4"/>
    <w:rsid w:val="00E56CD6"/>
    <w:rsid w:val="00E62636"/>
    <w:rsid w:val="00E63887"/>
    <w:rsid w:val="00E86B9D"/>
    <w:rsid w:val="00EC59AE"/>
    <w:rsid w:val="00ED24C9"/>
    <w:rsid w:val="00ED2560"/>
    <w:rsid w:val="00ED7F2D"/>
    <w:rsid w:val="00EF66BC"/>
    <w:rsid w:val="00F01965"/>
    <w:rsid w:val="00F26257"/>
    <w:rsid w:val="00F3267E"/>
    <w:rsid w:val="00F4183B"/>
    <w:rsid w:val="00F42A6C"/>
    <w:rsid w:val="00F43704"/>
    <w:rsid w:val="00FE28B8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7D049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4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1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8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8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6A"/>
  </w:style>
  <w:style w:type="paragraph" w:styleId="Footer">
    <w:name w:val="footer"/>
    <w:basedOn w:val="Normal"/>
    <w:link w:val="FooterChar"/>
    <w:uiPriority w:val="99"/>
    <w:unhideWhenUsed/>
    <w:rsid w:val="0014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6A"/>
  </w:style>
  <w:style w:type="paragraph" w:customStyle="1" w:styleId="GenEdCategory">
    <w:name w:val="GenEd Category"/>
    <w:basedOn w:val="Normal"/>
    <w:autoRedefine/>
    <w:qFormat/>
    <w:rsid w:val="00965726"/>
    <w:pPr>
      <w:spacing w:after="0" w:line="240" w:lineRule="auto"/>
    </w:pPr>
    <w:rPr>
      <w:rFonts w:eastAsia="Times New Roman" w:cs="Arial"/>
      <w:b/>
      <w:color w:val="000000"/>
      <w:sz w:val="44"/>
      <w:szCs w:val="44"/>
    </w:rPr>
  </w:style>
  <w:style w:type="paragraph" w:customStyle="1" w:styleId="LearningOutcome">
    <w:name w:val="Learning Outcome"/>
    <w:basedOn w:val="Normal"/>
    <w:next w:val="LearningOutcomeBullet"/>
    <w:autoRedefine/>
    <w:qFormat/>
    <w:rsid w:val="00ED24C9"/>
    <w:pPr>
      <w:spacing w:after="0" w:line="240" w:lineRule="auto"/>
      <w:ind w:left="634"/>
    </w:pPr>
    <w:rPr>
      <w:i/>
      <w:szCs w:val="20"/>
    </w:rPr>
  </w:style>
  <w:style w:type="paragraph" w:customStyle="1" w:styleId="RubricPreamble">
    <w:name w:val="Rubric Preamble"/>
    <w:basedOn w:val="Normal"/>
    <w:autoRedefine/>
    <w:qFormat/>
    <w:rsid w:val="00B14A4A"/>
    <w:pPr>
      <w:spacing w:line="240" w:lineRule="auto"/>
    </w:pPr>
    <w:rPr>
      <w:szCs w:val="20"/>
    </w:rPr>
  </w:style>
  <w:style w:type="paragraph" w:customStyle="1" w:styleId="TableHeader">
    <w:name w:val="Table Header"/>
    <w:basedOn w:val="Normal"/>
    <w:autoRedefine/>
    <w:qFormat/>
    <w:rsid w:val="00B14A4A"/>
    <w:pPr>
      <w:spacing w:after="0" w:line="0" w:lineRule="atLeast"/>
    </w:pPr>
    <w:rPr>
      <w:rFonts w:eastAsia="Times New Roman" w:cs="Arial"/>
      <w:b/>
      <w:color w:val="000000"/>
      <w:szCs w:val="20"/>
    </w:rPr>
  </w:style>
  <w:style w:type="paragraph" w:customStyle="1" w:styleId="CellText">
    <w:name w:val="Cell (Text)"/>
    <w:basedOn w:val="Normal"/>
    <w:autoRedefine/>
    <w:qFormat/>
    <w:rsid w:val="00481495"/>
    <w:pPr>
      <w:spacing w:after="0" w:line="240" w:lineRule="auto"/>
    </w:pPr>
    <w:rPr>
      <w:rFonts w:eastAsia="Times New Roman" w:cs="Arial"/>
      <w:szCs w:val="20"/>
    </w:rPr>
  </w:style>
  <w:style w:type="paragraph" w:customStyle="1" w:styleId="CellBullet">
    <w:name w:val="Cell (Bullet)"/>
    <w:basedOn w:val="ListParagraph"/>
    <w:autoRedefine/>
    <w:qFormat/>
    <w:rsid w:val="00910647"/>
    <w:pPr>
      <w:numPr>
        <w:numId w:val="8"/>
      </w:numPr>
      <w:spacing w:after="0" w:line="240" w:lineRule="auto"/>
      <w:ind w:left="113" w:hanging="90"/>
    </w:pPr>
    <w:rPr>
      <w:rFonts w:eastAsia="Times New Roman" w:cs="Arial"/>
      <w:szCs w:val="20"/>
    </w:rPr>
  </w:style>
  <w:style w:type="paragraph" w:customStyle="1" w:styleId="Postamble">
    <w:name w:val="Postamble"/>
    <w:basedOn w:val="ListParagraph"/>
    <w:autoRedefine/>
    <w:qFormat/>
    <w:rsid w:val="00910647"/>
    <w:pPr>
      <w:tabs>
        <w:tab w:val="left" w:pos="777"/>
      </w:tabs>
      <w:spacing w:after="0" w:line="0" w:lineRule="atLeast"/>
      <w:ind w:left="75"/>
    </w:pPr>
    <w:rPr>
      <w:rFonts w:eastAsia="Times New Roman" w:cs="Arial"/>
      <w:szCs w:val="20"/>
    </w:rPr>
  </w:style>
  <w:style w:type="paragraph" w:customStyle="1" w:styleId="CriterionHeading">
    <w:name w:val="Criterion Heading"/>
    <w:basedOn w:val="Normal"/>
    <w:next w:val="CriterionDesciption"/>
    <w:autoRedefine/>
    <w:qFormat/>
    <w:rsid w:val="00983A28"/>
    <w:pPr>
      <w:spacing w:after="0" w:line="240" w:lineRule="auto"/>
    </w:pPr>
    <w:rPr>
      <w:rFonts w:eastAsia="Times New Roman" w:cs="Arial"/>
      <w:b/>
      <w:szCs w:val="20"/>
    </w:rPr>
  </w:style>
  <w:style w:type="paragraph" w:customStyle="1" w:styleId="CriterionDesciption">
    <w:name w:val="Criterion Desciption"/>
    <w:basedOn w:val="Normal"/>
    <w:autoRedefine/>
    <w:qFormat/>
    <w:rsid w:val="00983A28"/>
    <w:pPr>
      <w:spacing w:after="0" w:line="240" w:lineRule="auto"/>
    </w:pPr>
    <w:rPr>
      <w:rFonts w:eastAsia="Times New Roman" w:cs="Arial"/>
      <w:szCs w:val="20"/>
    </w:rPr>
  </w:style>
  <w:style w:type="paragraph" w:customStyle="1" w:styleId="LearningOutcomeBullet">
    <w:name w:val="Learning Outcome Bullet"/>
    <w:basedOn w:val="LearningOutcome"/>
    <w:autoRedefine/>
    <w:qFormat/>
    <w:rsid w:val="00ED24C9"/>
    <w:pPr>
      <w:numPr>
        <w:numId w:val="21"/>
      </w:numPr>
    </w:pPr>
  </w:style>
  <w:style w:type="character" w:styleId="Hyperlink">
    <w:name w:val="Hyperlink"/>
    <w:basedOn w:val="DefaultParagraphFont"/>
    <w:uiPriority w:val="99"/>
    <w:semiHidden/>
    <w:unhideWhenUsed/>
    <w:rsid w:val="00624D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4A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15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8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8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8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6A"/>
  </w:style>
  <w:style w:type="paragraph" w:styleId="Footer">
    <w:name w:val="footer"/>
    <w:basedOn w:val="Normal"/>
    <w:link w:val="FooterChar"/>
    <w:uiPriority w:val="99"/>
    <w:unhideWhenUsed/>
    <w:rsid w:val="0014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6A"/>
  </w:style>
  <w:style w:type="paragraph" w:customStyle="1" w:styleId="GenEdCategory">
    <w:name w:val="GenEd Category"/>
    <w:basedOn w:val="Normal"/>
    <w:autoRedefine/>
    <w:qFormat/>
    <w:rsid w:val="00965726"/>
    <w:pPr>
      <w:spacing w:after="0" w:line="240" w:lineRule="auto"/>
    </w:pPr>
    <w:rPr>
      <w:rFonts w:eastAsia="Times New Roman" w:cs="Arial"/>
      <w:b/>
      <w:color w:val="000000"/>
      <w:sz w:val="44"/>
      <w:szCs w:val="44"/>
    </w:rPr>
  </w:style>
  <w:style w:type="paragraph" w:customStyle="1" w:styleId="LearningOutcome">
    <w:name w:val="Learning Outcome"/>
    <w:basedOn w:val="Normal"/>
    <w:next w:val="LearningOutcomeBullet"/>
    <w:autoRedefine/>
    <w:qFormat/>
    <w:rsid w:val="00ED24C9"/>
    <w:pPr>
      <w:spacing w:after="0" w:line="240" w:lineRule="auto"/>
      <w:ind w:left="634"/>
    </w:pPr>
    <w:rPr>
      <w:i/>
      <w:szCs w:val="20"/>
    </w:rPr>
  </w:style>
  <w:style w:type="paragraph" w:customStyle="1" w:styleId="RubricPreamble">
    <w:name w:val="Rubric Preamble"/>
    <w:basedOn w:val="Normal"/>
    <w:autoRedefine/>
    <w:qFormat/>
    <w:rsid w:val="00B14A4A"/>
    <w:pPr>
      <w:spacing w:line="240" w:lineRule="auto"/>
    </w:pPr>
    <w:rPr>
      <w:szCs w:val="20"/>
    </w:rPr>
  </w:style>
  <w:style w:type="paragraph" w:customStyle="1" w:styleId="TableHeader">
    <w:name w:val="Table Header"/>
    <w:basedOn w:val="Normal"/>
    <w:autoRedefine/>
    <w:qFormat/>
    <w:rsid w:val="00B14A4A"/>
    <w:pPr>
      <w:spacing w:after="0" w:line="0" w:lineRule="atLeast"/>
    </w:pPr>
    <w:rPr>
      <w:rFonts w:eastAsia="Times New Roman" w:cs="Arial"/>
      <w:b/>
      <w:color w:val="000000"/>
      <w:szCs w:val="20"/>
    </w:rPr>
  </w:style>
  <w:style w:type="paragraph" w:customStyle="1" w:styleId="CellText">
    <w:name w:val="Cell (Text)"/>
    <w:basedOn w:val="Normal"/>
    <w:autoRedefine/>
    <w:qFormat/>
    <w:rsid w:val="00481495"/>
    <w:pPr>
      <w:spacing w:after="0" w:line="240" w:lineRule="auto"/>
    </w:pPr>
    <w:rPr>
      <w:rFonts w:eastAsia="Times New Roman" w:cs="Arial"/>
      <w:szCs w:val="20"/>
    </w:rPr>
  </w:style>
  <w:style w:type="paragraph" w:customStyle="1" w:styleId="CellBullet">
    <w:name w:val="Cell (Bullet)"/>
    <w:basedOn w:val="ListParagraph"/>
    <w:autoRedefine/>
    <w:qFormat/>
    <w:rsid w:val="00910647"/>
    <w:pPr>
      <w:numPr>
        <w:numId w:val="8"/>
      </w:numPr>
      <w:spacing w:after="0" w:line="240" w:lineRule="auto"/>
      <w:ind w:left="113" w:hanging="90"/>
    </w:pPr>
    <w:rPr>
      <w:rFonts w:eastAsia="Times New Roman" w:cs="Arial"/>
      <w:szCs w:val="20"/>
    </w:rPr>
  </w:style>
  <w:style w:type="paragraph" w:customStyle="1" w:styleId="Postamble">
    <w:name w:val="Postamble"/>
    <w:basedOn w:val="ListParagraph"/>
    <w:autoRedefine/>
    <w:qFormat/>
    <w:rsid w:val="00910647"/>
    <w:pPr>
      <w:tabs>
        <w:tab w:val="left" w:pos="777"/>
      </w:tabs>
      <w:spacing w:after="0" w:line="0" w:lineRule="atLeast"/>
      <w:ind w:left="75"/>
    </w:pPr>
    <w:rPr>
      <w:rFonts w:eastAsia="Times New Roman" w:cs="Arial"/>
      <w:szCs w:val="20"/>
    </w:rPr>
  </w:style>
  <w:style w:type="paragraph" w:customStyle="1" w:styleId="CriterionHeading">
    <w:name w:val="Criterion Heading"/>
    <w:basedOn w:val="Normal"/>
    <w:next w:val="CriterionDesciption"/>
    <w:autoRedefine/>
    <w:qFormat/>
    <w:rsid w:val="00983A28"/>
    <w:pPr>
      <w:spacing w:after="0" w:line="240" w:lineRule="auto"/>
    </w:pPr>
    <w:rPr>
      <w:rFonts w:eastAsia="Times New Roman" w:cs="Arial"/>
      <w:b/>
      <w:szCs w:val="20"/>
    </w:rPr>
  </w:style>
  <w:style w:type="paragraph" w:customStyle="1" w:styleId="CriterionDesciption">
    <w:name w:val="Criterion Desciption"/>
    <w:basedOn w:val="Normal"/>
    <w:autoRedefine/>
    <w:qFormat/>
    <w:rsid w:val="00983A28"/>
    <w:pPr>
      <w:spacing w:after="0" w:line="240" w:lineRule="auto"/>
    </w:pPr>
    <w:rPr>
      <w:rFonts w:eastAsia="Times New Roman" w:cs="Arial"/>
      <w:szCs w:val="20"/>
    </w:rPr>
  </w:style>
  <w:style w:type="paragraph" w:customStyle="1" w:styleId="LearningOutcomeBullet">
    <w:name w:val="Learning Outcome Bullet"/>
    <w:basedOn w:val="LearningOutcome"/>
    <w:autoRedefine/>
    <w:qFormat/>
    <w:rsid w:val="00ED24C9"/>
    <w:pPr>
      <w:numPr>
        <w:numId w:val="21"/>
      </w:numPr>
    </w:pPr>
  </w:style>
  <w:style w:type="character" w:styleId="Hyperlink">
    <w:name w:val="Hyperlink"/>
    <w:basedOn w:val="DefaultParagraphFont"/>
    <w:uiPriority w:val="99"/>
    <w:semiHidden/>
    <w:unhideWhenUsed/>
    <w:rsid w:val="00624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gened.umd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D82F4-A65C-4482-9CC4-714FA292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Roberts</dc:creator>
  <cp:lastModifiedBy>asmith</cp:lastModifiedBy>
  <cp:revision>2</cp:revision>
  <cp:lastPrinted>2015-04-21T13:23:00Z</cp:lastPrinted>
  <dcterms:created xsi:type="dcterms:W3CDTF">2015-05-18T20:25:00Z</dcterms:created>
  <dcterms:modified xsi:type="dcterms:W3CDTF">2015-05-18T20:25:00Z</dcterms:modified>
</cp:coreProperties>
</file>