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TANEL TREUBERG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Software Engineer</w:t>
      </w:r>
    </w:p>
    <w:p>
      <w:pPr>
        <w:spacing w:after="60"/>
        <w:jc w:val="center"/>
      </w:pPr>
      <w:hyperlink w:history="1" r:id="rIdxicspvnjfm1kuem3vwpmz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tanel.treuberg@gmail.com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|  Warsaw, Poland  |  </w:t>
      </w:r>
      <w:hyperlink w:history="1" r:id="rIdmihq4mpsmcyrbfd_ye1o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</w:t>
        </w:r>
      </w:hyperlink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Software Engineer with 3 years of experience in backend development, infrastructure automation, and applied machine learning. Proven track record of delivering measurable performance improvements in energy-sector web applications and building production computer vision pipelines for autonomous marine vessels. Proficient in Python, Docker, and CI/CD, with a strong foundation in embedded ML deployment.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Elering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 2022 – Jun 2024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Software Engineer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Refactored an internal web application (backend and frontend) that pulls data from the SCADA ISR database, reducing data export time by 10x and cutting average UI load time from ~8s to under 2s.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and maintained Python automation scripts executed via GitLab CI/CD, eliminating ~15 hours/month of manual data processing across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and tested features for the internal Balancing Market System (BMS), reducing message delivery latency and processing time by 30% for Estonia’s national energy grid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Containerised monolithic applications using Docker, enabling consistent deployments across development and test environments.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Jenkins-based process automations with monitoring via Grafana and ELK stack, reducing incident detection time for critical pipelines.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Baltic WorkBoats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Nov 2021 – Jul 2022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Software Engineer — Computer Vision &amp; Embedded ML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deployed a real-time computer vision system for an autonomous Navy patrol vessel (Navy 18 WP), enabling automated maritime object detection for unmanned maneuvering trials.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Selected YOLOv5 (Ultralytics) for optimal speed-accuracy trade-off; containerised the full pipeline with Docker on Nvidia NGC for reproducible deployment on Jetson AGX Xavier (32 GB).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Optimised inference pipeline using TensorRT FP16 quantisation, ONNX conversion, and NVDEC hardware video decoding, achieving an average 3.5x speed increase (best case 4.3x).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18"/>
          <w:szCs w:val="18"/>
        </w:rPr>
        <w:t xml:space="preserve">Negligible accuracy loss (1.7 × 10⁻³ mAP), 26.8% lower energy consumption, and 3.3°C temperature reduction, enabling sustained autonomous operation at sea.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multi-camera support (3 simultaneous inputs via GStreamer + OpenCV), reaching 1.4x throughput over single-input at the same resolution, with architecture-aware code paths for x86_64 dev and aarch64 production.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 Engineers OÜ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Jul 2021 – Oct 2021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Electrical Engineering Intern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firmware for ESP32 microcontrollers powering sensor-aided monitoring prototypes, gaining hands-on experience with embedded C++ and hardware-software integration.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Tallinn University of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Graduated Jun 2023</w:t>
      </w:r>
    </w:p>
    <w:p>
      <w:pPr>
        <w:spacing w:after="40" w:before="1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BSc in Engineering — Mechatronics (Electroenergetics &amp; Mechatronics)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Thesis: “Improving Situational Awareness of Autonomous Vessels Using Computer Vision” — developed and benchmarked 10 YOLOv5 model variants on Jetson AGX Xavier for real-time maritime object detection.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Organised TalTech Energy Conference 2020; former member of Faculty of Engineering Student Council (INSÜK).</w:t>
      </w:r>
    </w:p>
    <w:p>
      <w:pPr>
        <w:pBdr>
          <w:bottom w:val="single" w:color="444444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SKILLS &amp; INTERESTS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C++, JavaScript, SQL, Bash, Swift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ML / AI: </w:t>
      </w:r>
      <w:r>
        <w:rPr>
          <w:rFonts w:ascii="Arial" w:cs="Arial" w:eastAsia="Arial" w:hAnsi="Arial"/>
          <w:sz w:val="20"/>
          <w:szCs w:val="20"/>
        </w:rPr>
        <w:t xml:space="preserve">PyTorch, TensorFlow, TensorRT, NumPy, Pandas, Nvidia Jetson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 &amp; DevOps: </w:t>
      </w:r>
      <w:r>
        <w:rPr>
          <w:rFonts w:ascii="Arial" w:cs="Arial" w:eastAsia="Arial" w:hAnsi="Arial"/>
          <w:sz w:val="20"/>
          <w:szCs w:val="20"/>
        </w:rPr>
        <w:t xml:space="preserve">Docker, Jenkins, GitLab CI/CD, AWS S3, Grafana, ELK, Kubernetes (basic)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Tools: </w:t>
      </w:r>
      <w:r>
        <w:rPr>
          <w:rFonts w:ascii="Arial" w:cs="Arial" w:eastAsia="Arial" w:hAnsi="Arial"/>
          <w:sz w:val="20"/>
          <w:szCs w:val="20"/>
        </w:rPr>
        <w:t xml:space="preserve">Flask, REST API, Selenium, Scrapy, PostgreSQL, Postman, Git, Jira, Confluence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Platforms: </w:t>
      </w:r>
      <w:r>
        <w:rPr>
          <w:rFonts w:ascii="Arial" w:cs="Arial" w:eastAsia="Arial" w:hAnsi="Arial"/>
          <w:sz w:val="20"/>
          <w:szCs w:val="20"/>
        </w:rPr>
        <w:t xml:space="preserve">GNU/Linux, macOS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Interests: </w:t>
      </w:r>
      <w:r>
        <w:rPr>
          <w:rFonts w:ascii="Arial" w:cs="Arial" w:eastAsia="Arial" w:hAnsi="Arial"/>
          <w:sz w:val="20"/>
          <w:szCs w:val="20"/>
        </w:rPr>
        <w:t xml:space="preserve">Social dancing (tango argentino, Brazilian zouk), guitar and piano, physics</w:t>
      </w:r>
    </w:p>
    <w:sectPr>
      <w:pgSz w:w="11906" w:h="16838" w:orient="portrait"/>
      <w:pgMar w:top="860" w:right="1200" w:bottom="5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icspvnjfm1kuem3vwpmz" Type="http://schemas.openxmlformats.org/officeDocument/2006/relationships/hyperlink" Target="mailto:tanel.treuberg@gmail.com" TargetMode="External"/><Relationship Id="rIdmihq4mpsmcyrbfd_ye1ox" Type="http://schemas.openxmlformats.org/officeDocument/2006/relationships/hyperlink" Target="https://the-magicians-code.github.i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2026-03-08T20:40:58.576Z</dcterms:created>
  <dcterms:modified xsi:type="dcterms:W3CDTF">2026-03-08T20:40:58.576Z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