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MILBOURNE GROUP</w:t>
        <w:br/>
        <w:t>STRATEGIC CONFIGURATION &amp; DISCOVERY REGISTER</w:t>
      </w:r>
    </w:p>
    <w:p>
      <w:pPr>
        <w:jc w:val="center"/>
      </w:pPr>
      <w:r>
        <w:rPr>
          <w:i/>
        </w:rPr>
        <w:t>Updated Founder-Approved Working Configuration</w:t>
        <w:br/>
        <w:t>August 29, 2026</w:t>
      </w:r>
    </w:p>
    <w:p/>
    <w:p>
      <w:pPr>
        <w:pStyle w:val="Heading1"/>
      </w:pPr>
      <w:r>
        <w:t>1. Executive Summary</w:t>
      </w:r>
    </w:p>
    <w:p>
      <w:r>
        <w:t>The Milbourne Group's initial strategic configuration has been adopted as the founder-approved working direction. The business will operate as a boutique strategic digital systems partner serving established small-to-mid-sized businesses whose digital infrastructure is fragmented, outdated, or no longer supporting their growth.</w:t>
      </w:r>
    </w:p>
    <w:p>
      <w:r>
        <w:t>The company will maintain broad internal capabilities while presenting a narrower commercial problem to the market. Its primary entry point will be Strategic Website &amp; Digital Foundation, with expansion into digital systems, integrations, workflow improvement, automation, and ongoing optimization where justified by client needs.</w:t>
      </w:r>
    </w:p>
    <w:p>
      <w:r>
        <w:t>This document records the current confirmed strategic configuration, unresolved dependencies, recommendations, and the next discovery round. Items marked Open Question or Recommendation must not be treated as final founder decisions.</w:t>
      </w:r>
    </w:p>
    <w:p>
      <w:pPr>
        <w:pStyle w:val="Heading1"/>
      </w:pPr>
      <w:r>
        <w:t>2. Confirmed Strategic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Confirmed Decision</w:t>
            </w:r>
          </w:p>
        </w:tc>
      </w:tr>
      <w:tr>
        <w:tc>
          <w:tcPr>
            <w:tcW w:type="dxa" w:w="4320"/>
          </w:tcPr>
          <w:p>
            <w:r>
              <w:t>Commercial identity</w:t>
            </w:r>
          </w:p>
        </w:tc>
        <w:tc>
          <w:tcPr>
            <w:tcW w:type="dxa" w:w="4320"/>
          </w:tcPr>
          <w:p>
            <w:r>
              <w:t>Boutique strategic digital systems partner</w:t>
            </w:r>
          </w:p>
        </w:tc>
      </w:tr>
      <w:tr>
        <w:tc>
          <w:tcPr>
            <w:tcW w:type="dxa" w:w="4320"/>
          </w:tcPr>
          <w:p>
            <w:r>
              <w:t>Core mission</w:t>
            </w:r>
          </w:p>
        </w:tc>
        <w:tc>
          <w:tcPr>
            <w:tcW w:type="dxa" w:w="4320"/>
          </w:tcPr>
          <w:p>
            <w:r>
              <w:t>Help established businesses strengthen the digital infrastructure supporting credibility, conversion, operational efficiency, and growth</w:t>
            </w:r>
          </w:p>
        </w:tc>
      </w:tr>
      <w:tr>
        <w:tc>
          <w:tcPr>
            <w:tcW w:type="dxa" w:w="4320"/>
          </w:tcPr>
          <w:p>
            <w:r>
              <w:t>Primary problem</w:t>
            </w:r>
          </w:p>
        </w:tc>
        <w:tc>
          <w:tcPr>
            <w:tcW w:type="dxa" w:w="4320"/>
          </w:tcPr>
          <w:p>
            <w:r>
              <w:t>Fragmented, outgrown, or underperforming digital infrastructure</w:t>
            </w:r>
          </w:p>
        </w:tc>
      </w:tr>
      <w:tr>
        <w:tc>
          <w:tcPr>
            <w:tcW w:type="dxa" w:w="4320"/>
          </w:tcPr>
          <w:p>
            <w:r>
              <w:t>Primary client category</w:t>
            </w:r>
          </w:p>
        </w:tc>
        <w:tc>
          <w:tcPr>
            <w:tcW w:type="dxa" w:w="4320"/>
          </w:tcPr>
          <w:p>
            <w:r>
              <w:t>Established small-to-mid-sized businesses with growth ambitions and capacity to invest in strategic digital improvement</w:t>
            </w:r>
          </w:p>
        </w:tc>
      </w:tr>
      <w:tr>
        <w:tc>
          <w:tcPr>
            <w:tcW w:type="dxa" w:w="4320"/>
          </w:tcPr>
          <w:p>
            <w:r>
              <w:t>Focus model</w:t>
            </w:r>
          </w:p>
        </w:tc>
        <w:tc>
          <w:tcPr>
            <w:tcW w:type="dxa" w:w="4320"/>
          </w:tcPr>
          <w:p>
            <w:r>
              <w:t>Narrow problem focus with broad internal capabilities</w:t>
            </w:r>
          </w:p>
        </w:tc>
      </w:tr>
      <w:tr>
        <w:tc>
          <w:tcPr>
            <w:tcW w:type="dxa" w:w="4320"/>
          </w:tcPr>
          <w:p>
            <w:r>
              <w:t>Primary entry offer</w:t>
            </w:r>
          </w:p>
        </w:tc>
        <w:tc>
          <w:tcPr>
            <w:tcW w:type="dxa" w:w="4320"/>
          </w:tcPr>
          <w:p>
            <w:r>
              <w:t>Strategic Website &amp; Digital Foundation</w:t>
            </w:r>
          </w:p>
        </w:tc>
      </w:tr>
      <w:tr>
        <w:tc>
          <w:tcPr>
            <w:tcW w:type="dxa" w:w="4320"/>
          </w:tcPr>
          <w:p>
            <w:r>
              <w:t>Expansion services</w:t>
            </w:r>
          </w:p>
        </w:tc>
        <w:tc>
          <w:tcPr>
            <w:tcW w:type="dxa" w:w="4320"/>
          </w:tcPr>
          <w:p>
            <w:r>
              <w:t>Digital systems, integrations, workflow improvement, automation, and ongoing optimization</w:t>
            </w:r>
          </w:p>
        </w:tc>
      </w:tr>
      <w:tr>
        <w:tc>
          <w:tcPr>
            <w:tcW w:type="dxa" w:w="4320"/>
          </w:tcPr>
          <w:p>
            <w:r>
              <w:t>Market position</w:t>
            </w:r>
          </w:p>
        </w:tc>
        <w:tc>
          <w:tcPr>
            <w:tcW w:type="dxa" w:w="4320"/>
          </w:tcPr>
          <w:p>
            <w:r>
              <w:t>Boutique strategic partner / premium specialist</w:t>
            </w:r>
          </w:p>
        </w:tc>
      </w:tr>
      <w:tr>
        <w:tc>
          <w:tcPr>
            <w:tcW w:type="dxa" w:w="4320"/>
          </w:tcPr>
          <w:p>
            <w:r>
              <w:t>Geographic model</w:t>
            </w:r>
          </w:p>
        </w:tc>
        <w:tc>
          <w:tcPr>
            <w:tcW w:type="dxa" w:w="4320"/>
          </w:tcPr>
          <w:p>
            <w:r>
              <w:t>National, remote-first, while using local and regional relationships where advantageous</w:t>
            </w:r>
          </w:p>
        </w:tc>
      </w:tr>
      <w:tr>
        <w:tc>
          <w:tcPr>
            <w:tcW w:type="dxa" w:w="4320"/>
          </w:tcPr>
          <w:p>
            <w:r>
              <w:t>Commercial philosophy</w:t>
            </w:r>
          </w:p>
        </w:tc>
        <w:tc>
          <w:tcPr>
            <w:tcW w:type="dxa" w:w="4320"/>
          </w:tcPr>
          <w:p>
            <w:r>
              <w:t>Compete on strategic thinking, business understanding, implementation quality, systems expertise, and measurable outcomes—not commodity pricing or AI novelty</w:t>
            </w:r>
          </w:p>
        </w:tc>
      </w:tr>
      <w:tr>
        <w:tc>
          <w:tcPr>
            <w:tcW w:type="dxa" w:w="4320"/>
          </w:tcPr>
          <w:p>
            <w:r>
              <w:t>Operating direction</w:t>
            </w:r>
          </w:p>
        </w:tc>
        <w:tc>
          <w:tcPr>
            <w:tcW w:type="dxa" w:w="4320"/>
          </w:tcPr>
          <w:p>
            <w:r>
              <w:t>Founder-led strategy, sales, solution architecture, and quality control, supported by systems, automation, AI leverage, and flexible specialist capacity</w:t>
            </w:r>
          </w:p>
        </w:tc>
      </w:tr>
    </w:tbl>
    <w:p>
      <w:pPr>
        <w:pStyle w:val="Heading1"/>
      </w:pPr>
      <w:r>
        <w:t>3. Strategic Positioning Statement</w:t>
      </w:r>
    </w:p>
    <w:p>
      <w:r>
        <w:t>The Milbourne Group is a boutique strategic digital systems partner helping established businesses strengthen the digital infrastructure that supports credibility, conversion, operational efficiency, and growth.</w:t>
      </w:r>
    </w:p>
    <w:p>
      <w:pPr>
        <w:pStyle w:val="Heading1"/>
      </w:pPr>
      <w:r>
        <w:t>4. Commercial Problem Definition</w:t>
      </w:r>
    </w:p>
    <w:p>
      <w:r>
        <w:t>The primary problem The Milbourne Group is configured to address is fragmented, outgrown, or underperforming digital infrastructure.</w:t>
      </w:r>
    </w:p>
    <w:p>
      <w:pPr>
        <w:pStyle w:val="ListBullet"/>
      </w:pPr>
      <w:r>
        <w:t>Websites that fail to establish appropriate credibility or generate qualified opportunities</w:t>
      </w:r>
    </w:p>
    <w:p>
      <w:pPr>
        <w:pStyle w:val="ListBullet"/>
      </w:pPr>
      <w:r>
        <w:t>Fragmented customer and lead journeys</w:t>
      </w:r>
    </w:p>
    <w:p>
      <w:pPr>
        <w:pStyle w:val="ListBullet"/>
      </w:pPr>
      <w:r>
        <w:t>Disconnected digital systems</w:t>
      </w:r>
    </w:p>
    <w:p>
      <w:pPr>
        <w:pStyle w:val="ListBullet"/>
      </w:pPr>
      <w:r>
        <w:t>Manual processes that create unnecessary operational friction</w:t>
      </w:r>
    </w:p>
    <w:p>
      <w:pPr>
        <w:pStyle w:val="ListBullet"/>
      </w:pPr>
      <w:r>
        <w:t>Digital infrastructure that has not kept pace with business growth</w:t>
      </w:r>
    </w:p>
    <w:p>
      <w:pPr>
        <w:pStyle w:val="ListBullet"/>
      </w:pPr>
      <w:r>
        <w:t>Technology accumulated without a coherent system architecture</w:t>
      </w:r>
    </w:p>
    <w:p>
      <w:pPr>
        <w:pStyle w:val="Heading1"/>
      </w:pPr>
      <w:r>
        <w:t>5. Recommended Commercial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Commercial Role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Strategic Website &amp; Digital Foundation</w:t>
            </w:r>
          </w:p>
        </w:tc>
      </w:tr>
      <w:tr>
        <w:tc>
          <w:tcPr>
            <w:tcW w:type="dxa" w:w="4320"/>
          </w:tcPr>
          <w:p>
            <w:r>
              <w:t>Expansion</w:t>
            </w:r>
          </w:p>
        </w:tc>
        <w:tc>
          <w:tcPr>
            <w:tcW w:type="dxa" w:w="4320"/>
          </w:tcPr>
          <w:p>
            <w:r>
              <w:t>Digital Systems &amp; Workflow Improvement</w:t>
            </w:r>
          </w:p>
        </w:tc>
      </w:tr>
      <w:tr>
        <w:tc>
          <w:tcPr>
            <w:tcW w:type="dxa" w:w="4320"/>
          </w:tcPr>
          <w:p>
            <w:r>
              <w:t>Recurring Relationship</w:t>
            </w:r>
          </w:p>
        </w:tc>
        <w:tc>
          <w:tcPr>
            <w:tcW w:type="dxa" w:w="4320"/>
          </w:tcPr>
          <w:p>
            <w:r>
              <w:t>Optimization, Support &amp; Managed Digital Systems</w:t>
            </w:r>
          </w:p>
        </w:tc>
      </w:tr>
    </w:tbl>
    <w:p>
      <w:pPr>
        <w:pStyle w:val="Heading1"/>
      </w:pPr>
      <w:r>
        <w:t>6. Competitive Position</w:t>
      </w:r>
    </w:p>
    <w:p>
      <w:r>
        <w:t>The intended competitive position is a boutique strategic partner with premium-specialist characteristics. The Milbourne Group is not positioned as a commodity website provider, generic AI agency, lowest-cost provider, or high-volume standardized vendor.</w:t>
      </w:r>
    </w:p>
    <w:p>
      <w:r>
        <w:t>The intended differentiation is based on:</w:t>
      </w:r>
    </w:p>
    <w:p>
      <w:pPr>
        <w:pStyle w:val="ListBullet"/>
      </w:pPr>
      <w:r>
        <w:t>Business understanding</w:t>
      </w:r>
    </w:p>
    <w:p>
      <w:pPr>
        <w:pStyle w:val="ListBullet"/>
      </w:pPr>
      <w:r>
        <w:t>Strategic thinking</w:t>
      </w:r>
    </w:p>
    <w:p>
      <w:pPr>
        <w:pStyle w:val="ListBullet"/>
      </w:pPr>
      <w:r>
        <w:t>High-quality digital implementation</w:t>
      </w:r>
    </w:p>
    <w:p>
      <w:pPr>
        <w:pStyle w:val="ListBullet"/>
      </w:pPr>
      <w:r>
        <w:t>Digital systems and automation capability</w:t>
      </w:r>
    </w:p>
    <w:p>
      <w:pPr>
        <w:pStyle w:val="ListBullet"/>
      </w:pPr>
      <w:r>
        <w:t>AI-enabled operational leverage</w:t>
      </w:r>
    </w:p>
    <w:p>
      <w:pPr>
        <w:pStyle w:val="ListBullet"/>
      </w:pPr>
      <w:r>
        <w:t>Appropriate human oversight</w:t>
      </w:r>
    </w:p>
    <w:p>
      <w:pPr>
        <w:pStyle w:val="ListBullet"/>
      </w:pPr>
      <w:r>
        <w:t>Measurable business improvement rather than deliverable volume</w:t>
      </w:r>
    </w:p>
    <w:p>
      <w:pPr>
        <w:pStyle w:val="Heading1"/>
      </w:pPr>
      <w:r>
        <w:t>7. Geographic Strategy</w:t>
      </w:r>
    </w:p>
    <w:p>
      <w:r>
        <w:t>The adopted operating direction is national, remote-first delivery and acquisition, while selectively leveraging local and regional relationships for trust, referrals, networking, and strategic partnerships.</w:t>
      </w:r>
    </w:p>
    <w:p>
      <w:r>
        <w:t>National capability does not mean indiscriminate marketing. Initial acquisition should remain focused and evidence-driven.</w:t>
      </w:r>
    </w:p>
    <w:p>
      <w:pPr>
        <w:pStyle w:val="Heading1"/>
      </w:pPr>
      <w:r>
        <w:t>8. Operating Model Direction</w:t>
      </w:r>
    </w:p>
    <w:p>
      <w:r>
        <w:t>The founder-led operating model is confirmed as the initial direction. The founder should remain involved in strategic, high-consequence, and relationship-critical work while repetitive, lower-risk work is progressively systemized, automated, or supported through flexible specialist capacity.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 Area</w:t>
            </w:r>
          </w:p>
        </w:tc>
        <w:tc>
          <w:tcPr>
            <w:tcW w:type="dxa" w:w="4320"/>
          </w:tcPr>
          <w:p>
            <w:r>
              <w:t>Initial Direction</w:t>
            </w:r>
          </w:p>
        </w:tc>
      </w:tr>
      <w:tr>
        <w:tc>
          <w:tcPr>
            <w:tcW w:type="dxa" w:w="4320"/>
          </w:tcPr>
          <w:p>
            <w:r>
              <w:t>Founder-led</w:t>
            </w:r>
          </w:p>
        </w:tc>
        <w:tc>
          <w:tcPr>
            <w:tcW w:type="dxa" w:w="4320"/>
          </w:tcPr>
          <w:p>
            <w:r>
              <w:t>Strategy, sales, discovery, client relationships, solution architecture, high-consequence decisions, quality control</w:t>
            </w:r>
          </w:p>
        </w:tc>
      </w:tr>
      <w:tr>
        <w:tc>
          <w:tcPr>
            <w:tcW w:type="dxa" w:w="4320"/>
          </w:tcPr>
          <w:p>
            <w:r>
              <w:t>Systemize / automate</w:t>
            </w:r>
          </w:p>
        </w:tc>
        <w:tc>
          <w:tcPr>
            <w:tcW w:type="dxa" w:w="4320"/>
          </w:tcPr>
          <w:p>
            <w:r>
              <w:t>Repetitive production support, administrative work, documentation, routine reporting, basic follow-up, repeatable workflow steps</w:t>
            </w:r>
          </w:p>
        </w:tc>
      </w:tr>
      <w:tr>
        <w:tc>
          <w:tcPr>
            <w:tcW w:type="dxa" w:w="4320"/>
          </w:tcPr>
          <w:p>
            <w:r>
              <w:t>Flexible specialist capacity</w:t>
            </w:r>
          </w:p>
        </w:tc>
        <w:tc>
          <w:tcPr>
            <w:tcW w:type="dxa" w:w="4320"/>
          </w:tcPr>
          <w:p>
            <w:r>
              <w:t>Specialized implementation or expertise not justified as permanent fixed overhead</w:t>
            </w:r>
          </w:p>
        </w:tc>
      </w:tr>
    </w:tbl>
    <w:p>
      <w:pPr>
        <w:pStyle w:val="Heading1"/>
      </w:pPr>
      <w:r>
        <w:t>9. Decision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Current Decision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Business identity</w:t>
            </w:r>
          </w:p>
        </w:tc>
        <w:tc>
          <w:tcPr>
            <w:tcW w:type="dxa" w:w="2160"/>
          </w:tcPr>
          <w:p>
            <w:r>
              <w:t>Boutique strategic digital systems partner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Core capabilities</w:t>
            </w:r>
          </w:p>
        </w:tc>
        <w:tc>
          <w:tcPr>
            <w:tcW w:type="dxa" w:w="2160"/>
          </w:tcPr>
          <w:p>
            <w:r>
              <w:t>Websites, web applications, digital systems, automation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Primary problem</w:t>
            </w:r>
          </w:p>
        </w:tc>
        <w:tc>
          <w:tcPr>
            <w:tcW w:type="dxa" w:w="2160"/>
          </w:tcPr>
          <w:p>
            <w:r>
              <w:t>Fragmented or underperforming digital infrastructure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Primary client category</w:t>
            </w:r>
          </w:p>
        </w:tc>
        <w:tc>
          <w:tcPr>
            <w:tcW w:type="dxa" w:w="2160"/>
          </w:tcPr>
          <w:p>
            <w:r>
              <w:t>Established SMBs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Focus model</w:t>
            </w:r>
          </w:p>
        </w:tc>
        <w:tc>
          <w:tcPr>
            <w:tcW w:type="dxa" w:w="2160"/>
          </w:tcPr>
          <w:p>
            <w:r>
              <w:t>Narrow problem, broad capabilities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Entry offer</w:t>
            </w:r>
          </w:p>
        </w:tc>
        <w:tc>
          <w:tcPr>
            <w:tcW w:type="dxa" w:w="2160"/>
          </w:tcPr>
          <w:p>
            <w:r>
              <w:t>Strategic Website &amp; Digital Foundation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Expansion architecture</w:t>
            </w:r>
          </w:p>
        </w:tc>
        <w:tc>
          <w:tcPr>
            <w:tcW w:type="dxa" w:w="2160"/>
          </w:tcPr>
          <w:p>
            <w:r>
              <w:t>Systems, automation, optimization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Market position</w:t>
            </w:r>
          </w:p>
        </w:tc>
        <w:tc>
          <w:tcPr>
            <w:tcW w:type="dxa" w:w="2160"/>
          </w:tcPr>
          <w:p>
            <w:r>
              <w:t>Boutique / premium strategic partner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Geography</w:t>
            </w:r>
          </w:p>
        </w:tc>
        <w:tc>
          <w:tcPr>
            <w:tcW w:type="dxa" w:w="2160"/>
          </w:tcPr>
          <w:p>
            <w:r>
              <w:t>National, remote-first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Founder role</w:t>
            </w:r>
          </w:p>
        </w:tc>
        <w:tc>
          <w:tcPr>
            <w:tcW w:type="dxa" w:w="2160"/>
          </w:tcPr>
          <w:p>
            <w:r>
              <w:t>Founder-led strategy and high-consequence decisions</w:t>
            </w:r>
          </w:p>
        </w:tc>
        <w:tc>
          <w:tcPr>
            <w:tcW w:type="dxa" w:w="2160"/>
          </w:tcPr>
          <w:p>
            <w:r>
              <w:t>Confirmed direction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Staffing direction</w:t>
            </w:r>
          </w:p>
        </w:tc>
        <w:tc>
          <w:tcPr>
            <w:tcW w:type="dxa" w:w="2160"/>
          </w:tcPr>
          <w:p>
            <w:r>
              <w:t>Lean core with flexible specialist capacity</w:t>
            </w:r>
          </w:p>
        </w:tc>
        <w:tc>
          <w:tcPr>
            <w:tcW w:type="dxa" w:w="2160"/>
          </w:tcPr>
          <w:p>
            <w:r>
              <w:t>Confirmed direction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Industry vertical</w:t>
            </w:r>
          </w:p>
        </w:tc>
        <w:tc>
          <w:tcPr>
            <w:tcW w:type="dxa" w:w="2160"/>
          </w:tcPr>
          <w:p>
            <w:r>
              <w:t>Not selected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Detailed ICP</w:t>
            </w:r>
          </w:p>
        </w:tc>
        <w:tc>
          <w:tcPr>
            <w:tcW w:type="dxa" w:w="2160"/>
          </w:tcPr>
          <w:p>
            <w:r>
              <w:t>Not configured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Buyer roles</w:t>
            </w:r>
          </w:p>
        </w:tc>
        <w:tc>
          <w:tcPr>
            <w:tcW w:type="dxa" w:w="2160"/>
          </w:tcPr>
          <w:p>
            <w:r>
              <w:t>Not configured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Acquisition strategy</w:t>
            </w:r>
          </w:p>
        </w:tc>
        <w:tc>
          <w:tcPr>
            <w:tcW w:type="dxa" w:w="2160"/>
          </w:tcPr>
          <w:p>
            <w:r>
              <w:t>Not configured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Not configured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Founder capacity</w:t>
            </w:r>
          </w:p>
        </w:tc>
        <w:tc>
          <w:tcPr>
            <w:tcW w:type="dxa" w:w="2160"/>
          </w:tcPr>
          <w:p>
            <w:r>
              <w:t>Not yet specified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Revenue urgency</w:t>
            </w:r>
          </w:p>
        </w:tc>
        <w:tc>
          <w:tcPr>
            <w:tcW w:type="dxa" w:w="2160"/>
          </w:tcPr>
          <w:p>
            <w:r>
              <w:t>Not yet specified</w:t>
            </w:r>
          </w:p>
        </w:tc>
        <w:tc>
          <w:tcPr>
            <w:tcW w:type="dxa" w:w="2160"/>
          </w:tcPr>
          <w:p>
            <w:r>
              <w:t>Open 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10. Risks and Dependencies</w:t>
      </w:r>
    </w:p>
    <w:p>
      <w:pPr>
        <w:pStyle w:val="Heading2"/>
      </w:pPr>
      <w:r>
        <w:t>Risk 1: Commercial focus still requires refinement</w:t>
      </w:r>
    </w:p>
    <w:p>
      <w:r>
        <w:t>The adopted strategy resolves the broad capability-versus-positioning problem, but the initial market focus is still incomplete. A decision is needed regarding whether the company should narrow by industry, business maturity, buyer type, or a more specific recurring problem.</w:t>
      </w:r>
    </w:p>
    <w:p>
      <w:pPr>
        <w:pStyle w:val="Heading2"/>
      </w:pPr>
      <w:r>
        <w:t>Risk 2: AI positioning must remain subordinate to client value</w:t>
      </w:r>
    </w:p>
    <w:p>
      <w:r>
        <w:t>AI and automation are operating advantages and capabilities. The customer-facing value proposition should remain centered on credibility, conversion, efficiency, systems improvement, and growth unless evidence supports a stronger AI-led market category.</w:t>
      </w:r>
    </w:p>
    <w:p>
      <w:pPr>
        <w:pStyle w:val="Heading2"/>
      </w:pPr>
      <w:r>
        <w:t>Risk 3: Pricing and acquisition cannot yet be finalized</w:t>
      </w:r>
    </w:p>
    <w:p>
      <w:r>
        <w:t>Pricing, packaging, acquisition channels, and capacity planning depend materially on the detailed ICP, buying triggers, founder advantages, revenue urgency, and available capacity. These should remain unresolved until the next discovery round.</w:t>
      </w:r>
    </w:p>
    <w:p>
      <w:pPr>
        <w:pStyle w:val="Heading1"/>
      </w:pPr>
      <w:r>
        <w:t>11. Open Questions — Discovery Round 2</w:t>
      </w:r>
    </w:p>
    <w:p>
      <w:pPr>
        <w:pStyle w:val="Heading2"/>
      </w:pPr>
      <w:r>
        <w:t>1. Industry Focus</w:t>
      </w:r>
    </w:p>
    <w:p>
      <w:r>
        <w:t>Should The Milbourne Group remain industry-agnostic initially, select one primary industry, focus on a small cluster of related industries, or deliberately test multiple markets and specialize based on evidence?</w:t>
      </w:r>
    </w:p>
    <w:p>
      <w:r>
        <w:t>Recommended default: Start controlled and evidence-driven, then specialize based on traction.</w:t>
      </w:r>
    </w:p>
    <w:p>
      <w:pPr>
        <w:pStyle w:val="Heading2"/>
      </w:pPr>
      <w:r>
        <w:t>2. Business Maturity</w:t>
      </w:r>
    </w:p>
    <w:p>
      <w:r>
        <w:t>Should the company target businesses that have proven they can sell and operate successfully but whose digital infrastructure has not kept pace with growth?</w:t>
      </w:r>
    </w:p>
    <w:p>
      <w:r>
        <w:t>Recommended default: Yes.</w:t>
      </w:r>
    </w:p>
    <w:p>
      <w:pPr>
        <w:pStyle w:val="Heading2"/>
      </w:pPr>
      <w:r>
        <w:t>3. Primary Buying Trigger</w:t>
      </w:r>
    </w:p>
    <w:p>
      <w:r>
        <w:t>Should the primary commercial trigger be: 'Our business has outgrown our current website and digital systems, and they are now becoming a constraint on growth'?</w:t>
      </w:r>
    </w:p>
    <w:p>
      <w:r>
        <w:t>Secondary triggers may include rebranding, expansion, poor website performance, weak conversion, operational inefficiency, disconnected tools, and excessive manual work.</w:t>
      </w:r>
    </w:p>
    <w:p>
      <w:pPr>
        <w:pStyle w:val="Heading2"/>
      </w:pPr>
      <w:r>
        <w:t>4. Founder Advantage</w:t>
      </w:r>
    </w:p>
    <w:p>
      <w:r>
        <w:t>What existing founder advantages should influence market selection? Relevant factors include industry experience, professional relationships, technical capabilities, sales experience, past projects, geographic relationships, communities, and potential referral partners.</w:t>
      </w:r>
    </w:p>
    <w:p>
      <w:pPr>
        <w:pStyle w:val="Heading2"/>
      </w:pPr>
      <w:r>
        <w:t>5. Revenue Urgency and Capacity</w:t>
      </w:r>
    </w:p>
    <w:p>
      <w:r>
        <w:t>Which current objective best reflects the business: validate carefully, generate revenue quickly, build a scalable platform with slower commercialization, or balance revenue generation with deliberate system-building?</w:t>
      </w:r>
    </w:p>
    <w:p>
      <w:r>
        <w:t>Recommended default: Balanced, unless actual financial constraints require a more aggressive revenue-first approach.</w:t>
      </w:r>
    </w:p>
    <w:p>
      <w:pPr>
        <w:pStyle w:val="Heading1"/>
      </w:pPr>
      <w:r>
        <w:t>12. Next Logical Step</w:t>
      </w:r>
    </w:p>
    <w:p>
      <w:r>
        <w:t>Resolve Discovery Round 2 before finalizing detailed ICP architecture, offer packages, pricing, or acquisition systems. The highest-leverage inputs are founder advantages and revenue urgency/capacity because they may materially alter market selection and go-to-market priorities.</w:t>
      </w:r>
    </w:p>
    <w:p/>
    <w:p>
      <w:pPr>
        <w:jc w:val="center"/>
      </w:pPr>
      <w:r>
        <w:rPr>
          <w:b/>
        </w:rPr>
        <w:t>Document Status: Updated Working Strategic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