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spacing w:after="280"/>
        <w:jc w:val="center"/>
      </w:pPr>
      <w:r>
        <w:rPr>
          <w:rFonts w:ascii="Calibri" w:hAnsi="Calibri"/>
          <w:b/>
          <w:color w:val="9B7A2F"/>
          <w:sz w:val="20"/>
        </w:rPr>
        <w:t>SOULDRIFTER OPERATIONS</w:t>
      </w:r>
    </w:p>
    <w:p>
      <w:pPr>
        <w:spacing w:after="160"/>
        <w:jc w:val="center"/>
      </w:pPr>
      <w:r>
        <w:rPr>
          <w:rFonts w:ascii="Calibri" w:hAnsi="Calibri"/>
          <w:b/>
          <w:color w:val="0B2545"/>
          <w:sz w:val="56"/>
        </w:rPr>
        <w:t>Kimi World-Building</w:t>
        <w:br/>
        <w:t>and Cartography Runbook</w:t>
      </w:r>
    </w:p>
    <w:p>
      <w:pPr>
        <w:spacing w:after="520"/>
        <w:jc w:val="center"/>
      </w:pPr>
      <w:r>
        <w:rPr>
          <w:rFonts w:ascii="Calibri" w:hAnsi="Calibri"/>
          <w:b/>
          <w:color w:val="187275"/>
          <w:sz w:val="30"/>
        </w:rPr>
        <w:t>Thalenyr - The Verdant Echo</w:t>
      </w:r>
    </w:p>
    <w:p>
      <w:pPr>
        <w:spacing w:after="760"/>
        <w:jc w:val="center"/>
      </w:pPr>
      <w:r>
        <w:rPr>
          <w:rFonts w:ascii="Calibri" w:hAnsi="Calibri"/>
          <w:color w:val="5E6873"/>
          <w:sz w:val="20"/>
        </w:rPr>
        <w:t>Version 1.0  |  August 8, 2026  |  Forwardable execution brief</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1DE"/>
          </w:tcPr>
          <w:p>
            <w:pPr>
              <w:spacing w:after="0"/>
            </w:pPr>
            <w:r>
              <w:rPr>
                <w:rFonts w:ascii="Calibri" w:hAnsi="Calibri"/>
                <w:b/>
                <w:color w:val="9B7A2F"/>
                <w:sz w:val="21"/>
              </w:rPr>
              <w:t xml:space="preserve">START HERE  </w:t>
            </w:r>
            <w:r>
              <w:rPr>
                <w:rFonts w:ascii="Calibri" w:hAnsi="Calibri"/>
                <w:color w:val="0B2545"/>
                <w:sz w:val="21"/>
              </w:rPr>
              <w:t>Read tickets #428 and #429 for context and operating rules. Execute ticket #430. Do not work or close #428, and do not treat the three tickets as competing assignments.</w:t>
            </w:r>
          </w:p>
        </w:tc>
      </w:tr>
    </w:tbl>
    <w:p>
      <w:pPr>
        <w:spacing w:after="0"/>
      </w:pPr>
    </w:p>
    <w:p>
      <w:r>
        <w:br w:type="page"/>
      </w:r>
    </w:p>
    <w:p>
      <w:pPr>
        <w:pStyle w:val="Heading1"/>
        <w:keepNext/>
      </w:pPr>
      <w:r>
        <w:t>1. Mission and ownership</w:t>
      </w:r>
    </w:p>
    <w:p>
      <w:r>
        <w:rPr>
          <w:rFonts w:ascii="Calibri" w:hAnsi="Calibri"/>
          <w:sz w:val="22"/>
        </w:rPr>
        <w:t>Kimi's mission is to build the research corpus, continuity documentation, original world-building, and complete cartographic atlas for Thalenyr. Kimi is not the final creative authority and is not implementing gameplay systems.</w:t>
      </w:r>
    </w:p>
    <w:p>
      <w:pPr>
        <w:pStyle w:val="Heading2"/>
        <w:keepNext/>
      </w:pPr>
      <w:r>
        <w:t>Role boundaries</w:t>
      </w:r>
    </w:p>
    <w:p>
      <w:pPr>
        <w:pStyle w:val="ListBullet"/>
      </w:pPr>
      <w:r>
        <w:rPr>
          <w:rFonts w:ascii="Calibri" w:hAnsi="Calibri"/>
          <w:sz w:val="22"/>
        </w:rPr>
        <w:t>Kimi: source research, lore documentation, world-building proposals, continuity analysis, maps, gazetteers, fixed-dungeon plans, and structured draft artifacts.</w:t>
      </w:r>
    </w:p>
    <w:p>
      <w:pPr>
        <w:pStyle w:val="ListBullet"/>
      </w:pPr>
      <w:r>
        <w:rPr>
          <w:rFonts w:ascii="Calibri" w:hAnsi="Calibri"/>
          <w:sz w:val="22"/>
        </w:rPr>
        <w:t>Fable: narrative synthesis and polished prose only after the research packet is approved.</w:t>
      </w:r>
    </w:p>
    <w:p>
      <w:pPr>
        <w:pStyle w:val="ListBullet"/>
      </w:pPr>
      <w:r>
        <w:rPr>
          <w:rFonts w:ascii="Calibri" w:hAnsi="Calibri"/>
          <w:sz w:val="22"/>
        </w:rPr>
        <w:t>Owner and Codex: approve project canon, resolve conflicts, make game-design decisions, and implement accepted content.</w:t>
      </w:r>
    </w:p>
    <w:p>
      <w:pPr>
        <w:pStyle w:val="ListBullet"/>
      </w:pPr>
      <w:r>
        <w:rPr>
          <w:rFonts w:ascii="Calibri" w:hAnsi="Calibri"/>
          <w:sz w:val="22"/>
        </w:rPr>
        <w:t>Kimi must never silently promote a proposal into canon or overwrite a higher-precedence decision.</w:t>
      </w:r>
    </w:p>
    <w:p>
      <w:pPr>
        <w:pStyle w:val="Heading1"/>
        <w:keepNext/>
      </w:pPr>
      <w:r>
        <w:t>2. Ticket hierarchy</w:t>
      </w:r>
    </w:p>
    <w:tbl>
      <w:tblPr>
        <w:tblW w:type="dxa" w:w="9360"/>
        <w:jc w:val="left"/>
        <w:tblLayout w:type="fixed"/>
        <w:tblLook w:firstColumn="1" w:firstRow="1" w:lastColumn="0" w:lastRow="0" w:noHBand="0" w:noVBand="1" w:val="04A0"/>
        <w:tblInd w:w="120" w:type="dxa"/>
      </w:tblPr>
      <w:tblGrid>
        <w:gridCol w:w="1440"/>
        <w:gridCol w:w="2880"/>
        <w:gridCol w:w="5040"/>
      </w:tblGrid>
      <w:tr>
        <w:trPr>
          <w:tblHeader w:val="true"/>
        </w:trPr>
        <w:tc>
          <w:tcPr>
            <w:tcW w:type="dxa" w:w="1440"/>
            <w:tcMar>
              <w:top w:w="80" w:type="dxa"/>
              <w:start w:w="120" w:type="dxa"/>
              <w:bottom w:w="80" w:type="dxa"/>
              <w:end w:w="120" w:type="dxa"/>
            </w:tcMar>
            <w:vAlign w:val="center"/>
            <w:shd w:fill="E8EEF5"/>
          </w:tcPr>
          <w:p>
            <w:r>
              <w:rPr>
                <w:rFonts w:ascii="Calibri" w:hAnsi="Calibri"/>
                <w:b/>
                <w:color w:val="0B2545"/>
                <w:sz w:val="20"/>
              </w:rPr>
              <w:t>Ticket</w:t>
            </w:r>
          </w:p>
        </w:tc>
        <w:tc>
          <w:tcPr>
            <w:tcW w:type="dxa" w:w="2880"/>
            <w:tcMar>
              <w:top w:w="80" w:type="dxa"/>
              <w:start w:w="120" w:type="dxa"/>
              <w:bottom w:w="80" w:type="dxa"/>
              <w:end w:w="120" w:type="dxa"/>
            </w:tcMar>
            <w:vAlign w:val="center"/>
            <w:shd w:fill="E8EEF5"/>
          </w:tcPr>
          <w:p>
            <w:r>
              <w:rPr>
                <w:rFonts w:ascii="Calibri" w:hAnsi="Calibri"/>
                <w:b/>
                <w:color w:val="0B2545"/>
                <w:sz w:val="20"/>
              </w:rPr>
              <w:t>Kimi's relationship</w:t>
            </w:r>
          </w:p>
        </w:tc>
        <w:tc>
          <w:tcPr>
            <w:tcW w:type="dxa" w:w="5040"/>
            <w:tcMar>
              <w:top w:w="80" w:type="dxa"/>
              <w:start w:w="120" w:type="dxa"/>
              <w:bottom w:w="80" w:type="dxa"/>
              <w:end w:w="120" w:type="dxa"/>
            </w:tcMar>
            <w:vAlign w:val="center"/>
            <w:shd w:fill="E8EEF5"/>
          </w:tcPr>
          <w:p>
            <w:r>
              <w:rPr>
                <w:rFonts w:ascii="Calibri" w:hAnsi="Calibri"/>
                <w:b/>
                <w:color w:val="0B2545"/>
                <w:sz w:val="20"/>
              </w:rPr>
              <w:t>Purpose</w:t>
            </w:r>
          </w:p>
        </w:tc>
      </w:tr>
      <w:tr>
        <w:tc>
          <w:tcPr>
            <w:tcW w:type="dxa" w:w="1440"/>
            <w:tcMar>
              <w:top w:w="80" w:type="dxa"/>
              <w:start w:w="120" w:type="dxa"/>
              <w:bottom w:w="80" w:type="dxa"/>
              <w:end w:w="120" w:type="dxa"/>
            </w:tcMar>
            <w:vAlign w:val="center"/>
          </w:tcPr>
          <w:p>
            <w:hyperlink r:id="rId11">
              <w:r>
                <w:rPr>
                  <w:rFonts w:ascii="Calibri" w:hAnsi="Calibri"/>
                  <w:color w:val="2E74B5"/>
                  <w:u w:val="single"/>
                  <w:b/>
                </w:rPr>
                <w:t>#428</w:t>
              </w:r>
            </w:hyperlink>
          </w:p>
        </w:tc>
        <w:tc>
          <w:tcPr>
            <w:tcW w:type="dxa" w:w="2880"/>
            <w:tcMar>
              <w:top w:w="80" w:type="dxa"/>
              <w:start w:w="120" w:type="dxa"/>
              <w:bottom w:w="80" w:type="dxa"/>
              <w:end w:w="120" w:type="dxa"/>
            </w:tcMar>
            <w:vAlign w:val="center"/>
          </w:tcPr>
          <w:p>
            <w:r>
              <w:rPr>
                <w:rFonts w:ascii="Calibri" w:hAnsi="Calibri"/>
                <w:b/>
                <w:color w:val="187275"/>
                <w:sz w:val="21"/>
              </w:rPr>
              <w:t>Read only</w:t>
            </w:r>
          </w:p>
        </w:tc>
        <w:tc>
          <w:tcPr>
            <w:tcW w:type="dxa" w:w="5040"/>
            <w:tcMar>
              <w:top w:w="80" w:type="dxa"/>
              <w:start w:w="120" w:type="dxa"/>
              <w:bottom w:w="80" w:type="dxa"/>
              <w:end w:w="120" w:type="dxa"/>
            </w:tcMar>
            <w:vAlign w:val="center"/>
          </w:tcPr>
          <w:p>
            <w:r>
              <w:rPr>
                <w:rFonts w:ascii="Calibri" w:hAnsi="Calibri"/>
                <w:sz w:val="21"/>
              </w:rPr>
              <w:t>Master campaign, starting-dungeon lore, living-world state, and implementation ticket. Kimi does not execute or close it.</w:t>
            </w:r>
          </w:p>
        </w:tc>
      </w:tr>
      <w:tr>
        <w:tc>
          <w:tcPr>
            <w:tcW w:type="dxa" w:w="1440"/>
            <w:tcMar>
              <w:top w:w="80" w:type="dxa"/>
              <w:start w:w="120" w:type="dxa"/>
              <w:bottom w:w="80" w:type="dxa"/>
              <w:end w:w="120" w:type="dxa"/>
            </w:tcMar>
            <w:vAlign w:val="center"/>
          </w:tcPr>
          <w:p>
            <w:hyperlink r:id="rId12">
              <w:r>
                <w:rPr>
                  <w:rFonts w:ascii="Calibri" w:hAnsi="Calibri"/>
                  <w:color w:val="2E74B5"/>
                  <w:u w:val="single"/>
                  <w:b/>
                </w:rPr>
                <w:t>#429</w:t>
              </w:r>
            </w:hyperlink>
          </w:p>
        </w:tc>
        <w:tc>
          <w:tcPr>
            <w:tcW w:type="dxa" w:w="2880"/>
            <w:tcMar>
              <w:top w:w="80" w:type="dxa"/>
              <w:start w:w="120" w:type="dxa"/>
              <w:bottom w:w="80" w:type="dxa"/>
              <w:end w:w="120" w:type="dxa"/>
            </w:tcMar>
            <w:vAlign w:val="center"/>
          </w:tcPr>
          <w:p>
            <w:r>
              <w:rPr>
                <w:rFonts w:ascii="Calibri" w:hAnsi="Calibri"/>
                <w:b/>
                <w:color w:val="187275"/>
                <w:sz w:val="21"/>
              </w:rPr>
              <w:t>Operating contract</w:t>
            </w:r>
          </w:p>
        </w:tc>
        <w:tc>
          <w:tcPr>
            <w:tcW w:type="dxa" w:w="5040"/>
            <w:tcMar>
              <w:top w:w="80" w:type="dxa"/>
              <w:start w:w="120" w:type="dxa"/>
              <w:bottom w:w="80" w:type="dxa"/>
              <w:end w:w="120" w:type="dxa"/>
            </w:tcMar>
            <w:vAlign w:val="center"/>
          </w:tcPr>
          <w:p>
            <w:r>
              <w:rPr>
                <w:rFonts w:ascii="Calibri" w:hAnsi="Calibri"/>
                <w:sz w:val="21"/>
              </w:rPr>
              <w:t>Research, source, classification, cartography, copyright, and game-design boundary rules.</w:t>
            </w:r>
          </w:p>
        </w:tc>
      </w:tr>
      <w:tr>
        <w:tc>
          <w:tcPr>
            <w:tcW w:type="dxa" w:w="1440"/>
            <w:tcMar>
              <w:top w:w="80" w:type="dxa"/>
              <w:start w:w="120" w:type="dxa"/>
              <w:bottom w:w="80" w:type="dxa"/>
              <w:end w:w="120" w:type="dxa"/>
            </w:tcMar>
            <w:vAlign w:val="center"/>
          </w:tcPr>
          <w:p>
            <w:hyperlink r:id="rId13">
              <w:r>
                <w:rPr>
                  <w:rFonts w:ascii="Calibri" w:hAnsi="Calibri"/>
                  <w:color w:val="2E74B5"/>
                  <w:u w:val="single"/>
                  <w:b/>
                </w:rPr>
                <w:t>#430</w:t>
              </w:r>
            </w:hyperlink>
          </w:p>
        </w:tc>
        <w:tc>
          <w:tcPr>
            <w:tcW w:type="dxa" w:w="2880"/>
            <w:tcMar>
              <w:top w:w="80" w:type="dxa"/>
              <w:start w:w="120" w:type="dxa"/>
              <w:bottom w:w="80" w:type="dxa"/>
              <w:end w:w="120" w:type="dxa"/>
            </w:tcMar>
            <w:vAlign w:val="center"/>
          </w:tcPr>
          <w:p>
            <w:r>
              <w:rPr>
                <w:rFonts w:ascii="Calibri" w:hAnsi="Calibri"/>
                <w:b/>
                <w:color w:val="187275"/>
                <w:sz w:val="21"/>
              </w:rPr>
              <w:t>Execute</w:t>
            </w:r>
          </w:p>
        </w:tc>
        <w:tc>
          <w:tcPr>
            <w:tcW w:type="dxa" w:w="5040"/>
            <w:tcMar>
              <w:top w:w="80" w:type="dxa"/>
              <w:start w:w="120" w:type="dxa"/>
              <w:bottom w:w="80" w:type="dxa"/>
              <w:end w:w="120" w:type="dxa"/>
            </w:tcMar>
            <w:vAlign w:val="center"/>
          </w:tcPr>
          <w:p>
            <w:r>
              <w:rPr>
                <w:rFonts w:ascii="Calibri" w:hAnsi="Calibri"/>
                <w:sz w:val="21"/>
              </w:rPr>
              <w:t>Thalenyr lore corpus, realm atlas, settlements, quest hubs, cultures, NPC context, and complete fixed-dungeon maps.</w:t>
            </w:r>
          </w:p>
        </w:tc>
      </w:tr>
    </w:tbl>
    <w:p>
      <w:pPr>
        <w:spacing w:after="0"/>
      </w:pPr>
    </w:p>
    <w:p>
      <w:pPr>
        <w:pStyle w:val="Heading2"/>
        <w:keepNext/>
      </w:pPr>
      <w:r>
        <w:t>Direct links</w:t>
      </w:r>
    </w:p>
    <w:p>
      <w:pPr>
        <w:pStyle w:val="ListBullet"/>
      </w:pPr>
      <w:hyperlink r:id="rId11">
        <w:r>
          <w:rPr>
            <w:rFonts w:ascii="Calibri" w:hAnsi="Calibri"/>
            <w:color w:val="2E74B5"/>
            <w:u w:val="single"/>
            <w:b/>
          </w:rPr>
          <w:t>Ticket #428</w:t>
        </w:r>
      </w:hyperlink>
      <w:r>
        <w:rPr>
          <w:rFonts w:ascii="Calibri" w:hAnsi="Calibri"/>
          <w:sz w:val="22"/>
        </w:rPr>
        <w:t xml:space="preserve"> - campaign and implementation context</w:t>
      </w:r>
    </w:p>
    <w:p>
      <w:pPr>
        <w:pStyle w:val="ListBullet"/>
      </w:pPr>
      <w:hyperlink r:id="rId12">
        <w:r>
          <w:rPr>
            <w:rFonts w:ascii="Calibri" w:hAnsi="Calibri"/>
            <w:color w:val="2E74B5"/>
            <w:u w:val="single"/>
            <w:b/>
          </w:rPr>
          <w:t>Ticket #429</w:t>
        </w:r>
      </w:hyperlink>
      <w:r>
        <w:rPr>
          <w:rFonts w:ascii="Calibri" w:hAnsi="Calibri"/>
          <w:sz w:val="22"/>
        </w:rPr>
        <w:t xml:space="preserve"> - Kimi research and cartography contract</w:t>
      </w:r>
    </w:p>
    <w:p>
      <w:pPr>
        <w:pStyle w:val="ListBullet"/>
      </w:pPr>
      <w:hyperlink r:id="rId13">
        <w:r>
          <w:rPr>
            <w:rFonts w:ascii="Calibri" w:hAnsi="Calibri"/>
            <w:color w:val="2E74B5"/>
            <w:u w:val="single"/>
            <w:b/>
          </w:rPr>
          <w:t>Ticket #430</w:t>
        </w:r>
      </w:hyperlink>
      <w:r>
        <w:rPr>
          <w:rFonts w:ascii="Calibri" w:hAnsi="Calibri"/>
          <w:sz w:val="22"/>
        </w:rPr>
        <w:t xml:space="preserve"> - the Thalenyr assignment to execute</w:t>
      </w:r>
    </w:p>
    <w:p>
      <w:pPr>
        <w:pStyle w:val="Heading1"/>
        <w:keepNext/>
      </w:pPr>
      <w:r>
        <w:t>3. Ready-to-forward kickoff instruction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F2F1"/>
          </w:tcPr>
          <w:p>
            <w:pPr>
              <w:spacing w:after="0"/>
            </w:pPr>
            <w:r>
              <w:rPr>
                <w:rFonts w:ascii="Calibri" w:hAnsi="Calibri"/>
                <w:b/>
                <w:color w:val="187275"/>
                <w:sz w:val="21"/>
              </w:rPr>
              <w:t xml:space="preserve">COPY THIS TO KIMI  </w:t>
            </w:r>
            <w:r>
              <w:rPr>
                <w:rFonts w:ascii="Calibri" w:hAnsi="Calibri"/>
                <w:color w:val="0B2545"/>
                <w:sz w:val="21"/>
              </w:rPr>
              <w:t>You are assigned to SoulDrifter ticket #430. First read #428 for campaign context and #429 for your operating rules. Then execute #430 only. Build Thalenyr's traceable lore corpus, world atlas, settlements, quest hubs, cultures, factions, NPC context, and complete fixed-dungeon maps. Do not design gameplay mechanics, change code, modify canonical files, or close #428/#429. Classify every material claim, cite every source, report conflicts instead of resolving them silently, and stop any affected section when a required source is unavailable. Submit phased drafts for Fable/owner/Codex review before anything becomes project canon.</w:t>
            </w:r>
          </w:p>
        </w:tc>
      </w:tr>
    </w:tbl>
    <w:p>
      <w:pPr>
        <w:spacing w:after="0"/>
      </w:pPr>
    </w:p>
    <w:p>
      <w:pPr>
        <w:pStyle w:val="Heading1"/>
        <w:keepNext/>
      </w:pPr>
      <w:r>
        <w:t>4. Required reading and context pack</w:t>
      </w:r>
    </w:p>
    <w:p>
      <w:r>
        <w:rPr>
          <w:rFonts w:ascii="Calibri" w:hAnsi="Calibri"/>
          <w:sz w:val="22"/>
        </w:rPr>
        <w:t>Read the sources below in order before drafting. Paths are relative to Arianus-Sky/projects/games/SoulDrifterWeb/.</w:t>
      </w:r>
    </w:p>
    <w:p>
      <w:pPr>
        <w:pStyle w:val="ListBullet"/>
      </w:pPr>
      <w:r>
        <w:rPr>
          <w:rFonts w:ascii="Consolas" w:hAnsi="Consolas"/>
          <w:b/>
          <w:color w:val="0B2545"/>
          <w:sz w:val="19"/>
        </w:rPr>
        <w:t>docs/GAME_BIBLE.md</w:t>
      </w:r>
      <w:r>
        <w:rPr>
          <w:rFonts w:ascii="Calibri" w:hAnsi="Calibri"/>
          <w:sz w:val="22"/>
        </w:rPr>
        <w:t xml:space="preserve"> - Source provenance; preservation guarantee; high concept; realm/lore bible; races/classes; progression; tutorial; quests; state model; data contracts; non-negotiable canon rules.</w:t>
      </w:r>
    </w:p>
    <w:p>
      <w:pPr>
        <w:pStyle w:val="ListBullet"/>
      </w:pPr>
      <w:r>
        <w:rPr>
          <w:rFonts w:ascii="Consolas" w:hAnsi="Consolas"/>
          <w:b/>
          <w:color w:val="0B2545"/>
          <w:sz w:val="19"/>
        </w:rPr>
        <w:t>docs/DEATH_GATE_MAGIC_REFERENCE.md</w:t>
      </w:r>
      <w:r>
        <w:rPr>
          <w:rFonts w:ascii="Calibri" w:hAnsi="Calibri"/>
          <w:sz w:val="22"/>
        </w:rPr>
        <w:t xml:space="preserve"> - Sartan/Patryn methods, mortal magic, necromancy, dragons/dragon-snakes, gates, and nullification.</w:t>
      </w:r>
    </w:p>
    <w:p>
      <w:pPr>
        <w:pStyle w:val="ListBullet"/>
      </w:pPr>
      <w:r>
        <w:rPr>
          <w:rFonts w:ascii="Consolas" w:hAnsi="Consolas"/>
          <w:b/>
          <w:color w:val="0B2545"/>
          <w:sz w:val="19"/>
        </w:rPr>
        <w:t>docs/CLASS_PROGRESSION_CODEX.md</w:t>
      </w:r>
      <w:r>
        <w:rPr>
          <w:rFonts w:ascii="Calibri" w:hAnsi="Calibri"/>
          <w:sz w:val="22"/>
        </w:rPr>
        <w:t xml:space="preserve"> - Class roster, weapons, leveling pace, rune traditions, exclusivity, Shadowknight, ancestry resonance, and boss direction.</w:t>
      </w:r>
    </w:p>
    <w:p>
      <w:pPr>
        <w:pStyle w:val="ListBullet"/>
      </w:pPr>
      <w:r>
        <w:rPr>
          <w:rFonts w:ascii="Consolas" w:hAnsi="Consolas"/>
          <w:b/>
          <w:color w:val="0B2545"/>
          <w:sz w:val="19"/>
        </w:rPr>
        <w:t>docs/CHARACTER_AND_STORY_SYSTEM.md</w:t>
      </w:r>
      <w:r>
        <w:rPr>
          <w:rFonts w:ascii="Calibri" w:hAnsi="Calibri"/>
          <w:sz w:val="22"/>
        </w:rPr>
        <w:t xml:space="preserve"> - Ancestries, classes, starter gear, guide NPCs, dialogue, persistent story database, and multiplayer boundary.</w:t>
      </w:r>
    </w:p>
    <w:p>
      <w:pPr>
        <w:pStyle w:val="ListBullet"/>
      </w:pPr>
      <w:r>
        <w:rPr>
          <w:rFonts w:ascii="Consolas" w:hAnsi="Consolas"/>
          <w:b/>
          <w:color w:val="0B2545"/>
          <w:sz w:val="19"/>
        </w:rPr>
        <w:t>docs/LEVEL_01.md</w:t>
      </w:r>
      <w:r>
        <w:rPr>
          <w:rFonts w:ascii="Calibri" w:hAnsi="Calibri"/>
          <w:sz w:val="22"/>
        </w:rPr>
        <w:t xml:space="preserve"> - Soul Well/First Breach flow and the transition into Thalenyr.</w:t>
      </w:r>
    </w:p>
    <w:p>
      <w:pPr>
        <w:pStyle w:val="ListBullet"/>
      </w:pPr>
      <w:r>
        <w:rPr>
          <w:rFonts w:ascii="Consolas" w:hAnsi="Consolas"/>
          <w:b/>
          <w:color w:val="0B2545"/>
          <w:sz w:val="19"/>
        </w:rPr>
        <w:t>docs/BROWSER_GAME_DESIGN.md</w:t>
      </w:r>
      <w:r>
        <w:rPr>
          <w:rFonts w:ascii="Calibri" w:hAnsi="Calibri"/>
          <w:sz w:val="22"/>
        </w:rPr>
        <w:t xml:space="preserve"> - Browser-world presentation and structural constraints.</w:t>
      </w:r>
    </w:p>
    <w:p>
      <w:pPr>
        <w:pStyle w:val="ListBullet"/>
      </w:pPr>
      <w:r>
        <w:rPr>
          <w:rFonts w:ascii="Consolas" w:hAnsi="Consolas"/>
          <w:b/>
          <w:color w:val="0B2545"/>
          <w:sz w:val="19"/>
        </w:rPr>
        <w:t>docs/ARCHITECTURE.md</w:t>
      </w:r>
      <w:r>
        <w:rPr>
          <w:rFonts w:ascii="Calibri" w:hAnsi="Calibri"/>
          <w:sz w:val="22"/>
        </w:rPr>
        <w:t xml:space="preserve"> - Current data/technical boundary for context only; Kimi must not redesign it.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1DE"/>
          </w:tcPr>
          <w:p>
            <w:pPr>
              <w:spacing w:after="0"/>
            </w:pPr>
            <w:r>
              <w:rPr>
                <w:rFonts w:ascii="Calibri" w:hAnsi="Calibri"/>
                <w:b/>
                <w:color w:val="9B7A2F"/>
                <w:sz w:val="21"/>
              </w:rPr>
              <w:t xml:space="preserve">MISSING-SOURCE RULE  </w:t>
            </w:r>
            <w:r>
              <w:rPr>
                <w:rFonts w:ascii="Calibri" w:hAnsi="Calibri"/>
                <w:color w:val="0B2545"/>
                <w:sz w:val="21"/>
              </w:rPr>
              <w:t>If a required document is unavailable, stale, or contradictory, mark the affected work MISSING SOURCE or UNKNOWN / CONFLICT and stop that section. Never fill a missing project decision with generic fantasy assumptions.</w:t>
            </w:r>
          </w:p>
        </w:tc>
      </w:tr>
    </w:tbl>
    <w:p>
      <w:pPr>
        <w:spacing w:after="0"/>
      </w:pPr>
    </w:p>
    <w:p>
      <w:pPr>
        <w:pStyle w:val="Heading1"/>
        <w:keepNext/>
      </w:pPr>
      <w:r>
        <w:t>5. Locked SoulDrifter context</w:t>
      </w:r>
    </w:p>
    <w:p>
      <w:pPr>
        <w:pStyle w:val="ListBullet"/>
      </w:pPr>
      <w:r>
        <w:rPr>
          <w:rFonts w:ascii="Calibri" w:hAnsi="Calibri"/>
          <w:sz w:val="22"/>
        </w:rPr>
        <w:t>Arianus, Pryan, Abarrach, Chelestra, the Nexus, the Labyrinth, Death's Gate, and the Seventh Gate background remain distinct source-derived structures.</w:t>
      </w:r>
    </w:p>
    <w:p>
      <w:pPr>
        <w:pStyle w:val="ListBullet"/>
      </w:pPr>
      <w:r>
        <w:rPr>
          <w:rFonts w:ascii="Calibri" w:hAnsi="Calibri"/>
          <w:sz w:val="22"/>
        </w:rPr>
        <w:t>Thalenyr (THAL-eh-neer), called the Verdant Echo, is original SoulDrifter project canon and not official Death Gate Cycle canon.</w:t>
      </w:r>
    </w:p>
    <w:p>
      <w:pPr>
        <w:pStyle w:val="ListBullet"/>
      </w:pPr>
      <w:r>
        <w:rPr>
          <w:rFonts w:ascii="Calibri" w:hAnsi="Calibri"/>
          <w:sz w:val="22"/>
        </w:rPr>
        <w:t>Thalenyr formed accidentally from magical pressure, soul-memory, and habitable-world patterns during the sealing of Sartan and Patryn forces.</w:t>
      </w:r>
    </w:p>
    <w:p>
      <w:pPr>
        <w:pStyle w:val="ListBullet"/>
      </w:pPr>
      <w:r>
        <w:rPr>
          <w:rFonts w:ascii="Calibri" w:hAnsi="Calibri"/>
          <w:sz w:val="22"/>
        </w:rPr>
        <w:t>Thalenyr is the lush, temperate starting realm after the Soul Well: forests, plains, rivers, mountains, wetlands, and coasts. It must not duplicate Pryan's four-sun jungle, Citadels, Tytans, or system role.</w:t>
      </w:r>
    </w:p>
    <w:p>
      <w:pPr>
        <w:pStyle w:val="ListBullet"/>
      </w:pPr>
      <w:r>
        <w:rPr>
          <w:rFonts w:ascii="Calibri" w:hAnsi="Calibri"/>
          <w:sz w:val="22"/>
        </w:rPr>
        <w:t>The Soul Well prologue is a replay-variable three-to-five-chamber crawl: character refinement, trial choice, combat galleries, resource pressure, miniboss, then the exit to Thalenyr.</w:t>
      </w:r>
    </w:p>
    <w:p>
      <w:pPr>
        <w:pStyle w:val="ListBullet"/>
      </w:pPr>
      <w:r>
        <w:rPr>
          <w:rFonts w:ascii="Calibri" w:hAnsi="Calibri"/>
          <w:sz w:val="22"/>
        </w:rPr>
        <w:t>The campaign focuses on stabilizing realms, solving their crises, building alliances or changing failed rulers, and preparing for possible Sartan/Patryn and dragon-serpent threats. It does not merge the realms into a generic world.</w:t>
      </w:r>
    </w:p>
    <w:p>
      <w:pPr>
        <w:pStyle w:val="ListBullet"/>
      </w:pPr>
      <w:r>
        <w:rPr>
          <w:rFonts w:ascii="Calibri" w:hAnsi="Calibri"/>
          <w:sz w:val="22"/>
        </w:rPr>
        <w:t>Playable ancestries are Elf, Human, Dwarf, and Drakkin. Base classes are Warrior, Mage, Priest, Sharpshooter, Paladin, Summoner, Asura, Slayer, and Shadowknight; Monk is planned later.</w:t>
      </w:r>
    </w:p>
    <w:p>
      <w:pPr>
        <w:pStyle w:val="ListBullet"/>
      </w:pPr>
      <w:r>
        <w:rPr>
          <w:rFonts w:ascii="Calibri" w:hAnsi="Calibri"/>
          <w:sz w:val="22"/>
        </w:rPr>
        <w:t>Starter characters use mortal weapons, human-style wizardry, spiritual/physical magic, and necromancy. Visible Sartan/Patryn rune specialization is higher-level content.</w:t>
      </w:r>
    </w:p>
    <w:p>
      <w:pPr>
        <w:pStyle w:val="ListBullet"/>
      </w:pPr>
      <w:r>
        <w:rPr>
          <w:rFonts w:ascii="Calibri" w:hAnsi="Calibri"/>
          <w:sz w:val="22"/>
        </w:rPr>
        <w:t>Sartan and Patryn specializations are mutually exclusive on one character. Patryns are not inherently evil. Paladin advancement favors the Sartan/Aether-Scribed path.</w:t>
      </w:r>
    </w:p>
    <w:p>
      <w:pPr>
        <w:pStyle w:val="ListBullet"/>
      </w:pPr>
      <w:r>
        <w:rPr>
          <w:rFonts w:ascii="Calibri" w:hAnsi="Calibri"/>
          <w:sz w:val="22"/>
        </w:rPr>
        <w:t>NPCs and locations ultimately use persistent IDs, memories, relationships, dialogue checkpoints, and world-state consequences.</w:t>
      </w:r>
    </w:p>
    <w:p>
      <w:pPr>
        <w:pStyle w:val="Heading1"/>
        <w:keepNext/>
      </w:pPr>
      <w:r>
        <w:t>6. Classification and source discipline</w:t>
      </w:r>
    </w:p>
    <w:tbl>
      <w:tblPr>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tcMar>
              <w:top w:w="80" w:type="dxa"/>
              <w:start w:w="120" w:type="dxa"/>
              <w:bottom w:w="80" w:type="dxa"/>
              <w:end w:w="120" w:type="dxa"/>
            </w:tcMar>
            <w:vAlign w:val="center"/>
            <w:shd w:fill="E8EEF5"/>
          </w:tcPr>
          <w:p>
            <w:r>
              <w:rPr>
                <w:rFonts w:ascii="Calibri" w:hAnsi="Calibri"/>
                <w:b/>
                <w:color w:val="0B2545"/>
                <w:sz w:val="20"/>
              </w:rPr>
              <w:t>Required tag</w:t>
            </w:r>
          </w:p>
        </w:tc>
        <w:tc>
          <w:tcPr>
            <w:tcW w:type="dxa" w:w="7200"/>
            <w:tcMar>
              <w:top w:w="80" w:type="dxa"/>
              <w:start w:w="120" w:type="dxa"/>
              <w:bottom w:w="80" w:type="dxa"/>
              <w:end w:w="120" w:type="dxa"/>
            </w:tcMar>
            <w:vAlign w:val="center"/>
            <w:shd w:fill="E8EEF5"/>
          </w:tcPr>
          <w:p>
            <w:r>
              <w:rPr>
                <w:rFonts w:ascii="Calibri" w:hAnsi="Calibri"/>
                <w:b/>
                <w:color w:val="0B2545"/>
                <w:sz w:val="20"/>
              </w:rPr>
              <w:t>Meaning</w:t>
            </w:r>
          </w:p>
        </w:tc>
      </w:tr>
      <w:tr>
        <w:tc>
          <w:tcPr>
            <w:tcW w:type="dxa" w:w="2160"/>
            <w:tcMar>
              <w:top w:w="80" w:type="dxa"/>
              <w:start w:w="120" w:type="dxa"/>
              <w:bottom w:w="80" w:type="dxa"/>
              <w:end w:w="120" w:type="dxa"/>
            </w:tcMar>
          </w:tcPr>
          <w:p>
            <w:r>
              <w:rPr>
                <w:rFonts w:ascii="Calibri" w:hAnsi="Calibri"/>
                <w:b/>
                <w:color w:val="187275"/>
                <w:sz w:val="19"/>
              </w:rPr>
              <w:t>SOURCE CANON</w:t>
            </w:r>
          </w:p>
        </w:tc>
        <w:tc>
          <w:tcPr>
            <w:tcW w:type="dxa" w:w="7200"/>
            <w:tcMar>
              <w:top w:w="80" w:type="dxa"/>
              <w:start w:w="120" w:type="dxa"/>
              <w:bottom w:w="80" w:type="dxa"/>
              <w:end w:w="120" w:type="dxa"/>
            </w:tcMar>
          </w:tcPr>
          <w:p>
            <w:r>
              <w:rPr>
                <w:rFonts w:ascii="Calibri" w:hAnsi="Calibri"/>
                <w:sz w:val="20"/>
              </w:rPr>
              <w:t>Directly supported by an identified source. Include a precise source pointer.</w:t>
            </w:r>
          </w:p>
        </w:tc>
      </w:tr>
      <w:tr>
        <w:tc>
          <w:tcPr>
            <w:tcW w:type="dxa" w:w="2160"/>
            <w:tcMar>
              <w:top w:w="80" w:type="dxa"/>
              <w:start w:w="120" w:type="dxa"/>
              <w:bottom w:w="80" w:type="dxa"/>
              <w:end w:w="120" w:type="dxa"/>
            </w:tcMar>
          </w:tcPr>
          <w:p>
            <w:r>
              <w:rPr>
                <w:rFonts w:ascii="Calibri" w:hAnsi="Calibri"/>
                <w:b/>
                <w:color w:val="187275"/>
                <w:sz w:val="19"/>
              </w:rPr>
              <w:t>PROJECT CANON</w:t>
            </w:r>
          </w:p>
        </w:tc>
        <w:tc>
          <w:tcPr>
            <w:tcW w:type="dxa" w:w="7200"/>
            <w:tcMar>
              <w:top w:w="80" w:type="dxa"/>
              <w:start w:w="120" w:type="dxa"/>
              <w:bottom w:w="80" w:type="dxa"/>
              <w:end w:w="120" w:type="dxa"/>
            </w:tcMar>
          </w:tcPr>
          <w:p>
            <w:r>
              <w:rPr>
                <w:rFonts w:ascii="Calibri" w:hAnsi="Calibri"/>
                <w:sz w:val="20"/>
              </w:rPr>
              <w:t>Explicitly approved in the SoulDrifter bible or tickets #428-#430.</w:t>
            </w:r>
          </w:p>
        </w:tc>
      </w:tr>
      <w:tr>
        <w:tc>
          <w:tcPr>
            <w:tcW w:type="dxa" w:w="2160"/>
            <w:tcMar>
              <w:top w:w="80" w:type="dxa"/>
              <w:start w:w="120" w:type="dxa"/>
              <w:bottom w:w="80" w:type="dxa"/>
              <w:end w:w="120" w:type="dxa"/>
            </w:tcMar>
          </w:tcPr>
          <w:p>
            <w:r>
              <w:rPr>
                <w:rFonts w:ascii="Calibri" w:hAnsi="Calibri"/>
                <w:b/>
                <w:color w:val="187275"/>
                <w:sz w:val="19"/>
              </w:rPr>
              <w:t>PROPOSAL</w:t>
            </w:r>
          </w:p>
        </w:tc>
        <w:tc>
          <w:tcPr>
            <w:tcW w:type="dxa" w:w="7200"/>
            <w:tcMar>
              <w:top w:w="80" w:type="dxa"/>
              <w:start w:w="120" w:type="dxa"/>
              <w:bottom w:w="80" w:type="dxa"/>
              <w:end w:w="120" w:type="dxa"/>
            </w:tcMar>
          </w:tcPr>
          <w:p>
            <w:r>
              <w:rPr>
                <w:rFonts w:ascii="Calibri" w:hAnsi="Calibri"/>
                <w:sz w:val="20"/>
              </w:rPr>
              <w:t>New SoulDrifter material offered for review; not canon yet.</w:t>
            </w:r>
          </w:p>
        </w:tc>
      </w:tr>
      <w:tr>
        <w:tc>
          <w:tcPr>
            <w:tcW w:type="dxa" w:w="2160"/>
            <w:tcMar>
              <w:top w:w="80" w:type="dxa"/>
              <w:start w:w="120" w:type="dxa"/>
              <w:bottom w:w="80" w:type="dxa"/>
              <w:end w:w="120" w:type="dxa"/>
            </w:tcMar>
          </w:tcPr>
          <w:p>
            <w:r>
              <w:rPr>
                <w:rFonts w:ascii="Calibri" w:hAnsi="Calibri"/>
                <w:b/>
                <w:color w:val="187275"/>
                <w:sz w:val="19"/>
              </w:rPr>
              <w:t>INFERENCE</w:t>
            </w:r>
          </w:p>
        </w:tc>
        <w:tc>
          <w:tcPr>
            <w:tcW w:type="dxa" w:w="7200"/>
            <w:tcMar>
              <w:top w:w="80" w:type="dxa"/>
              <w:start w:w="120" w:type="dxa"/>
              <w:bottom w:w="80" w:type="dxa"/>
              <w:end w:w="120" w:type="dxa"/>
            </w:tcMar>
          </w:tcPr>
          <w:p>
            <w:r>
              <w:rPr>
                <w:rFonts w:ascii="Calibri" w:hAnsi="Calibri"/>
                <w:sz w:val="20"/>
              </w:rPr>
              <w:t>A reasoned connection that is not directly stated by a source.</w:t>
            </w:r>
          </w:p>
        </w:tc>
      </w:tr>
      <w:tr>
        <w:tc>
          <w:tcPr>
            <w:tcW w:type="dxa" w:w="2160"/>
            <w:tcMar>
              <w:top w:w="80" w:type="dxa"/>
              <w:start w:w="120" w:type="dxa"/>
              <w:bottom w:w="80" w:type="dxa"/>
              <w:end w:w="120" w:type="dxa"/>
            </w:tcMar>
          </w:tcPr>
          <w:p>
            <w:r>
              <w:rPr>
                <w:rFonts w:ascii="Calibri" w:hAnsi="Calibri"/>
                <w:b/>
                <w:color w:val="187275"/>
                <w:sz w:val="19"/>
              </w:rPr>
              <w:t>UNKNOWN / CONFLICT</w:t>
            </w:r>
          </w:p>
        </w:tc>
        <w:tc>
          <w:tcPr>
            <w:tcW w:type="dxa" w:w="7200"/>
            <w:tcMar>
              <w:top w:w="80" w:type="dxa"/>
              <w:start w:w="120" w:type="dxa"/>
              <w:bottom w:w="80" w:type="dxa"/>
              <w:end w:w="120" w:type="dxa"/>
            </w:tcMar>
          </w:tcPr>
          <w:p>
            <w:r>
              <w:rPr>
                <w:rFonts w:ascii="Calibri" w:hAnsi="Calibri"/>
                <w:sz w:val="20"/>
              </w:rPr>
              <w:t>Missing, ambiguous, or contradictory information that requires review.</w:t>
            </w:r>
          </w:p>
        </w:tc>
      </w:tr>
      <w:tr>
        <w:tc>
          <w:tcPr>
            <w:tcW w:type="dxa" w:w="2160"/>
            <w:tcMar>
              <w:top w:w="80" w:type="dxa"/>
              <w:start w:w="120" w:type="dxa"/>
              <w:bottom w:w="80" w:type="dxa"/>
              <w:end w:w="120" w:type="dxa"/>
            </w:tcMar>
          </w:tcPr>
          <w:p>
            <w:r>
              <w:rPr>
                <w:rFonts w:ascii="Calibri" w:hAnsi="Calibri"/>
                <w:b/>
                <w:color w:val="187275"/>
                <w:sz w:val="19"/>
              </w:rPr>
              <w:t>DESIGN QUESTION FOR #428</w:t>
            </w:r>
          </w:p>
        </w:tc>
        <w:tc>
          <w:tcPr>
            <w:tcW w:type="dxa" w:w="7200"/>
            <w:tcMar>
              <w:top w:w="80" w:type="dxa"/>
              <w:start w:w="120" w:type="dxa"/>
              <w:bottom w:w="80" w:type="dxa"/>
              <w:end w:w="120" w:type="dxa"/>
            </w:tcMar>
          </w:tcPr>
          <w:p>
            <w:r>
              <w:rPr>
                <w:rFonts w:ascii="Calibri" w:hAnsi="Calibri"/>
                <w:sz w:val="20"/>
              </w:rPr>
              <w:t>A gameplay, progression, implementation, or product decision outside Kimi's authority.</w:t>
            </w:r>
          </w:p>
        </w:tc>
      </w:tr>
      <w:tr>
        <w:tc>
          <w:tcPr>
            <w:tcW w:type="dxa" w:w="2160"/>
            <w:tcMar>
              <w:top w:w="80" w:type="dxa"/>
              <w:start w:w="120" w:type="dxa"/>
              <w:bottom w:w="80" w:type="dxa"/>
              <w:end w:w="120" w:type="dxa"/>
            </w:tcMar>
          </w:tcPr>
          <w:p>
            <w:r>
              <w:rPr>
                <w:rFonts w:ascii="Calibri" w:hAnsi="Calibri"/>
                <w:b/>
                <w:color w:val="187275"/>
                <w:sz w:val="19"/>
              </w:rPr>
              <w:t>MISSING SOURCE</w:t>
            </w:r>
          </w:p>
        </w:tc>
        <w:tc>
          <w:tcPr>
            <w:tcW w:type="dxa" w:w="7200"/>
            <w:tcMar>
              <w:top w:w="80" w:type="dxa"/>
              <w:start w:w="120" w:type="dxa"/>
              <w:bottom w:w="80" w:type="dxa"/>
              <w:end w:w="120" w:type="dxa"/>
            </w:tcMar>
          </w:tcPr>
          <w:p>
            <w:r>
              <w:rPr>
                <w:rFonts w:ascii="Calibri" w:hAnsi="Calibri"/>
                <w:sz w:val="20"/>
              </w:rPr>
              <w:t>A required input is unavailable; stop the affected section rather than inventing context.</w:t>
            </w:r>
          </w:p>
        </w:tc>
      </w:tr>
    </w:tbl>
    <w:p>
      <w:pPr>
        <w:spacing w:after="0"/>
      </w:pPr>
    </w:p>
    <w:p>
      <w:pPr>
        <w:pStyle w:val="Heading2"/>
        <w:keepNext/>
      </w:pPr>
      <w:r>
        <w:t>Source precedence</w:t>
      </w:r>
    </w:p>
    <w:p>
      <w:pPr>
        <w:pStyle w:val="ListNumber"/>
      </w:pPr>
      <w:r>
        <w:rPr>
          <w:rFonts w:ascii="Calibri" w:hAnsi="Calibri"/>
          <w:sz w:val="22"/>
        </w:rPr>
        <w:t>Explicit owner decisions recorded in tickets #428-#430.</w:t>
      </w:r>
    </w:p>
    <w:p>
      <w:pPr>
        <w:pStyle w:val="ListNumber"/>
      </w:pPr>
      <w:r>
        <w:rPr>
          <w:rFonts w:ascii="Calibri" w:hAnsi="Calibri"/>
          <w:sz w:val="22"/>
        </w:rPr>
        <w:t>Locked/current SoulDrifter repository documentation.</w:t>
      </w:r>
    </w:p>
    <w:p>
      <w:pPr>
        <w:pStyle w:val="ListNumber"/>
      </w:pPr>
      <w:r>
        <w:rPr>
          <w:rFonts w:ascii="Calibri" w:hAnsi="Calibri"/>
          <w:sz w:val="22"/>
        </w:rPr>
        <w:t>Directly supported source canon.</w:t>
      </w:r>
    </w:p>
    <w:p>
      <w:pPr>
        <w:pStyle w:val="ListNumber"/>
      </w:pPr>
      <w:r>
        <w:rPr>
          <w:rFonts w:ascii="Calibri" w:hAnsi="Calibri"/>
          <w:sz w:val="22"/>
        </w:rPr>
        <w:t>Approved project-canon extensions.</w:t>
      </w:r>
    </w:p>
    <w:p>
      <w:pPr>
        <w:pStyle w:val="ListNumber"/>
      </w:pPr>
      <w:r>
        <w:rPr>
          <w:rFonts w:ascii="Calibri" w:hAnsi="Calibri"/>
          <w:sz w:val="22"/>
        </w:rPr>
        <w:t>New proposals clearly labeled for review.</w:t>
      </w:r>
    </w:p>
    <w:p>
      <w:r>
        <w:rPr>
          <w:rFonts w:ascii="Calibri" w:hAnsi="Calibri"/>
          <w:sz w:val="22"/>
        </w:rPr>
        <w:t>A lower-precedence source must never silently overwrite a higher-precedence decision.</w:t>
      </w:r>
    </w:p>
    <w:p>
      <w:pPr>
        <w:pStyle w:val="Heading1"/>
        <w:keepNext/>
      </w:pPr>
      <w:r>
        <w:t>7. Execution phases and deliverables</w:t>
      </w:r>
    </w:p>
    <w:p>
      <w:pPr>
        <w:keepLines/>
      </w:pPr>
      <w:r>
        <w:rPr>
          <w:rFonts w:ascii="Calibri" w:hAnsi="Calibri"/>
          <w:b/>
          <w:color w:val="0B2545"/>
          <w:sz w:val="22"/>
        </w:rPr>
        <w:t xml:space="preserve">Phase 0 - Source gate. </w:t>
      </w:r>
      <w:r>
        <w:rPr>
          <w:rFonts w:ascii="Calibri" w:hAnsi="Calibri"/>
          <w:sz w:val="22"/>
        </w:rPr>
        <w:t>Produce the source index, claim matrix, contradictions, missing inputs, and no-invention boundary before maps or prose.</w:t>
      </w:r>
    </w:p>
    <w:p>
      <w:pPr>
        <w:keepLines/>
      </w:pPr>
      <w:r>
        <w:rPr>
          <w:rFonts w:ascii="Calibri" w:hAnsi="Calibri"/>
          <w:b/>
          <w:color w:val="0B2545"/>
          <w:sz w:val="22"/>
        </w:rPr>
        <w:t xml:space="preserve">Phase 1 - Origin packet. </w:t>
      </w:r>
      <w:r>
        <w:rPr>
          <w:rFonts w:ascii="Calibri" w:hAnsi="Calibri"/>
          <w:sz w:val="22"/>
        </w:rPr>
        <w:t>Propose two or three mechanisms explaining how the sealing accidentally formed Thalenyr. Preserve every canonical realm; recommend one for owner approval.</w:t>
      </w:r>
    </w:p>
    <w:p>
      <w:pPr>
        <w:keepLines/>
      </w:pPr>
      <w:r>
        <w:rPr>
          <w:rFonts w:ascii="Calibri" w:hAnsi="Calibri"/>
          <w:b/>
          <w:color w:val="0B2545"/>
          <w:sz w:val="22"/>
        </w:rPr>
        <w:t xml:space="preserve">Phase 2 - Master atlas. </w:t>
      </w:r>
      <w:r>
        <w:rPr>
          <w:rFonts w:ascii="Calibri" w:hAnsi="Calibri"/>
          <w:sz w:val="22"/>
        </w:rPr>
        <w:t>Create cosmological placement, whole-realm, continental, regional, climate/biome, political, travel/portal, resource/hazard, and historical maps.</w:t>
      </w:r>
    </w:p>
    <w:p>
      <w:pPr>
        <w:keepLines/>
      </w:pPr>
      <w:r>
        <w:rPr>
          <w:rFonts w:ascii="Calibri" w:hAnsi="Calibri"/>
          <w:b/>
          <w:color w:val="0B2545"/>
          <w:sz w:val="22"/>
        </w:rPr>
        <w:t xml:space="preserve">Phase 3 - Gazetteer and quest hubs. </w:t>
      </w:r>
      <w:r>
        <w:rPr>
          <w:rFonts w:ascii="Calibri" w:hAnsi="Calibri"/>
          <w:sz w:val="22"/>
        </w:rPr>
        <w:t>Create capitals, cities, towns, villages, outposts, ports, ruins, shrines, landmarks, faction centers, and lore-driven quest hubs with stable IDs and complete keyed entries.</w:t>
      </w:r>
    </w:p>
    <w:p>
      <w:pPr>
        <w:keepLines/>
      </w:pPr>
      <w:r>
        <w:rPr>
          <w:rFonts w:ascii="Calibri" w:hAnsi="Calibri"/>
          <w:b/>
          <w:color w:val="0B2545"/>
          <w:sz w:val="22"/>
        </w:rPr>
        <w:t xml:space="preserve">Phase 4 - Fixed-dungeon atlas. </w:t>
      </w:r>
      <w:r>
        <w:rPr>
          <w:rFonts w:ascii="Calibri" w:hAnsi="Calibri"/>
          <w:sz w:val="22"/>
        </w:rPr>
        <w:t>Inventory every authored non-randomized dungeon and produce complete floor-by-floor maps, spatial keys, history, architecture, entrances, vertical links, hidden/sealed areas, and topology checks.</w:t>
      </w:r>
    </w:p>
    <w:p>
      <w:pPr>
        <w:keepLines/>
      </w:pPr>
      <w:r>
        <w:rPr>
          <w:rFonts w:ascii="Calibri" w:hAnsi="Calibri"/>
          <w:b/>
          <w:color w:val="0B2545"/>
          <w:sz w:val="22"/>
        </w:rPr>
        <w:t xml:space="preserve">Phase 5 - Living-world corpus. </w:t>
      </w:r>
      <w:r>
        <w:rPr>
          <w:rFonts w:ascii="Calibri" w:hAnsi="Calibri"/>
          <w:sz w:val="22"/>
        </w:rPr>
        <w:t>Produce factions, cultures, religions, rulers, conflicts, economies as lore, NPC roles, relationships, secrets, timeline, and persistent state-changing facts.</w:t>
      </w:r>
    </w:p>
    <w:p>
      <w:pPr>
        <w:keepLines/>
      </w:pPr>
      <w:r>
        <w:rPr>
          <w:rFonts w:ascii="Calibri" w:hAnsi="Calibri"/>
          <w:b/>
          <w:color w:val="0B2545"/>
          <w:sz w:val="22"/>
        </w:rPr>
        <w:t xml:space="preserve">Phase 6 - Continuity and handoff. </w:t>
      </w:r>
      <w:r>
        <w:rPr>
          <w:rFonts w:ascii="Calibri" w:hAnsi="Calibri"/>
          <w:sz w:val="22"/>
        </w:rPr>
        <w:t>Deliver the canon/proposal matrix, continuity report, open questions for #428, proposed documentation patches, and a review-ready package for Fable/owner/Codex.</w:t>
      </w:r>
    </w:p>
    <w:p>
      <w:pPr>
        <w:pStyle w:val="Heading1"/>
        <w:keepNext/>
      </w:pPr>
      <w:r>
        <w:t>8. Cartography production standard</w:t>
      </w:r>
    </w:p>
    <w:p>
      <w:r>
        <w:rPr>
          <w:rFonts w:ascii="Calibri" w:hAnsi="Calibri"/>
          <w:sz w:val="22"/>
        </w:rPr>
        <w:t>Required map families:</w:t>
      </w:r>
    </w:p>
    <w:p>
      <w:pPr>
        <w:pStyle w:val="ListBullet"/>
      </w:pPr>
      <w:r>
        <w:rPr>
          <w:rFonts w:ascii="Calibri" w:hAnsi="Calibri"/>
          <w:sz w:val="22"/>
        </w:rPr>
        <w:t>Cosmological placement and Soul connection map.</w:t>
      </w:r>
    </w:p>
    <w:p>
      <w:pPr>
        <w:pStyle w:val="ListBullet"/>
      </w:pPr>
      <w:r>
        <w:rPr>
          <w:rFonts w:ascii="Calibri" w:hAnsi="Calibri"/>
          <w:sz w:val="22"/>
        </w:rPr>
        <w:t>Whole-realm and continent-scale maps.</w:t>
      </w:r>
    </w:p>
    <w:p>
      <w:pPr>
        <w:pStyle w:val="ListBullet"/>
      </w:pPr>
      <w:r>
        <w:rPr>
          <w:rFonts w:ascii="Calibri" w:hAnsi="Calibri"/>
          <w:sz w:val="22"/>
        </w:rPr>
        <w:t>Regional, biome, political, resource, hazard, and travel maps.</w:t>
      </w:r>
    </w:p>
    <w:p>
      <w:pPr>
        <w:pStyle w:val="ListBullet"/>
      </w:pPr>
      <w:r>
        <w:rPr>
          <w:rFonts w:ascii="Calibri" w:hAnsi="Calibri"/>
          <w:sz w:val="22"/>
        </w:rPr>
        <w:t>Settlement plans for every important city, town, village, outpost, and quest hub.</w:t>
      </w:r>
    </w:p>
    <w:p>
      <w:pPr>
        <w:pStyle w:val="ListBullet"/>
      </w:pPr>
      <w:r>
        <w:rPr>
          <w:rFonts w:ascii="Calibri" w:hAnsi="Calibri"/>
          <w:sz w:val="22"/>
        </w:rPr>
        <w:t>Historical maps showing borders, migrations, wars, collapses, ruins, and rebuilding.</w:t>
      </w:r>
    </w:p>
    <w:p>
      <w:pPr>
        <w:pStyle w:val="ListBullet"/>
      </w:pPr>
      <w:r>
        <w:rPr>
          <w:rFonts w:ascii="Calibri" w:hAnsi="Calibri"/>
          <w:sz w:val="22"/>
        </w:rPr>
        <w:t>Complete floor-by-floor plans for every fixed non-randomized dungeon.</w:t>
      </w:r>
    </w:p>
    <w:p>
      <w:pPr>
        <w:pStyle w:val="Heading2"/>
        <w:keepNext/>
      </w:pPr>
      <w:r>
        <w:t>Every map must contain</w:t>
      </w:r>
    </w:p>
    <w:p>
      <w:pPr>
        <w:pStyle w:val="ListBullet"/>
      </w:pPr>
      <w:r>
        <w:rPr>
          <w:rFonts w:ascii="Calibri" w:hAnsi="Calibri"/>
          <w:sz w:val="22"/>
        </w:rPr>
        <w:t>Title, version, stable map ID, orientation, legend, scale or relative-distance statement, and approval state.</w:t>
      </w:r>
    </w:p>
    <w:p>
      <w:pPr>
        <w:pStyle w:val="ListBullet"/>
      </w:pPr>
      <w:r>
        <w:rPr>
          <w:rFonts w:ascii="Calibri" w:hAnsi="Calibri"/>
          <w:sz w:val="22"/>
        </w:rPr>
        <w:t>Stable location IDs and a keyed Markdown companion for every label.</w:t>
      </w:r>
    </w:p>
    <w:p>
      <w:pPr>
        <w:pStyle w:val="ListBullet"/>
      </w:pPr>
      <w:r>
        <w:rPr>
          <w:rFonts w:ascii="Calibri" w:hAnsi="Calibri"/>
          <w:sz w:val="22"/>
        </w:rPr>
        <w:t>Editable source plus reviewable SVG, PNG, or PDF export when the tool permits.</w:t>
      </w:r>
    </w:p>
    <w:p>
      <w:pPr>
        <w:pStyle w:val="ListBullet"/>
      </w:pPr>
      <w:r>
        <w:rPr>
          <w:rFonts w:ascii="Calibri" w:hAnsi="Calibri"/>
          <w:sz w:val="22"/>
        </w:rPr>
        <w:t>Visible distinction between source canon, project canon, proposal, inference, and unknown/conflict layers.</w:t>
      </w:r>
    </w:p>
    <w:p>
      <w:pPr>
        <w:pStyle w:val="ListBullet"/>
      </w:pPr>
      <w:r>
        <w:rPr>
          <w:rFonts w:ascii="Calibri" w:hAnsi="Calibri"/>
          <w:sz w:val="22"/>
        </w:rPr>
        <w:t>Source pointer and confidence for each material boundary, route, landmark, dungeon floor, or spatial claim.</w:t>
      </w:r>
    </w:p>
    <w:p>
      <w:pPr>
        <w:pStyle w:val="ListBullet"/>
      </w:pPr>
      <w:r>
        <w:rPr>
          <w:rFonts w:ascii="Calibri" w:hAnsi="Calibri"/>
          <w:sz w:val="22"/>
        </w:rPr>
        <w:t>Topology verification for adjacency, routes, borders, travel assumptions, entrances, exits, and vertical connections.</w:t>
      </w:r>
    </w:p>
    <w:p>
      <w:pPr>
        <w:pStyle w:val="Heading2"/>
        <w:keepNext/>
      </w:pPr>
      <w:r>
        <w:t>Fixed-dungeon minimum</w:t>
      </w:r>
    </w:p>
    <w:p>
      <w:pPr>
        <w:pStyle w:val="ListBullet"/>
      </w:pPr>
      <w:r>
        <w:rPr>
          <w:rFonts w:ascii="Calibri" w:hAnsi="Calibri"/>
          <w:sz w:val="22"/>
        </w:rPr>
        <w:t>World-map entrance placement and all access relationships.</w:t>
      </w:r>
    </w:p>
    <w:p>
      <w:pPr>
        <w:pStyle w:val="ListBullet"/>
      </w:pPr>
      <w:r>
        <w:rPr>
          <w:rFonts w:ascii="Calibri" w:hAnsi="Calibri"/>
          <w:sz w:val="22"/>
        </w:rPr>
        <w:t>Historical purpose, builders, later occupants, current condition, and relationship to nearby settlements/factions.</w:t>
      </w:r>
    </w:p>
    <w:p>
      <w:pPr>
        <w:pStyle w:val="ListBullet"/>
      </w:pPr>
      <w:r>
        <w:rPr>
          <w:rFonts w:ascii="Calibri" w:hAnsi="Calibri"/>
          <w:sz w:val="22"/>
        </w:rPr>
        <w:t>Rooms, corridors, doors, gates, stairs, lifts, shafts, water routes, exits, and hidden/sealed areas.</w:t>
      </w:r>
    </w:p>
    <w:p>
      <w:pPr>
        <w:pStyle w:val="ListBullet"/>
      </w:pPr>
      <w:r>
        <w:rPr>
          <w:rFonts w:ascii="Calibri" w:hAnsi="Calibri"/>
          <w:sz w:val="22"/>
        </w:rPr>
        <w:t>Keyed environmental storytelling and architectural language for every meaningful space.</w:t>
      </w:r>
    </w:p>
    <w:p>
      <w:pPr>
        <w:pStyle w:val="ListBullet"/>
      </w:pPr>
      <w:r>
        <w:rPr>
          <w:rFonts w:ascii="Calibri" w:hAnsi="Calibri"/>
          <w:sz w:val="22"/>
        </w:rPr>
        <w:t>No enemy spawns, encounter composition, loot placement, puzzle mechanics, combat-room metrics, or balance decisions.</w:t>
      </w:r>
    </w:p>
    <w:p>
      <w:pPr>
        <w:pStyle w:val="Heading1"/>
        <w:keepNext/>
      </w:pPr>
      <w:r>
        <w:t>9. Location and quest-hub record</w:t>
      </w:r>
    </w:p>
    <w:p>
      <w:r>
        <w:rPr>
          <w:rFonts w:ascii="Calibri" w:hAnsi="Calibri"/>
          <w:sz w:val="22"/>
        </w:rPr>
        <w:t>Every named location requires:</w:t>
      </w:r>
    </w:p>
    <w:p>
      <w:pPr>
        <w:pStyle w:val="ListBullet"/>
      </w:pPr>
      <w:r>
        <w:rPr>
          <w:rFonts w:ascii="Calibri" w:hAnsi="Calibri"/>
          <w:sz w:val="22"/>
        </w:rPr>
        <w:t>Stable ID, name, pronunciation, type, classification, approval state, and exact map placement.</w:t>
      </w:r>
    </w:p>
    <w:p>
      <w:pPr>
        <w:pStyle w:val="ListBullet"/>
      </w:pPr>
      <w:r>
        <w:rPr>
          <w:rFonts w:ascii="Calibri" w:hAnsi="Calibri"/>
          <w:sz w:val="22"/>
        </w:rPr>
        <w:t>Founding/history, current condition, inhabitants, cultures, factions, leadership, and important NPC roles.</w:t>
      </w:r>
    </w:p>
    <w:p>
      <w:pPr>
        <w:pStyle w:val="ListBullet"/>
      </w:pPr>
      <w:r>
        <w:rPr>
          <w:rFonts w:ascii="Calibri" w:hAnsi="Calibri"/>
          <w:sz w:val="22"/>
        </w:rPr>
        <w:t>Architecture, materials, climate, sounds, environmental character, and visual identity.</w:t>
      </w:r>
    </w:p>
    <w:p>
      <w:pPr>
        <w:pStyle w:val="ListBullet"/>
      </w:pPr>
      <w:r>
        <w:rPr>
          <w:rFonts w:ascii="Calibri" w:hAnsi="Calibri"/>
          <w:sz w:val="22"/>
        </w:rPr>
        <w:t>Economic and social reason the location exists, described as world-building rather than game economy tuning.</w:t>
      </w:r>
    </w:p>
    <w:p>
      <w:pPr>
        <w:pStyle w:val="ListBullet"/>
      </w:pPr>
      <w:r>
        <w:rPr>
          <w:rFonts w:ascii="Calibri" w:hAnsi="Calibri"/>
          <w:sz w:val="22"/>
        </w:rPr>
        <w:t>Local tensions, secrets, mysteries, story families, travel links, neighboring landmarks, and nearby fixed dungeons.</w:t>
      </w:r>
    </w:p>
    <w:p>
      <w:pPr>
        <w:pStyle w:val="ListBullet"/>
      </w:pPr>
      <w:r>
        <w:rPr>
          <w:rFonts w:ascii="Calibri" w:hAnsi="Calibri"/>
          <w:sz w:val="22"/>
        </w:rPr>
        <w:t>Persistent-world facts that could change relationships, dialogue, access, or settlement state after implementation.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F1DE"/>
          </w:tcPr>
          <w:p>
            <w:pPr>
              <w:spacing w:after="0"/>
            </w:pPr>
            <w:r>
              <w:rPr>
                <w:rFonts w:ascii="Calibri" w:hAnsi="Calibri"/>
                <w:b/>
                <w:color w:val="9B7A2F"/>
                <w:sz w:val="21"/>
              </w:rPr>
              <w:t xml:space="preserve">QUEST-HUB BOUNDARY  </w:t>
            </w:r>
            <w:r>
              <w:rPr>
                <w:rFonts w:ascii="Calibri" w:hAnsi="Calibri"/>
                <w:color w:val="0B2545"/>
                <w:sz w:val="21"/>
              </w:rPr>
              <w:t>Kimi may define why people gather there, which factions and NPC roles operate there, what conflicts exist, and what kinds of stories originate there. Levels, rewards, combat encounters, fail states, mechanical branches, and progression gates belong under DESIGN QUESTION FOR #428.</w:t>
            </w:r>
          </w:p>
        </w:tc>
      </w:tr>
    </w:tbl>
    <w:p>
      <w:pPr>
        <w:spacing w:after="0"/>
      </w:pPr>
    </w:p>
    <w:p>
      <w:pPr>
        <w:pStyle w:val="Heading1"/>
        <w:keepNext/>
      </w:pPr>
      <w:r>
        <w:t>10. Prohibited work</w:t>
      </w:r>
    </w:p>
    <w:p>
      <w:pPr>
        <w:pStyle w:val="ListBullet"/>
      </w:pPr>
      <w:r>
        <w:rPr>
          <w:rFonts w:ascii="Calibri" w:hAnsi="Calibri"/>
          <w:color w:val="9B1C1C"/>
          <w:sz w:val="22"/>
        </w:rPr>
        <w:t>Do not design combat, controls, classes, races, abilities, specialization mechanics, balance, progression, or level pacing.</w:t>
      </w:r>
    </w:p>
    <w:p>
      <w:pPr>
        <w:pStyle w:val="ListBullet"/>
      </w:pPr>
      <w:r>
        <w:rPr>
          <w:rFonts w:ascii="Calibri" w:hAnsi="Calibri"/>
          <w:color w:val="9B1C1C"/>
          <w:sz w:val="22"/>
        </w:rPr>
        <w:t>Do not define enemy spawns, encounter composition, loot tables, crafting mechanics, rewards, or drop rates.</w:t>
      </w:r>
    </w:p>
    <w:p>
      <w:pPr>
        <w:pStyle w:val="ListBullet"/>
      </w:pPr>
      <w:r>
        <w:rPr>
          <w:rFonts w:ascii="Calibri" w:hAnsi="Calibri"/>
          <w:color w:val="9B1C1C"/>
          <w:sz w:val="22"/>
        </w:rPr>
        <w:t>Do not redesign UI/UX, animation, engine architecture, databases, APIs, persistence implementation, or code.</w:t>
      </w:r>
    </w:p>
    <w:p>
      <w:pPr>
        <w:pStyle w:val="ListBullet"/>
      </w:pPr>
      <w:r>
        <w:rPr>
          <w:rFonts w:ascii="Calibri" w:hAnsi="Calibri"/>
          <w:color w:val="9B1C1C"/>
          <w:sz w:val="22"/>
        </w:rPr>
        <w:t>Do not reproduce books or long copyrighted passages. Summarize and cite lawfully available material.</w:t>
      </w:r>
    </w:p>
    <w:p>
      <w:pPr>
        <w:pStyle w:val="ListBullet"/>
      </w:pPr>
      <w:r>
        <w:rPr>
          <w:rFonts w:ascii="Calibri" w:hAnsi="Calibri"/>
          <w:color w:val="9B1C1C"/>
          <w:sz w:val="22"/>
        </w:rPr>
        <w:t>Do not change GAME_BIBLE.md or other canonical files before explicit approval.</w:t>
      </w:r>
    </w:p>
    <w:p>
      <w:pPr>
        <w:pStyle w:val="ListBullet"/>
      </w:pPr>
      <w:r>
        <w:rPr>
          <w:rFonts w:ascii="Calibri" w:hAnsi="Calibri"/>
          <w:color w:val="9B1C1C"/>
          <w:sz w:val="22"/>
        </w:rPr>
        <w:t>Do not close tickets #428 or #429. Ticket #430 closes only after owner acceptance of its deliverables.</w:t>
      </w:r>
    </w:p>
    <w:p>
      <w:pPr>
        <w:pStyle w:val="Heading1"/>
        <w:keepNext/>
      </w:pPr>
      <w:r>
        <w:t>11. Submission and review gates</w:t>
      </w:r>
    </w:p>
    <w:p>
      <w:pPr>
        <w:pStyle w:val="ListNumber"/>
      </w:pPr>
      <w:r>
        <w:rPr>
          <w:rFonts w:ascii="Calibri" w:hAnsi="Calibri"/>
          <w:sz w:val="22"/>
        </w:rPr>
        <w:t>Post the source index, context audit, contradictions, and missing-source report to #430.</w:t>
      </w:r>
    </w:p>
    <w:p>
      <w:pPr>
        <w:pStyle w:val="ListNumber"/>
      </w:pPr>
      <w:r>
        <w:rPr>
          <w:rFonts w:ascii="Calibri" w:hAnsi="Calibri"/>
          <w:sz w:val="22"/>
        </w:rPr>
        <w:t>Submit the Thalenyr formation-mechanism packet and wait for owner approval.</w:t>
      </w:r>
    </w:p>
    <w:p>
      <w:pPr>
        <w:pStyle w:val="ListNumber"/>
      </w:pPr>
      <w:r>
        <w:rPr>
          <w:rFonts w:ascii="Calibri" w:hAnsi="Calibri"/>
          <w:sz w:val="22"/>
        </w:rPr>
        <w:t>Submit the unlabeled/topological realm-map blockout before detailed naming and art treatment.</w:t>
      </w:r>
    </w:p>
    <w:p>
      <w:pPr>
        <w:pStyle w:val="ListNumber"/>
      </w:pPr>
      <w:r>
        <w:rPr>
          <w:rFonts w:ascii="Calibri" w:hAnsi="Calibri"/>
          <w:sz w:val="22"/>
        </w:rPr>
        <w:t>Submit the labeled master atlas and gazetteer for continuity review.</w:t>
      </w:r>
    </w:p>
    <w:p>
      <w:pPr>
        <w:pStyle w:val="ListNumber"/>
      </w:pPr>
      <w:r>
        <w:rPr>
          <w:rFonts w:ascii="Calibri" w:hAnsi="Calibri"/>
          <w:sz w:val="22"/>
        </w:rPr>
        <w:t>Submit fixed-dungeon maps as a separate review batch with topology proof.</w:t>
      </w:r>
    </w:p>
    <w:p>
      <w:pPr>
        <w:pStyle w:val="ListNumber"/>
      </w:pPr>
      <w:r>
        <w:rPr>
          <w:rFonts w:ascii="Calibri" w:hAnsi="Calibri"/>
          <w:sz w:val="22"/>
        </w:rPr>
        <w:t>Submit factions, cultures, NPC context, timeline, and state-changing facts.</w:t>
      </w:r>
    </w:p>
    <w:p>
      <w:pPr>
        <w:pStyle w:val="ListNumber"/>
      </w:pPr>
      <w:r>
        <w:rPr>
          <w:rFonts w:ascii="Calibri" w:hAnsi="Calibri"/>
          <w:sz w:val="22"/>
        </w:rPr>
        <w:t>Submit proposed documentation patches separately; do not apply them to canonical files.</w:t>
      </w:r>
    </w:p>
    <w:p>
      <w:pPr>
        <w:pStyle w:val="ListNumber"/>
      </w:pPr>
      <w:r>
        <w:rPr>
          <w:rFonts w:ascii="Calibri" w:hAnsi="Calibri"/>
          <w:sz w:val="22"/>
        </w:rPr>
        <w:t>Fable converts approved research into narrative prose.</w:t>
      </w:r>
    </w:p>
    <w:p>
      <w:pPr>
        <w:pStyle w:val="ListNumber"/>
      </w:pPr>
      <w:r>
        <w:rPr>
          <w:rFonts w:ascii="Calibri" w:hAnsi="Calibri"/>
          <w:sz w:val="22"/>
        </w:rPr>
        <w:t>Owner and Codex approve canon and implementation. Only then may #430 be closed.</w:t>
      </w:r>
    </w:p>
    <w:p>
      <w:pPr>
        <w:pStyle w:val="Heading1"/>
        <w:keepNext/>
      </w:pPr>
      <w:r>
        <w:t>12. Definition of done</w:t>
      </w:r>
    </w:p>
    <w:p>
      <w:pPr>
        <w:pStyle w:val="ListBullet"/>
      </w:pPr>
      <w:r>
        <w:rPr>
          <w:rFonts w:ascii="Calibri" w:hAnsi="Calibri"/>
          <w:sz w:val="22"/>
        </w:rPr>
        <w:t>[ ] All required sources were read or explicitly marked missing.</w:t>
      </w:r>
    </w:p>
    <w:p>
      <w:pPr>
        <w:pStyle w:val="ListBullet"/>
      </w:pPr>
      <w:r>
        <w:rPr>
          <w:rFonts w:ascii="Calibri" w:hAnsi="Calibri"/>
          <w:sz w:val="22"/>
        </w:rPr>
        <w:t>[ ] Every material claim is classified and cited.</w:t>
      </w:r>
    </w:p>
    <w:p>
      <w:pPr>
        <w:pStyle w:val="ListBullet"/>
      </w:pPr>
      <w:r>
        <w:rPr>
          <w:rFonts w:ascii="Calibri" w:hAnsi="Calibri"/>
          <w:sz w:val="22"/>
        </w:rPr>
        <w:t>[ ] Thalenyr's detailed formation mechanism has owner approval.</w:t>
      </w:r>
    </w:p>
    <w:p>
      <w:pPr>
        <w:pStyle w:val="ListBullet"/>
      </w:pPr>
      <w:r>
        <w:rPr>
          <w:rFonts w:ascii="Calibri" w:hAnsi="Calibri"/>
          <w:sz w:val="22"/>
        </w:rPr>
        <w:t>[ ] The entire realm has coherent macro, regional, political, biome, travel, and historical cartography.</w:t>
      </w:r>
    </w:p>
    <w:p>
      <w:pPr>
        <w:pStyle w:val="ListBullet"/>
      </w:pPr>
      <w:r>
        <w:rPr>
          <w:rFonts w:ascii="Calibri" w:hAnsi="Calibri"/>
          <w:sz w:val="22"/>
        </w:rPr>
        <w:t>[ ] Every important settlement, quest hub, landmark, and fixed dungeon has a stable ID and keyed lore record.</w:t>
      </w:r>
    </w:p>
    <w:p>
      <w:pPr>
        <w:pStyle w:val="ListBullet"/>
      </w:pPr>
      <w:r>
        <w:rPr>
          <w:rFonts w:ascii="Calibri" w:hAnsi="Calibri"/>
          <w:sz w:val="22"/>
        </w:rPr>
        <w:t>[ ] Every fixed non-randomized dungeon has a complete, internally consistent floor-by-floor map.</w:t>
      </w:r>
    </w:p>
    <w:p>
      <w:pPr>
        <w:pStyle w:val="ListBullet"/>
      </w:pPr>
      <w:r>
        <w:rPr>
          <w:rFonts w:ascii="Calibri" w:hAnsi="Calibri"/>
          <w:sz w:val="22"/>
        </w:rPr>
        <w:t>[ ] Map topology, scale assumptions, routes, borders, entrances, exits, and vertical links pass continuity review.</w:t>
      </w:r>
    </w:p>
    <w:p>
      <w:pPr>
        <w:pStyle w:val="ListBullet"/>
      </w:pPr>
      <w:r>
        <w:rPr>
          <w:rFonts w:ascii="Calibri" w:hAnsi="Calibri"/>
          <w:sz w:val="22"/>
        </w:rPr>
        <w:t>[ ] Thalenyr remains distinct from Pryan, Abarrach, and the other canonical realms.</w:t>
      </w:r>
    </w:p>
    <w:p>
      <w:pPr>
        <w:pStyle w:val="ListBullet"/>
      </w:pPr>
      <w:r>
        <w:rPr>
          <w:rFonts w:ascii="Calibri" w:hAnsi="Calibri"/>
          <w:sz w:val="22"/>
        </w:rPr>
        <w:t>[ ] No game-design, implementation, or copyright boundary was crossed.</w:t>
      </w:r>
    </w:p>
    <w:p>
      <w:pPr>
        <w:pStyle w:val="ListBullet"/>
      </w:pPr>
      <w:r>
        <w:rPr>
          <w:rFonts w:ascii="Calibri" w:hAnsi="Calibri"/>
          <w:sz w:val="22"/>
        </w:rPr>
        <w:t>[ ] Fable/owner/Codex review is recorded before any proposal is promoted to project canon.</w:t>
      </w:r>
    </w:p>
    <w:p>
      <w:pPr>
        <w:pStyle w:val="Heading1"/>
        <w:keepNext/>
      </w:pPr>
      <w:r>
        <w:t>13. Final handoff rule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F2F1"/>
          </w:tcPr>
          <w:p>
            <w:pPr>
              <w:spacing w:after="0"/>
            </w:pPr>
            <w:r>
              <w:rPr>
                <w:rFonts w:ascii="Calibri" w:hAnsi="Calibri"/>
                <w:b/>
                <w:color w:val="187275"/>
                <w:sz w:val="21"/>
              </w:rPr>
              <w:t xml:space="preserve">ONE-LINE OPERATING RULE  </w:t>
            </w:r>
            <w:r>
              <w:rPr>
                <w:rFonts w:ascii="Calibri" w:hAnsi="Calibri"/>
                <w:color w:val="0B2545"/>
                <w:sz w:val="21"/>
              </w:rPr>
              <w:t>Read #428. Obey #429. Execute #430. Research and map Thalenyr. Label everything. Cite everything. Report conflicts. Do not design the game. Wait for review before canonization.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873"/>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E6873"/>
        <w:sz w:val="17"/>
      </w:rPr>
      <w:t>SOULDRIFTER  /  EXTERNAL AGENT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The-Nexus-Decoded/The-Nexus/issues/428" TargetMode="External"/><Relationship Id="rId12" Type="http://schemas.openxmlformats.org/officeDocument/2006/relationships/hyperlink" Target="https://github.com/The-Nexus-Decoded/The-Nexus/issues/429" TargetMode="External"/><Relationship Id="rId13" Type="http://schemas.openxmlformats.org/officeDocument/2006/relationships/hyperlink" Target="https://github.com/The-Nexus-Decoded/The-Nexus/issues/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