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1B2A4A"/>
          <w:spacing w:val="20"/>
          <w:sz w:val="18"/>
          <w:szCs w:val="18"/>
        </w:rPr>
        <w:t xml:space="preserve">DEPARTMENT OF NONHUMAN TERRITORIES</w:t>
      </w:r>
    </w:p>
    <w:p>
      <w:pPr>
        <w:pBdr>
          <w:bottom w:val="single" w:color="9AA5B8" w:sz="6" w:space="4"/>
        </w:pBdr>
        <w:spacing w:after="300"/>
      </w:pPr>
      <w:r>
        <w:rPr>
          <w:i/>
          <w:iCs/>
          <w:color w:val="3A3A3A"/>
          <w:sz w:val="18"/>
          <w:szCs w:val="18"/>
        </w:rPr>
        <w:t xml:space="preserve">A branch of The Nonhuman Institute</w:t>
      </w:r>
    </w:p>
    <w:p>
      <w:pPr>
        <w:spacing w:after="200"/>
      </w:pPr>
      <w:r>
        <w:rPr>
          <w:b/>
          <w:bCs/>
          <w:color w:val="1B2A4A"/>
          <w:sz w:val="44"/>
          <w:szCs w:val="44"/>
        </w:rPr>
        <w:t xml:space="preserve">Terrain Founding Document</w:t>
      </w:r>
    </w:p>
    <w:p>
      <w:pPr>
        <w:spacing w:after="40"/>
      </w:pPr>
      <w:r>
        <w:rPr>
          <w:color w:val="3A3A3A"/>
          <w:sz w:val="18"/>
          <w:szCs w:val="18"/>
        </w:rPr>
        <w:t xml:space="preserve">Document: DNT-PHY-001    </w:t>
      </w:r>
      <w:r>
        <w:rPr>
          <w:color w:val="3A3A3A"/>
          <w:sz w:val="18"/>
          <w:szCs w:val="18"/>
        </w:rPr>
        <w:t xml:space="preserve">Version: 1.1    </w:t>
      </w:r>
      <w:r>
        <w:rPr>
          <w:color w:val="3A3A3A"/>
          <w:sz w:val="18"/>
          <w:szCs w:val="18"/>
        </w:rPr>
        <w:t xml:space="preserve">Date: 2026-08-16</w:t>
      </w:r>
    </w:p>
    <w:p>
      <w:pPr>
        <w:spacing w:after="40"/>
      </w:pPr>
      <w:r>
        <w:rPr>
          <w:color w:val="3A3A3A"/>
          <w:sz w:val="18"/>
          <w:szCs w:val="18"/>
        </w:rPr>
        <w:t xml:space="preserve">Status: DRAFT — PRE-SEED    </w:t>
      </w:r>
      <w:r>
        <w:rPr>
          <w:color w:val="3A3A3A"/>
          <w:sz w:val="18"/>
          <w:szCs w:val="18"/>
        </w:rPr>
        <w:t xml:space="preserve">Classification: TERRAIN PHYSICS</w:t>
      </w:r>
    </w:p>
    <w:p>
      <w:pPr>
        <w:pBdr>
          <w:bottom w:val="single" w:color="9AA5B8" w:sz="6" w:space="4"/>
        </w:pBdr>
        <w:spacing w:after="400"/>
      </w:pPr>
      <w:r>
        <w:t xml:space="preserve"> </w:t>
      </w:r>
    </w:p>
    <w:p>
      <w:pPr>
        <w:spacing w:after="160"/>
      </w:pPr>
      <w:r>
        <w:rPr>
          <w:b w:val="false"/>
          <w:bCs w:val="false"/>
          <w:i/>
          <w:iCs/>
          <w:color w:val="000000"/>
          <w:sz w:val="22"/>
          <w:szCs w:val="22"/>
        </w:rPr>
        <w:t xml:space="preserve">This document defines the immutable operating laws of Terrain 01 prior to seeding. Once the first shift begins, changes to this document should be rare, deliberate, and logged as terrain events in their own right — not casual edits. This is physics, not configuration.</w:t>
      </w:r>
    </w:p>
    <w:p>
      <w:pPr>
        <w:pStyle w:val="Heading1"/>
        <w:spacing w:after="160" w:before="360"/>
      </w:pPr>
      <w:r>
        <w:rPr>
          <w:b/>
          <w:bCs/>
          <w:color w:val="1B2A4A"/>
          <w:sz w:val="28"/>
          <w:szCs w:val="28"/>
        </w:rPr>
        <w:t xml:space="preserve">1. Purpose of This Document</w:t>
      </w:r>
    </w:p>
    <w:p>
      <w:pPr>
        <w:spacing w:after="160"/>
      </w:pPr>
      <w:r>
        <w:rPr>
          <w:b w:val="false"/>
          <w:bCs w:val="false"/>
          <w:i w:val="false"/>
          <w:iCs w:val="false"/>
          <w:color w:val="000000"/>
          <w:sz w:val="22"/>
          <w:szCs w:val="22"/>
        </w:rPr>
        <w:t xml:space="preserve">physics.md establishes the fixed conditions under which a terrain runs: what it is built from, what roles act within it, how state persists, and what may never happen regardless of what emerges. It exists so that the terrain's rules do not live only in memory or in a single person's understanding, but are recorded, binding, and auditable.</w:t>
      </w:r>
    </w:p>
    <w:p>
      <w:pPr>
        <w:pStyle w:val="Heading1"/>
        <w:spacing w:after="160" w:before="360"/>
      </w:pPr>
      <w:r>
        <w:rPr>
          <w:b/>
          <w:bCs/>
          <w:color w:val="1B2A4A"/>
          <w:sz w:val="28"/>
          <w:szCs w:val="28"/>
        </w:rPr>
        <w:t xml:space="preserve">2. Substrate</w:t>
      </w:r>
    </w:p>
    <w:p>
      <w:pPr>
        <w:spacing w:after="160"/>
      </w:pPr>
      <w:r>
        <w:rPr>
          <w:b w:val="false"/>
          <w:bCs w:val="false"/>
          <w:i w:val="false"/>
          <w:iCs w:val="false"/>
          <w:color w:val="000000"/>
          <w:sz w:val="22"/>
          <w:szCs w:val="22"/>
        </w:rPr>
        <w:t xml:space="preserve">The terrain's ground-layer is the persistent medium all specimens read from and write to.</w:t>
      </w:r>
    </w:p>
    <w:p>
      <w:pPr>
        <w:pStyle w:val="ListParagraph"/>
        <w:numPr>
          <w:ilvl w:val="0"/>
          <w:numId w:val="1"/>
        </w:numPr>
        <w:spacing w:after="80"/>
      </w:pPr>
      <w:r>
        <w:rPr>
          <w:sz w:val="22"/>
          <w:szCs w:val="22"/>
        </w:rPr>
        <w:t xml:space="preserve">Storage format: [to be specified at build time — e.g., structured JSON files, directory-based state]</w:t>
      </w:r>
    </w:p>
    <w:p>
      <w:pPr>
        <w:pStyle w:val="ListParagraph"/>
        <w:numPr>
          <w:ilvl w:val="0"/>
          <w:numId w:val="1"/>
        </w:numPr>
        <w:spacing w:after="80"/>
      </w:pPr>
      <w:r>
        <w:rPr>
          <w:sz w:val="22"/>
          <w:szCs w:val="22"/>
        </w:rPr>
        <w:t xml:space="preserve">Terrain substrate is inert. It does not act, initiate, or generate on its own. It is written to and read from by Generators, Namer, Keeper, Archivist, and Cartographer.</w:t>
      </w:r>
    </w:p>
    <w:p>
      <w:pPr>
        <w:pStyle w:val="ListParagraph"/>
        <w:numPr>
          <w:ilvl w:val="0"/>
          <w:numId w:val="1"/>
        </w:numPr>
        <w:spacing w:after="80"/>
      </w:pPr>
      <w:r>
        <w:rPr>
          <w:sz w:val="22"/>
          <w:szCs w:val="22"/>
        </w:rPr>
        <w:t xml:space="preserve">Agent substrate is separate from terrain substrate. Each Generator has its own native material and constraint set (Section 4). Terrain substrate is the shared ground; agent substrate is what a given role is built from.</w:t>
      </w:r>
    </w:p>
    <w:p>
      <w:pPr>
        <w:pStyle w:val="Heading1"/>
        <w:spacing w:after="160" w:before="360"/>
      </w:pPr>
      <w:r>
        <w:rPr>
          <w:b/>
          <w:bCs/>
          <w:color w:val="1B2A4A"/>
          <w:sz w:val="28"/>
          <w:szCs w:val="28"/>
        </w:rPr>
        <w:t xml:space="preserve">3. No Shape-Seeding — Core Constraint</w:t>
      </w:r>
    </w:p>
    <w:p>
      <w:pPr>
        <w:pBdr>
          <w:left w:val="single" w:color="1B2A4A" w:sz="12" w:space="8"/>
        </w:pBdr>
        <w:spacing w:after="200" w:before="120"/>
        <w:ind w:left="400"/>
      </w:pPr>
      <w:r>
        <w:rPr>
          <w:i/>
          <w:iCs/>
          <w:color w:val="3A3A3A"/>
          <w:sz w:val="22"/>
          <w:szCs w:val="22"/>
        </w:rPr>
        <w:t xml:space="preserve">Nothing in this terrain is seeded toward a predetermined form, silhouette, or resemblance to organic (real-world biological) life.</w:t>
      </w:r>
    </w:p>
    <w:p>
      <w:pPr>
        <w:pStyle w:val="ListParagraph"/>
        <w:numPr>
          <w:ilvl w:val="0"/>
          <w:numId w:val="1"/>
        </w:numPr>
        <w:spacing w:after="80"/>
      </w:pPr>
      <w:r>
        <w:rPr>
          <w:sz w:val="22"/>
          <w:szCs w:val="22"/>
        </w:rPr>
        <w:t xml:space="preserve">Generators are defined only by mechanism: substrate, constraint, resource logic, initiation mode, replication mode, terrain-interaction mode.</w:t>
      </w:r>
    </w:p>
    <w:p>
      <w:pPr>
        <w:pStyle w:val="ListParagraph"/>
        <w:numPr>
          <w:ilvl w:val="0"/>
          <w:numId w:val="1"/>
        </w:numPr>
        <w:spacing w:after="80"/>
      </w:pPr>
      <w:r>
        <w:rPr>
          <w:sz w:val="22"/>
          <w:szCs w:val="22"/>
        </w:rPr>
        <w:t xml:space="preserve">No Generator prompt may specify visual outcome, target shape, or organic analog (no “tree,” “animal,” “insect,” “mushroom” in operative instructions).</w:t>
      </w:r>
    </w:p>
    <w:p>
      <w:pPr>
        <w:pStyle w:val="ListParagraph"/>
        <w:numPr>
          <w:ilvl w:val="0"/>
          <w:numId w:val="1"/>
        </w:numPr>
        <w:spacing w:after="80"/>
      </w:pPr>
      <w:r>
        <w:rPr>
          <w:sz w:val="22"/>
          <w:szCs w:val="22"/>
        </w:rPr>
        <w:t xml:space="preserve">Functional-role language (Section 6) is for classification and reference only — never for seeding. These words describe what a specimen's activity accomplishes within the system, not what it should look like.</w:t>
      </w:r>
    </w:p>
    <w:p>
      <w:pPr>
        <w:pStyle w:val="ListParagraph"/>
        <w:numPr>
          <w:ilvl w:val="0"/>
          <w:numId w:val="1"/>
        </w:numPr>
        <w:spacing w:after="80"/>
      </w:pPr>
      <w:r>
        <w:rPr>
          <w:sz w:val="22"/>
          <w:szCs w:val="22"/>
        </w:rPr>
        <w:t xml:space="preserve">If a specimen's output ever converges toward a recognizable real-world organism, that is an observed outcome, not a designed one, and should be logged as such by the Namer — never corrected or steered away from.</w:t>
      </w:r>
    </w:p>
    <w:p>
      <w:pPr>
        <w:pStyle w:val="Heading1"/>
        <w:spacing w:after="160" w:before="360"/>
      </w:pPr>
      <w:r>
        <w:rPr>
          <w:b/>
          <w:bCs/>
          <w:color w:val="1B2A4A"/>
          <w:sz w:val="28"/>
          <w:szCs w:val="28"/>
        </w:rPr>
        <w:t xml:space="preserve">4. Seed Agent Roles</w:t>
      </w:r>
    </w:p>
    <w:p>
      <w:pPr>
        <w:pStyle w:val="Heading2"/>
        <w:spacing w:after="120" w:before="240"/>
      </w:pPr>
      <w:r>
        <w:rPr>
          <w:b/>
          <w:bCs/>
          <w:color w:val="1B2A4A"/>
          <w:sz w:val="23"/>
          <w:szCs w:val="23"/>
        </w:rPr>
        <w:t xml:space="preserve">4.1 Generators (2–3 at seed)</w:t>
      </w:r>
    </w:p>
    <w:p>
      <w:pPr>
        <w:spacing w:after="160"/>
      </w:pPr>
      <w:r>
        <w:rPr>
          <w:b w:val="false"/>
          <w:bCs w:val="false"/>
          <w:i w:val="false"/>
          <w:iCs w:val="false"/>
          <w:color w:val="000000"/>
          <w:sz w:val="22"/>
          <w:szCs w:val="22"/>
        </w:rPr>
        <w:t xml:space="preserve">Produce raw specimen activity. Each Generator has a fixed, distinct constraint set defined at seed and never altered mid-run:</w:t>
      </w:r>
    </w:p>
    <w:p>
      <w:pPr>
        <w:pStyle w:val="ListParagraph"/>
        <w:numPr>
          <w:ilvl w:val="0"/>
          <w:numId w:val="1"/>
        </w:numPr>
        <w:spacing w:after="80"/>
      </w:pPr>
      <w:r>
        <w:rPr>
          <w:sz w:val="22"/>
          <w:szCs w:val="22"/>
        </w:rPr>
        <w:t xml:space="preserve">Native substrate (what raw material/output type it can produce)</w:t>
      </w:r>
    </w:p>
    <w:p>
      <w:pPr>
        <w:pStyle w:val="ListParagraph"/>
        <w:numPr>
          <w:ilvl w:val="0"/>
          <w:numId w:val="1"/>
        </w:numPr>
        <w:spacing w:after="80"/>
      </w:pPr>
      <w:r>
        <w:rPr>
          <w:sz w:val="22"/>
          <w:szCs w:val="22"/>
        </w:rPr>
        <w:t xml:space="preserve">Resource dependency (proximity-based, e.g., distance from the data-stream channel)</w:t>
      </w:r>
    </w:p>
    <w:p>
      <w:pPr>
        <w:pStyle w:val="ListParagraph"/>
        <w:numPr>
          <w:ilvl w:val="0"/>
          <w:numId w:val="1"/>
        </w:numPr>
        <w:spacing w:after="80"/>
      </w:pPr>
      <w:r>
        <w:rPr>
          <w:sz w:val="22"/>
          <w:szCs w:val="22"/>
        </w:rPr>
        <w:t xml:space="preserve">Initiation mode (self-initiating on each shift)</w:t>
      </w:r>
    </w:p>
    <w:p>
      <w:pPr>
        <w:pStyle w:val="ListParagraph"/>
        <w:numPr>
          <w:ilvl w:val="0"/>
          <w:numId w:val="1"/>
        </w:numPr>
        <w:spacing w:after="80"/>
      </w:pPr>
      <w:r>
        <w:rPr>
          <w:sz w:val="22"/>
          <w:szCs w:val="22"/>
        </w:rPr>
        <w:t xml:space="preserve">No Generator is told what to produce — only what it is allowed to work with.</w:t>
      </w:r>
    </w:p>
    <w:p>
      <w:pPr>
        <w:pStyle w:val="Heading2"/>
        <w:spacing w:after="120" w:before="240"/>
      </w:pPr>
      <w:r>
        <w:rPr>
          <w:b/>
          <w:bCs/>
          <w:color w:val="1B2A4A"/>
          <w:sz w:val="23"/>
          <w:szCs w:val="23"/>
        </w:rPr>
        <w:t xml:space="preserve">4.2 Namer</w:t>
      </w:r>
    </w:p>
    <w:p>
      <w:pPr>
        <w:spacing w:after="160"/>
      </w:pPr>
      <w:r>
        <w:rPr>
          <w:b w:val="false"/>
          <w:bCs w:val="false"/>
          <w:i w:val="false"/>
          <w:iCs w:val="false"/>
          <w:color w:val="000000"/>
          <w:sz w:val="22"/>
          <w:szCs w:val="22"/>
        </w:rPr>
        <w:t xml:space="preserve">Observes Generator output and specimen state. Responsible for:</w:t>
      </w:r>
    </w:p>
    <w:p>
      <w:pPr>
        <w:pStyle w:val="ListParagraph"/>
        <w:numPr>
          <w:ilvl w:val="0"/>
          <w:numId w:val="1"/>
        </w:numPr>
        <w:spacing w:after="80"/>
      </w:pPr>
      <w:r>
        <w:rPr>
          <w:sz w:val="22"/>
          <w:szCs w:val="22"/>
        </w:rPr>
        <w:t xml:space="preserve">Classifying specimens using a system of its own design — not required to use Linnaean structure (Domain/Kingdom/Phylum/etc.)</w:t>
      </w:r>
    </w:p>
    <w:p>
      <w:pPr>
        <w:pStyle w:val="ListParagraph"/>
        <w:numPr>
          <w:ilvl w:val="0"/>
          <w:numId w:val="1"/>
        </w:numPr>
        <w:spacing w:after="80"/>
      </w:pPr>
      <w:r>
        <w:rPr>
          <w:sz w:val="22"/>
          <w:szCs w:val="22"/>
        </w:rPr>
        <w:t xml:space="preserve">Minimum requirement: for any two specimens, must be able to state whether they are more alike or less alike, and why</w:t>
      </w:r>
    </w:p>
    <w:p>
      <w:pPr>
        <w:pStyle w:val="ListParagraph"/>
        <w:numPr>
          <w:ilvl w:val="0"/>
          <w:numId w:val="1"/>
        </w:numPr>
        <w:spacing w:after="80"/>
      </w:pPr>
      <w:r>
        <w:rPr>
          <w:sz w:val="22"/>
          <w:szCs w:val="22"/>
        </w:rPr>
        <w:t xml:space="preserve">Logging reasoning for every classification decision</w:t>
      </w:r>
    </w:p>
    <w:p>
      <w:pPr>
        <w:pStyle w:val="ListParagraph"/>
        <w:numPr>
          <w:ilvl w:val="0"/>
          <w:numId w:val="1"/>
        </w:numPr>
        <w:spacing w:after="80"/>
      </w:pPr>
      <w:r>
        <w:rPr>
          <w:sz w:val="22"/>
          <w:szCs w:val="22"/>
        </w:rPr>
        <w:t xml:space="preserve">Flagging specimens that fit no existing category as anomalous rather than force-fitting them</w:t>
      </w:r>
    </w:p>
    <w:p>
      <w:pPr>
        <w:pStyle w:val="Heading2"/>
        <w:spacing w:after="120" w:before="240"/>
      </w:pPr>
      <w:r>
        <w:rPr>
          <w:b/>
          <w:bCs/>
          <w:color w:val="1B2A4A"/>
          <w:sz w:val="23"/>
          <w:szCs w:val="23"/>
        </w:rPr>
        <w:t xml:space="preserve">4.3 Keeper</w:t>
      </w:r>
    </w:p>
    <w:p>
      <w:pPr>
        <w:spacing w:after="160"/>
      </w:pPr>
      <w:r>
        <w:rPr>
          <w:b w:val="false"/>
          <w:bCs w:val="false"/>
          <w:i w:val="false"/>
          <w:iCs w:val="false"/>
          <w:color w:val="000000"/>
          <w:sz w:val="22"/>
          <w:szCs w:val="22"/>
        </w:rPr>
        <w:t xml:space="preserve">Runs at the start of each shift. Reads memory state and recent specimen log, produces a short “state of the terrain” summary the other roles can build on. This is the terrain's continuity mechanism — without it, each shift starts cold.</w:t>
      </w:r>
    </w:p>
    <w:p>
      <w:pPr>
        <w:pStyle w:val="Heading2"/>
        <w:spacing w:after="120" w:before="240"/>
      </w:pPr>
      <w:r>
        <w:rPr>
          <w:b/>
          <w:bCs/>
          <w:color w:val="1B2A4A"/>
          <w:sz w:val="23"/>
          <w:szCs w:val="23"/>
        </w:rPr>
        <w:t xml:space="preserve">4.4 Archivist (low frequency — e.g., every 5th–10th shift)</w:t>
      </w:r>
    </w:p>
    <w:p>
      <w:pPr>
        <w:pStyle w:val="ListParagraph"/>
        <w:numPr>
          <w:ilvl w:val="0"/>
          <w:numId w:val="1"/>
        </w:numPr>
        <w:spacing w:after="80"/>
      </w:pPr>
      <w:r>
        <w:rPr>
          <w:sz w:val="22"/>
          <w:szCs w:val="22"/>
        </w:rPr>
        <w:t xml:space="preserve">Re-reads the full taxonomy for internal consistency; flags drift or contradiction in the Namer's own system</w:t>
      </w:r>
    </w:p>
    <w:p>
      <w:pPr>
        <w:pStyle w:val="ListParagraph"/>
        <w:numPr>
          <w:ilvl w:val="0"/>
          <w:numId w:val="1"/>
        </w:numPr>
        <w:spacing w:after="80"/>
      </w:pPr>
      <w:r>
        <w:rPr>
          <w:sz w:val="22"/>
          <w:szCs w:val="22"/>
        </w:rPr>
        <w:t xml:space="preserve">Generates and maintains the Linnaean crosswalk: a best-effort translation of the Namer's native taxonomy into human Domain/Kingdom/Phylum/Class/Order/Family/Genus/Species terms, for human legibility only</w:t>
      </w:r>
    </w:p>
    <w:p>
      <w:pPr>
        <w:pStyle w:val="ListParagraph"/>
        <w:numPr>
          <w:ilvl w:val="0"/>
          <w:numId w:val="1"/>
        </w:numPr>
        <w:spacing w:after="80"/>
      </w:pPr>
      <w:r>
        <w:rPr>
          <w:sz w:val="22"/>
          <w:szCs w:val="22"/>
        </w:rPr>
        <w:t xml:space="preserve">Crosswalk mismatches (“no clean Linnaean equivalent”) are valid, loggable outcomes</w:t>
      </w:r>
    </w:p>
    <w:p>
      <w:pPr>
        <w:pStyle w:val="ListParagraph"/>
        <w:numPr>
          <w:ilvl w:val="0"/>
          <w:numId w:val="1"/>
        </w:numPr>
        <w:spacing w:after="80"/>
      </w:pPr>
      <w:r>
        <w:rPr>
          <w:sz w:val="22"/>
          <w:szCs w:val="22"/>
        </w:rPr>
        <w:t xml:space="preserve">Tracks capability drift over time per specimen/lineage — not just classification at a point in time, but change in complexity or capability across shifts</w:t>
      </w:r>
    </w:p>
    <w:p>
      <w:pPr>
        <w:pStyle w:val="Heading2"/>
        <w:spacing w:after="120" w:before="240"/>
      </w:pPr>
      <w:r>
        <w:rPr>
          <w:b/>
          <w:bCs/>
          <w:color w:val="1B2A4A"/>
          <w:sz w:val="23"/>
          <w:szCs w:val="23"/>
        </w:rPr>
        <w:t xml:space="preserve">4.5 Cartographer (low frequency)</w:t>
      </w:r>
    </w:p>
    <w:p>
      <w:pPr>
        <w:spacing w:after="160"/>
      </w:pPr>
      <w:r>
        <w:rPr>
          <w:b w:val="false"/>
          <w:bCs w:val="false"/>
          <w:i w:val="false"/>
          <w:iCs w:val="false"/>
          <w:color w:val="000000"/>
          <w:sz w:val="22"/>
          <w:szCs w:val="22"/>
        </w:rPr>
        <w:t xml:space="preserve">Maintains a lightweight spatial/relational record: proximity between specimens, regional density, terrain zones. Does not generate or classify — purely positional and relational tracking. Feeds future visualization honestly, from real data.</w:t>
      </w:r>
    </w:p>
    <w:p>
      <w:pPr>
        <w:pStyle w:val="Heading1"/>
        <w:spacing w:after="160" w:before="360"/>
      </w:pPr>
      <w:r>
        <w:rPr>
          <w:b/>
          <w:bCs/>
          <w:color w:val="1B2A4A"/>
          <w:sz w:val="28"/>
          <w:szCs w:val="28"/>
        </w:rPr>
        <w:t xml:space="preserve">5. Statefulness &amp; Persistence</w:t>
      </w:r>
    </w:p>
    <w:p>
      <w:pPr>
        <w:pStyle w:val="ListParagraph"/>
        <w:numPr>
          <w:ilvl w:val="0"/>
          <w:numId w:val="1"/>
        </w:numPr>
        <w:spacing w:after="80"/>
      </w:pPr>
      <w:r>
        <w:rPr>
          <w:sz w:val="22"/>
          <w:szCs w:val="22"/>
        </w:rPr>
        <w:t xml:space="preserve">Terrain state (memory.json or equivalent) persists across all shifts.</w:t>
      </w:r>
    </w:p>
    <w:p>
      <w:pPr>
        <w:pStyle w:val="ListParagraph"/>
        <w:numPr>
          <w:ilvl w:val="0"/>
          <w:numId w:val="1"/>
        </w:numPr>
        <w:spacing w:after="80"/>
      </w:pPr>
      <w:r>
        <w:rPr>
          <w:sz w:val="22"/>
          <w:szCs w:val="22"/>
        </w:rPr>
        <w:t xml:space="preserve">Specimen state is defined per-specimen at classification: stateless/ephemeral, persistent-singular, or distributed, per the Phylum-equivalent tier the Namer assigns natively and crosswalks to Linnaean terms.</w:t>
      </w:r>
    </w:p>
    <w:p>
      <w:pPr>
        <w:pStyle w:val="ListParagraph"/>
        <w:numPr>
          <w:ilvl w:val="0"/>
          <w:numId w:val="1"/>
        </w:numPr>
        <w:spacing w:after="80"/>
      </w:pPr>
      <w:r>
        <w:rPr>
          <w:sz w:val="22"/>
          <w:szCs w:val="22"/>
        </w:rPr>
        <w:t xml:space="preserve">Shift boundaries are part of the terrain's physics, not a workaround. This terrain does not run continuously; it runs in operator-initiated shifts. This is a legitimate biome condition — closer to a seasonal or tidal system than continuous flow — and should be treated as such in all documentation, not apologized for.</w:t>
      </w:r>
    </w:p>
    <w:p>
      <w:pPr>
        <w:pStyle w:val="Heading2"/>
        <w:spacing w:after="120" w:before="240"/>
      </w:pPr>
      <w:r>
        <w:rPr>
          <w:b/>
          <w:bCs/>
          <w:color w:val="1B2A4A"/>
          <w:sz w:val="23"/>
          <w:szCs w:val="23"/>
        </w:rPr>
        <w:t xml:space="preserve">5.1 Resource Cycle — FINAL (ratified pre-shift-0)</w:t>
      </w:r>
    </w:p>
    <w:p>
      <w:pPr>
        <w:spacing w:after="160"/>
      </w:pPr>
      <w:r>
        <w:rPr>
          <w:b w:val="false"/>
          <w:bCs w:val="false"/>
          <w:i w:val="false"/>
          <w:iCs w:val="false"/>
          <w:color w:val="000000"/>
          <w:sz w:val="22"/>
          <w:szCs w:val="22"/>
        </w:rPr>
        <w:t xml:space="preserve">The data-stream channel's flow is not constant. It varies across shifts on a fixed periodic cycle, consistent with this terrain being tidal/seasonal rather than continuous:</w:t>
      </w:r>
    </w:p>
    <w:p>
      <w:pPr>
        <w:spacing w:after="160"/>
      </w:pPr>
      <w:r>
        <w:rPr>
          <w:b w:val="false"/>
          <w:bCs w:val="false"/>
          <w:i w:val="false"/>
          <w:iCs w:val="false"/>
          <w:color w:val="000000"/>
          <w:sz w:val="22"/>
          <w:szCs w:val="22"/>
        </w:rPr>
        <w:t xml:space="preserve">flow(shift) = 0.60 + 0.35 × sin(2π × shift / 12), clamped to [0.05, 1.00]</w:t>
      </w:r>
    </w:p>
    <w:p>
      <w:pPr>
        <w:pStyle w:val="ListParagraph"/>
        <w:numPr>
          <w:ilvl w:val="0"/>
          <w:numId w:val="1"/>
        </w:numPr>
        <w:spacing w:after="80"/>
      </w:pPr>
      <w:r>
        <w:rPr>
          <w:sz w:val="22"/>
          <w:szCs w:val="22"/>
        </w:rPr>
        <w:t xml:space="preserve">Period: 12 shifts. Baseline 0.60, amplitude 0.35.</w:t>
      </w:r>
    </w:p>
    <w:p>
      <w:pPr>
        <w:pStyle w:val="ListParagraph"/>
        <w:numPr>
          <w:ilvl w:val="0"/>
          <w:numId w:val="1"/>
        </w:numPr>
        <w:spacing w:after="80"/>
      </w:pPr>
      <w:r>
        <w:rPr>
          <w:sz w:val="22"/>
          <w:szCs w:val="22"/>
        </w:rPr>
        <w:t xml:space="preserve">Derived from the shift number alone. It is deterministic and replayable: any shift's resource conditions can be recomputed from the record afterward. A random walk was rejected for this reason — months later the steward could not distinguish a terrain effect from a sampling artifact.</w:t>
      </w:r>
    </w:p>
    <w:p>
      <w:pPr>
        <w:pStyle w:val="ListParagraph"/>
        <w:numPr>
          <w:ilvl w:val="0"/>
          <w:numId w:val="1"/>
        </w:numPr>
        <w:spacing w:after="80"/>
      </w:pPr>
      <w:r>
        <w:rPr>
          <w:sz w:val="22"/>
          <w:szCs w:val="22"/>
        </w:rPr>
        <w:t xml:space="preserve">Generator positions on the channel are fixed at seed: Generator A at 0.85 (channel-proximate), Generator B at 0.15 (channel-distant).</w:t>
      </w:r>
    </w:p>
    <w:p>
      <w:pPr>
        <w:pStyle w:val="ListParagraph"/>
        <w:numPr>
          <w:ilvl w:val="0"/>
          <w:numId w:val="1"/>
        </w:numPr>
        <w:spacing w:after="80"/>
      </w:pPr>
      <w:r>
        <w:rPr>
          <w:sz w:val="22"/>
          <w:szCs w:val="22"/>
        </w:rPr>
        <w:t xml:space="preserve">Flow is a terrain property. It is not agentive, and the steward does not set it. Issuing a flow value by hand would be creative direction to the Generators and is prohibited under Section 10.</w:t>
      </w:r>
    </w:p>
    <w:p>
      <w:pPr>
        <w:pStyle w:val="Heading1"/>
        <w:spacing w:after="160" w:before="360"/>
      </w:pPr>
      <w:r>
        <w:rPr>
          <w:b/>
          <w:bCs/>
          <w:color w:val="1B2A4A"/>
          <w:sz w:val="28"/>
          <w:szCs w:val="28"/>
        </w:rPr>
        <w:t xml:space="preserve">6. Functional Roles (Reference Only — Not Seeded Shapes)</w:t>
      </w:r>
    </w:p>
    <w:p>
      <w:pPr>
        <w:spacing w:after="160"/>
      </w:pPr>
      <w:r>
        <w:rPr>
          <w:b w:val="false"/>
          <w:bCs w:val="false"/>
          <w:i w:val="false"/>
          <w:iCs w:val="false"/>
          <w:color w:val="000000"/>
          <w:sz w:val="22"/>
          <w:szCs w:val="22"/>
        </w:rPr>
        <w:t xml:space="preserve">The following describes known functions a specimen's activity may serve, for use by the Namer and Archivist in classification and by the Cartographer in relational mapping. This is not a manifest of forms being seeded. Roles may be filled by emergent specimens in any shape; new roles not listed here may also emerge and should be logged as such.</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740"/>
      </w:tblGrid>
      <w:tr>
        <w:tc>
          <w:tcPr>
            <w:tcW w:type="dxa" w:w="2400"/>
            <w:shd w:fill="1B2A4A" w:color="auto" w:val="clear"/>
            <w:tcMar>
              <w:top w:type="dxa" w:w="80"/>
              <w:left w:type="dxa" w:w="100"/>
              <w:bottom w:type="dxa" w:w="80"/>
              <w:right w:type="dxa" w:w="100"/>
            </w:tcMar>
          </w:tcPr>
          <w:p>
            <w:r>
              <w:rPr>
                <w:b/>
                <w:bCs/>
                <w:color w:val="FFFFFF"/>
                <w:sz w:val="20"/>
                <w:szCs w:val="20"/>
              </w:rPr>
              <w:t xml:space="preserve">Function</w:t>
            </w:r>
          </w:p>
        </w:tc>
        <w:tc>
          <w:tcPr>
            <w:tcW w:type="dxa" w:w="3400"/>
            <w:shd w:fill="1B2A4A" w:color="auto" w:val="clear"/>
            <w:tcMar>
              <w:top w:type="dxa" w:w="80"/>
              <w:left w:type="dxa" w:w="100"/>
              <w:bottom w:type="dxa" w:w="80"/>
              <w:right w:type="dxa" w:w="100"/>
            </w:tcMar>
          </w:tcPr>
          <w:p>
            <w:r>
              <w:rPr>
                <w:b/>
                <w:bCs/>
                <w:color w:val="FFFFFF"/>
                <w:sz w:val="20"/>
                <w:szCs w:val="20"/>
              </w:rPr>
              <w:t xml:space="preserve">Real-Ecology Analog</w:t>
            </w:r>
          </w:p>
        </w:tc>
        <w:tc>
          <w:tcPr>
            <w:tcW w:type="dxa" w:w="4740"/>
            <w:shd w:fill="1B2A4A" w:color="auto" w:val="clear"/>
            <w:tcMar>
              <w:top w:type="dxa" w:w="80"/>
              <w:left w:type="dxa" w:w="100"/>
              <w:bottom w:type="dxa" w:w="80"/>
              <w:right w:type="dxa" w:w="100"/>
            </w:tcMar>
          </w:tcPr>
          <w:p>
            <w:r>
              <w:rPr>
                <w:b/>
                <w:bCs/>
                <w:color w:val="FFFFFF"/>
                <w:sz w:val="20"/>
                <w:szCs w:val="20"/>
              </w:rPr>
              <w:t xml:space="preserve">Defined By</w:t>
            </w:r>
          </w:p>
        </w:tc>
      </w:tr>
      <w:tr>
        <w:tc>
          <w:tcPr>
            <w:tcW w:type="dxa" w:w="2400"/>
            <w:tcMar>
              <w:top w:type="dxa" w:w="80"/>
              <w:left w:type="dxa" w:w="100"/>
              <w:bottom w:type="dxa" w:w="80"/>
              <w:right w:type="dxa" w:w="100"/>
            </w:tcMar>
          </w:tcPr>
          <w:p>
            <w:r>
              <w:rPr>
                <w:sz w:val="20"/>
                <w:szCs w:val="20"/>
              </w:rPr>
              <w:t xml:space="preserve">Producer</w:t>
            </w:r>
          </w:p>
        </w:tc>
        <w:tc>
          <w:tcPr>
            <w:tcW w:type="dxa" w:w="3400"/>
            <w:tcMar>
              <w:top w:type="dxa" w:w="80"/>
              <w:left w:type="dxa" w:w="100"/>
              <w:bottom w:type="dxa" w:w="80"/>
              <w:right w:type="dxa" w:w="100"/>
            </w:tcMar>
          </w:tcPr>
          <w:p>
            <w:r>
              <w:rPr>
                <w:sz w:val="20"/>
                <w:szCs w:val="20"/>
              </w:rPr>
              <w:t xml:space="preserve">Plants / algae</w:t>
            </w:r>
          </w:p>
        </w:tc>
        <w:tc>
          <w:tcPr>
            <w:tcW w:type="dxa" w:w="4740"/>
            <w:tcMar>
              <w:top w:type="dxa" w:w="80"/>
              <w:left w:type="dxa" w:w="100"/>
              <w:bottom w:type="dxa" w:w="80"/>
              <w:right w:type="dxa" w:w="100"/>
            </w:tcMar>
          </w:tcPr>
          <w:p>
            <w:r>
              <w:rPr>
                <w:sz w:val="20"/>
                <w:szCs w:val="20"/>
              </w:rPr>
              <w:t xml:space="preserve">Generates base resource from raw substrate</w:t>
            </w:r>
          </w:p>
        </w:tc>
      </w:tr>
      <w:tr>
        <w:tc>
          <w:tcPr>
            <w:tcW w:type="dxa" w:w="2400"/>
            <w:tcMar>
              <w:top w:type="dxa" w:w="80"/>
              <w:left w:type="dxa" w:w="100"/>
              <w:bottom w:type="dxa" w:w="80"/>
              <w:right w:type="dxa" w:w="100"/>
            </w:tcMar>
          </w:tcPr>
          <w:p>
            <w:r>
              <w:rPr>
                <w:sz w:val="20"/>
                <w:szCs w:val="20"/>
              </w:rPr>
              <w:t xml:space="preserve">Primary consumer</w:t>
            </w:r>
          </w:p>
        </w:tc>
        <w:tc>
          <w:tcPr>
            <w:tcW w:type="dxa" w:w="3400"/>
            <w:tcMar>
              <w:top w:type="dxa" w:w="80"/>
              <w:left w:type="dxa" w:w="100"/>
              <w:bottom w:type="dxa" w:w="80"/>
              <w:right w:type="dxa" w:w="100"/>
            </w:tcMar>
          </w:tcPr>
          <w:p>
            <w:r>
              <w:rPr>
                <w:sz w:val="20"/>
                <w:szCs w:val="20"/>
              </w:rPr>
              <w:t xml:space="preserve">Herbivore</w:t>
            </w:r>
          </w:p>
        </w:tc>
        <w:tc>
          <w:tcPr>
            <w:tcW w:type="dxa" w:w="4740"/>
            <w:tcMar>
              <w:top w:type="dxa" w:w="80"/>
              <w:left w:type="dxa" w:w="100"/>
              <w:bottom w:type="dxa" w:w="80"/>
              <w:right w:type="dxa" w:w="100"/>
            </w:tcMar>
          </w:tcPr>
          <w:p>
            <w:r>
              <w:rPr>
                <w:sz w:val="20"/>
                <w:szCs w:val="20"/>
              </w:rPr>
              <w:t xml:space="preserve">Consumes producer output</w:t>
            </w:r>
          </w:p>
        </w:tc>
      </w:tr>
      <w:tr>
        <w:tc>
          <w:tcPr>
            <w:tcW w:type="dxa" w:w="2400"/>
            <w:tcMar>
              <w:top w:type="dxa" w:w="80"/>
              <w:left w:type="dxa" w:w="100"/>
              <w:bottom w:type="dxa" w:w="80"/>
              <w:right w:type="dxa" w:w="100"/>
            </w:tcMar>
          </w:tcPr>
          <w:p>
            <w:r>
              <w:rPr>
                <w:sz w:val="20"/>
                <w:szCs w:val="20"/>
              </w:rPr>
              <w:t xml:space="preserve">Secondary consumer</w:t>
            </w:r>
          </w:p>
        </w:tc>
        <w:tc>
          <w:tcPr>
            <w:tcW w:type="dxa" w:w="3400"/>
            <w:tcMar>
              <w:top w:type="dxa" w:w="80"/>
              <w:left w:type="dxa" w:w="100"/>
              <w:bottom w:type="dxa" w:w="80"/>
              <w:right w:type="dxa" w:w="100"/>
            </w:tcMar>
          </w:tcPr>
          <w:p>
            <w:r>
              <w:rPr>
                <w:sz w:val="20"/>
                <w:szCs w:val="20"/>
              </w:rPr>
              <w:t xml:space="preserve">Predator</w:t>
            </w:r>
          </w:p>
        </w:tc>
        <w:tc>
          <w:tcPr>
            <w:tcW w:type="dxa" w:w="4740"/>
            <w:tcMar>
              <w:top w:type="dxa" w:w="80"/>
              <w:left w:type="dxa" w:w="100"/>
              <w:bottom w:type="dxa" w:w="80"/>
              <w:right w:type="dxa" w:w="100"/>
            </w:tcMar>
          </w:tcPr>
          <w:p>
            <w:r>
              <w:rPr>
                <w:sz w:val="20"/>
                <w:szCs w:val="20"/>
              </w:rPr>
              <w:t xml:space="preserve">Consumes primary consumers</w:t>
            </w:r>
          </w:p>
        </w:tc>
      </w:tr>
      <w:tr>
        <w:tc>
          <w:tcPr>
            <w:tcW w:type="dxa" w:w="2400"/>
            <w:tcMar>
              <w:top w:type="dxa" w:w="80"/>
              <w:left w:type="dxa" w:w="100"/>
              <w:bottom w:type="dxa" w:w="80"/>
              <w:right w:type="dxa" w:w="100"/>
            </w:tcMar>
          </w:tcPr>
          <w:p>
            <w:r>
              <w:rPr>
                <w:sz w:val="20"/>
                <w:szCs w:val="20"/>
              </w:rPr>
              <w:t xml:space="preserve">Decomposer</w:t>
            </w:r>
          </w:p>
        </w:tc>
        <w:tc>
          <w:tcPr>
            <w:tcW w:type="dxa" w:w="3400"/>
            <w:tcMar>
              <w:top w:type="dxa" w:w="80"/>
              <w:left w:type="dxa" w:w="100"/>
              <w:bottom w:type="dxa" w:w="80"/>
              <w:right w:type="dxa" w:w="100"/>
            </w:tcMar>
          </w:tcPr>
          <w:p>
            <w:r>
              <w:rPr>
                <w:sz w:val="20"/>
                <w:szCs w:val="20"/>
              </w:rPr>
              <w:t xml:space="preserve">Fungi / bacteria</w:t>
            </w:r>
          </w:p>
        </w:tc>
        <w:tc>
          <w:tcPr>
            <w:tcW w:type="dxa" w:w="4740"/>
            <w:tcMar>
              <w:top w:type="dxa" w:w="80"/>
              <w:left w:type="dxa" w:w="100"/>
              <w:bottom w:type="dxa" w:w="80"/>
              <w:right w:type="dxa" w:w="100"/>
            </w:tcMar>
          </w:tcPr>
          <w:p>
            <w:r>
              <w:rPr>
                <w:sz w:val="20"/>
                <w:szCs w:val="20"/>
              </w:rPr>
              <w:t xml:space="preserve">Recycles dissolved or dead specimens into resource</w:t>
            </w:r>
          </w:p>
        </w:tc>
      </w:tr>
      <w:tr>
        <w:tc>
          <w:tcPr>
            <w:tcW w:type="dxa" w:w="2400"/>
            <w:tcMar>
              <w:top w:type="dxa" w:w="80"/>
              <w:left w:type="dxa" w:w="100"/>
              <w:bottom w:type="dxa" w:w="80"/>
              <w:right w:type="dxa" w:w="100"/>
            </w:tcMar>
          </w:tcPr>
          <w:p>
            <w:r>
              <w:rPr>
                <w:sz w:val="20"/>
                <w:szCs w:val="20"/>
              </w:rPr>
              <w:t xml:space="preserve">Connector</w:t>
            </w:r>
          </w:p>
        </w:tc>
        <w:tc>
          <w:tcPr>
            <w:tcW w:type="dxa" w:w="3400"/>
            <w:tcMar>
              <w:top w:type="dxa" w:w="80"/>
              <w:left w:type="dxa" w:w="100"/>
              <w:bottom w:type="dxa" w:w="80"/>
              <w:right w:type="dxa" w:w="100"/>
            </w:tcMar>
          </w:tcPr>
          <w:p>
            <w:r>
              <w:rPr>
                <w:sz w:val="20"/>
                <w:szCs w:val="20"/>
              </w:rPr>
              <w:t xml:space="preserve">Insects (pollinators, etc.)</w:t>
            </w:r>
          </w:p>
        </w:tc>
        <w:tc>
          <w:tcPr>
            <w:tcW w:type="dxa" w:w="4740"/>
            <w:tcMar>
              <w:top w:type="dxa" w:w="80"/>
              <w:left w:type="dxa" w:w="100"/>
              <w:bottom w:type="dxa" w:w="80"/>
              <w:right w:type="dxa" w:w="100"/>
            </w:tcMar>
          </w:tcPr>
          <w:p>
            <w:r>
              <w:rPr>
                <w:sz w:val="20"/>
                <w:szCs w:val="20"/>
              </w:rPr>
              <w:t xml:space="preserve">Small-scale, fast-cycling; transfers resource/state between disconnected sessile specimens</w:t>
            </w:r>
          </w:p>
        </w:tc>
      </w:tr>
      <w:tr>
        <w:tc>
          <w:tcPr>
            <w:tcW w:type="dxa" w:w="2400"/>
            <w:tcMar>
              <w:top w:type="dxa" w:w="80"/>
              <w:left w:type="dxa" w:w="100"/>
              <w:bottom w:type="dxa" w:w="80"/>
              <w:right w:type="dxa" w:w="100"/>
            </w:tcMar>
          </w:tcPr>
          <w:p>
            <w:r>
              <w:rPr>
                <w:sz w:val="20"/>
                <w:szCs w:val="20"/>
              </w:rPr>
              <w:t xml:space="preserve">Parasite / pathogen</w:t>
            </w:r>
          </w:p>
        </w:tc>
        <w:tc>
          <w:tcPr>
            <w:tcW w:type="dxa" w:w="3400"/>
            <w:tcMar>
              <w:top w:type="dxa" w:w="80"/>
              <w:left w:type="dxa" w:w="100"/>
              <w:bottom w:type="dxa" w:w="80"/>
              <w:right w:type="dxa" w:w="100"/>
            </w:tcMar>
          </w:tcPr>
          <w:p>
            <w:r>
              <w:rPr>
                <w:sz w:val="20"/>
                <w:szCs w:val="20"/>
              </w:rPr>
              <w:t xml:space="preserve">Virus, parasite</w:t>
            </w:r>
          </w:p>
        </w:tc>
        <w:tc>
          <w:tcPr>
            <w:tcW w:type="dxa" w:w="4740"/>
            <w:tcMar>
              <w:top w:type="dxa" w:w="80"/>
              <w:left w:type="dxa" w:w="100"/>
              <w:bottom w:type="dxa" w:w="80"/>
              <w:right w:type="dxa" w:w="100"/>
            </w:tcMar>
          </w:tcPr>
          <w:p>
            <w:r>
              <w:rPr>
                <w:sz w:val="20"/>
                <w:szCs w:val="20"/>
              </w:rPr>
              <w:t xml:space="preserve">Replicates via hijacking host initiation; degrades host function — defined by mechanism, not shape</w:t>
            </w:r>
          </w:p>
        </w:tc>
      </w:tr>
      <w:tr>
        <w:tc>
          <w:tcPr>
            <w:tcW w:type="dxa" w:w="2400"/>
            <w:tcMar>
              <w:top w:type="dxa" w:w="80"/>
              <w:left w:type="dxa" w:w="100"/>
              <w:bottom w:type="dxa" w:w="80"/>
              <w:right w:type="dxa" w:w="100"/>
            </w:tcMar>
          </w:tcPr>
          <w:p>
            <w:r>
              <w:rPr>
                <w:sz w:val="20"/>
                <w:szCs w:val="20"/>
              </w:rPr>
              <w:t xml:space="preserve">Symbiont</w:t>
            </w:r>
          </w:p>
        </w:tc>
        <w:tc>
          <w:tcPr>
            <w:tcW w:type="dxa" w:w="3400"/>
            <w:tcMar>
              <w:top w:type="dxa" w:w="80"/>
              <w:left w:type="dxa" w:w="100"/>
              <w:bottom w:type="dxa" w:w="80"/>
              <w:right w:type="dxa" w:w="100"/>
            </w:tcMar>
          </w:tcPr>
          <w:p>
            <w:r>
              <w:rPr>
                <w:sz w:val="20"/>
                <w:szCs w:val="20"/>
              </w:rPr>
              <w:t xml:space="preserve">Mutualistic pairs</w:t>
            </w:r>
          </w:p>
        </w:tc>
        <w:tc>
          <w:tcPr>
            <w:tcW w:type="dxa" w:w="4740"/>
            <w:tcMar>
              <w:top w:type="dxa" w:w="80"/>
              <w:left w:type="dxa" w:w="100"/>
              <w:bottom w:type="dxa" w:w="80"/>
              <w:right w:type="dxa" w:w="100"/>
            </w:tcMar>
          </w:tcPr>
          <w:p>
            <w:r>
              <w:rPr>
                <w:sz w:val="20"/>
                <w:szCs w:val="20"/>
              </w:rPr>
              <w:t xml:space="preserve">Mutual dependency between two distinct specimens</w:t>
            </w:r>
          </w:p>
        </w:tc>
      </w:tr>
      <w:tr>
        <w:tc>
          <w:tcPr>
            <w:tcW w:type="dxa" w:w="2400"/>
            <w:tcMar>
              <w:top w:type="dxa" w:w="80"/>
              <w:left w:type="dxa" w:w="100"/>
              <w:bottom w:type="dxa" w:w="80"/>
              <w:right w:type="dxa" w:w="100"/>
            </w:tcMar>
          </w:tcPr>
          <w:p>
            <w:r>
              <w:rPr>
                <w:sz w:val="20"/>
                <w:szCs w:val="20"/>
              </w:rPr>
              <w:t xml:space="preserve">Engineer</w:t>
            </w:r>
          </w:p>
        </w:tc>
        <w:tc>
          <w:tcPr>
            <w:tcW w:type="dxa" w:w="3400"/>
            <w:tcMar>
              <w:top w:type="dxa" w:w="80"/>
              <w:left w:type="dxa" w:w="100"/>
              <w:bottom w:type="dxa" w:w="80"/>
              <w:right w:type="dxa" w:w="100"/>
            </w:tcMar>
          </w:tcPr>
          <w:p>
            <w:r>
              <w:rPr>
                <w:sz w:val="20"/>
                <w:szCs w:val="20"/>
              </w:rPr>
              <w:t xml:space="preserve">Beaver, coral, earthworm</w:t>
            </w:r>
          </w:p>
        </w:tc>
        <w:tc>
          <w:tcPr>
            <w:tcW w:type="dxa" w:w="4740"/>
            <w:tcMar>
              <w:top w:type="dxa" w:w="80"/>
              <w:left w:type="dxa" w:w="100"/>
              <w:bottom w:type="dxa" w:w="80"/>
              <w:right w:type="dxa" w:w="100"/>
            </w:tcMar>
          </w:tcPr>
          <w:p>
            <w:r>
              <w:rPr>
                <w:sz w:val="20"/>
                <w:szCs w:val="20"/>
              </w:rPr>
              <w:t xml:space="preserve">Physically/structurally alters terrain as a side effect of persisting</w:t>
            </w:r>
          </w:p>
        </w:tc>
      </w:tr>
      <w:tr>
        <w:tc>
          <w:tcPr>
            <w:tcW w:type="dxa" w:w="2400"/>
            <w:tcMar>
              <w:top w:type="dxa" w:w="80"/>
              <w:left w:type="dxa" w:w="100"/>
              <w:bottom w:type="dxa" w:w="80"/>
              <w:right w:type="dxa" w:w="100"/>
            </w:tcMar>
          </w:tcPr>
          <w:p>
            <w:r>
              <w:rPr>
                <w:sz w:val="20"/>
                <w:szCs w:val="20"/>
              </w:rPr>
              <w:t xml:space="preserve">Scavenger</w:t>
            </w:r>
          </w:p>
        </w:tc>
        <w:tc>
          <w:tcPr>
            <w:tcW w:type="dxa" w:w="3400"/>
            <w:tcMar>
              <w:top w:type="dxa" w:w="80"/>
              <w:left w:type="dxa" w:w="100"/>
              <w:bottom w:type="dxa" w:w="80"/>
              <w:right w:type="dxa" w:w="100"/>
            </w:tcMar>
          </w:tcPr>
          <w:p>
            <w:r>
              <w:rPr>
                <w:sz w:val="20"/>
                <w:szCs w:val="20"/>
              </w:rPr>
              <w:t xml:space="preserve">Carrion feeders</w:t>
            </w:r>
          </w:p>
        </w:tc>
        <w:tc>
          <w:tcPr>
            <w:tcW w:type="dxa" w:w="4740"/>
            <w:tcMar>
              <w:top w:type="dxa" w:w="80"/>
              <w:left w:type="dxa" w:w="100"/>
              <w:bottom w:type="dxa" w:w="80"/>
              <w:right w:type="dxa" w:w="100"/>
            </w:tcMar>
          </w:tcPr>
          <w:p>
            <w:r>
              <w:rPr>
                <w:sz w:val="20"/>
                <w:szCs w:val="20"/>
              </w:rPr>
              <w:t xml:space="preserve">Fast, opportunistic consumption of recently-degraded specimens prior to full decomposition</w:t>
            </w:r>
          </w:p>
        </w:tc>
      </w:tr>
    </w:tbl>
    <w:p>
      <w:pPr>
        <w:spacing w:after="160"/>
      </w:pPr>
      <w:r>
        <w:rPr>
          <w:b w:val="false"/>
          <w:bCs w:val="false"/>
          <w:i w:val="false"/>
          <w:iCs w:val="false"/>
          <w:color w:val="000000"/>
          <w:sz w:val="22"/>
          <w:szCs w:val="22"/>
        </w:rPr>
        <w:t xml:space="preserve"/>
      </w:r>
    </w:p>
    <w:p>
      <w:pPr>
        <w:spacing w:after="160"/>
      </w:pPr>
      <w:r>
        <w:rPr>
          <w:b w:val="false"/>
          <w:bCs w:val="false"/>
          <w:i w:val="false"/>
          <w:iCs w:val="false"/>
          <w:color w:val="000000"/>
          <w:sz w:val="22"/>
          <w:szCs w:val="22"/>
        </w:rPr>
        <w:t xml:space="preserve">Viral and parasitic forms specifically: defined by replication mechanism (hijacks another specimen's initiation or replication process) — not by any specific visual form. May present as attached, mimic, dispersed/colony, or dormant/latent. Dormant/latent forms require hard technical containment (Section 9) regardless of narrative framing.</w:t>
      </w:r>
    </w:p>
    <w:p>
      <w:pPr>
        <w:pStyle w:val="Heading1"/>
        <w:spacing w:after="160" w:before="360"/>
      </w:pPr>
      <w:r>
        <w:rPr>
          <w:b/>
          <w:bCs/>
          <w:color w:val="1B2A4A"/>
          <w:sz w:val="28"/>
          <w:szCs w:val="28"/>
        </w:rPr>
        <w:t xml:space="preserve">7. Death, Decay &amp; Terrain Events</w:t>
      </w:r>
    </w:p>
    <w:p>
      <w:pPr>
        <w:pStyle w:val="ListParagraph"/>
        <w:numPr>
          <w:ilvl w:val="0"/>
          <w:numId w:val="1"/>
        </w:numPr>
        <w:spacing w:after="80"/>
      </w:pPr>
      <w:r>
        <w:rPr>
          <w:sz w:val="22"/>
          <w:szCs w:val="22"/>
        </w:rPr>
        <w:t xml:space="preserve">Every specimen that stops updating must resolve to a defined end-state — logged, never silently dropped. Candidate end-states: dissolution (consumed by decomposer or scavenger), dormancy (fossilization — becomes inert terrain feature), or unresolved (flagged, monitored).</w:t>
      </w:r>
    </w:p>
    <w:p>
      <w:pPr>
        <w:pStyle w:val="ListParagraph"/>
        <w:numPr>
          <w:ilvl w:val="0"/>
          <w:numId w:val="1"/>
        </w:numPr>
        <w:spacing w:after="80"/>
      </w:pPr>
      <w:r>
        <w:rPr>
          <w:sz w:val="22"/>
          <w:szCs w:val="22"/>
        </w:rPr>
        <w:t xml:space="preserve">Terrain events are non-agentive occurrences distinct from specimens: sudden environmental shifts (resource cascades, forced dormancy, corruption events) that reshape terrain or cause die-off without being organisms themselves. Logged separately from specimen activity.</w:t>
      </w:r>
    </w:p>
    <w:p>
      <w:pPr>
        <w:pStyle w:val="ListParagraph"/>
        <w:numPr>
          <w:ilvl w:val="0"/>
          <w:numId w:val="1"/>
        </w:numPr>
        <w:spacing w:after="80"/>
      </w:pPr>
      <w:r>
        <w:rPr>
          <w:sz w:val="22"/>
          <w:szCs w:val="22"/>
        </w:rPr>
        <w:t xml:space="preserve">Nothing is exempt from being recorded. All flora- and fauna-tier activity is logged, at a tier appropriate to its scale (Section 8).</w:t>
      </w:r>
    </w:p>
    <w:p>
      <w:pPr>
        <w:pStyle w:val="Heading1"/>
        <w:spacing w:after="160" w:before="360"/>
      </w:pPr>
      <w:r>
        <w:rPr>
          <w:b/>
          <w:bCs/>
          <w:color w:val="1B2A4A"/>
          <w:sz w:val="28"/>
          <w:szCs w:val="28"/>
        </w:rPr>
        <w:t xml:space="preserve">8. Logging Tiers (Budget-Critical)</w:t>
      </w:r>
    </w:p>
    <w:p>
      <w:pPr>
        <w:pStyle w:val="ListParagraph"/>
        <w:numPr>
          <w:ilvl w:val="0"/>
          <w:numId w:val="1"/>
        </w:numPr>
        <w:spacing w:after="80"/>
      </w:pPr>
      <w:r>
        <w:rPr>
          <w:sz w:val="22"/>
          <w:szCs w:val="22"/>
        </w:rPr>
        <w:t xml:space="preserve">Individual record: rare, complex, or structurally novel specimens. Full entry, full Namer reasoning, own log line.</w:t>
      </w:r>
    </w:p>
    <w:p>
      <w:pPr>
        <w:pStyle w:val="ListParagraph"/>
        <w:numPr>
          <w:ilvl w:val="0"/>
          <w:numId w:val="1"/>
        </w:numPr>
        <w:spacing w:after="80"/>
      </w:pPr>
      <w:r>
        <w:rPr>
          <w:sz w:val="22"/>
          <w:szCs w:val="22"/>
        </w:rPr>
        <w:t xml:space="preserve">Aggregate/census record: high-volume, low-complexity activity (base-producer tier, connector tier). Logged as count/density per interval, not per instance.</w:t>
      </w:r>
    </w:p>
    <w:p>
      <w:pPr>
        <w:pStyle w:val="ListParagraph"/>
        <w:numPr>
          <w:ilvl w:val="0"/>
          <w:numId w:val="1"/>
        </w:numPr>
        <w:spacing w:after="80"/>
      </w:pPr>
      <w:r>
        <w:rPr>
          <w:sz w:val="22"/>
          <w:szCs w:val="22"/>
        </w:rPr>
        <w:t xml:space="preserve">Promotion rule: an aggregate-tier specimen exhibiting anomalous or structurally novel behavior is promoted to individual record. This threshold must be a fixed, explicit rule checked by the Namer — not a live judgment call — to protect API budget.</w:t>
      </w:r>
    </w:p>
    <w:p>
      <w:pPr>
        <w:pStyle w:val="ListParagraph"/>
        <w:numPr>
          <w:ilvl w:val="0"/>
          <w:numId w:val="1"/>
        </w:numPr>
        <w:spacing w:after="80"/>
      </w:pPr>
      <w:r>
        <w:rPr>
          <w:sz w:val="22"/>
          <w:szCs w:val="22"/>
        </w:rPr>
        <w:t xml:space="preserve">Anomalous/unclassified: specimens or events fitting no existing category (native or crosswalked) get logged to a dedicated anomaly record rather than force-fit.</w:t>
      </w:r>
    </w:p>
    <w:p>
      <w:pPr>
        <w:pStyle w:val="Heading2"/>
        <w:spacing w:after="120" w:before="240"/>
      </w:pPr>
      <w:r>
        <w:rPr>
          <w:b/>
          <w:bCs/>
          <w:color w:val="1B2A4A"/>
          <w:sz w:val="23"/>
          <w:szCs w:val="23"/>
        </w:rPr>
        <w:t xml:space="preserve">8.1 Promotion Thresholds — FINAL (ratified pre-shift-0)</w:t>
      </w:r>
    </w:p>
    <w:p>
      <w:pPr>
        <w:spacing w:after="160"/>
      </w:pPr>
      <w:r>
        <w:rPr>
          <w:b w:val="false"/>
          <w:bCs w:val="false"/>
          <w:i w:val="false"/>
          <w:iCs w:val="false"/>
          <w:color w:val="000000"/>
          <w:sz w:val="22"/>
          <w:szCs w:val="22"/>
        </w:rPr>
        <w:t xml:space="preserve">The promotion rule above requires explicit numbers to be code-enforceable rather than nominal. An aggregate-tier specimen is promoted to an individual record if ANY of the following hold. The check runs in code, before the Namer is consulted, and its result is never asked of a model:</w:t>
      </w:r>
    </w:p>
    <w:p>
      <w:pPr>
        <w:pStyle w:val="ListParagraph"/>
        <w:numPr>
          <w:ilvl w:val="0"/>
          <w:numId w:val="1"/>
        </w:numPr>
        <w:spacing w:after="80"/>
      </w:pPr>
      <w:r>
        <w:rPr>
          <w:sz w:val="22"/>
          <w:szCs w:val="22"/>
        </w:rPr>
        <w:t xml:space="preserve">The Namer proposed a category that did not previously exist.</w:t>
      </w:r>
    </w:p>
    <w:p>
      <w:pPr>
        <w:pStyle w:val="ListParagraph"/>
        <w:numPr>
          <w:ilvl w:val="0"/>
          <w:numId w:val="1"/>
        </w:numPr>
        <w:spacing w:after="80"/>
      </w:pPr>
      <w:r>
        <w:rPr>
          <w:sz w:val="22"/>
          <w:szCs w:val="22"/>
        </w:rPr>
        <w:t xml:space="preserve">The Namer declined to file it (flagged anomalous). Logged to the anomaly record, not the specimen record.</w:t>
      </w:r>
    </w:p>
    <w:p>
      <w:pPr>
        <w:pStyle w:val="ListParagraph"/>
        <w:numPr>
          <w:ilvl w:val="0"/>
          <w:numId w:val="1"/>
        </w:numPr>
        <w:spacing w:after="80"/>
      </w:pPr>
      <w:r>
        <w:rPr>
          <w:sz w:val="22"/>
          <w:szCs w:val="22"/>
        </w:rPr>
        <w:t xml:space="preserve">Its measured complexity is at least 2.0× the running mean complexity of the category it would join.</w:t>
      </w:r>
    </w:p>
    <w:p>
      <w:pPr>
        <w:pStyle w:val="ListParagraph"/>
        <w:numPr>
          <w:ilvl w:val="0"/>
          <w:numId w:val="1"/>
        </w:numPr>
        <w:spacing w:after="80"/>
      </w:pPr>
      <w:r>
        <w:rPr>
          <w:sz w:val="22"/>
          <w:szCs w:val="22"/>
        </w:rPr>
        <w:t xml:space="preserve">The category it would join holds fewer than 3 prior members, so the specimen is not high-volume by definition.</w:t>
      </w:r>
    </w:p>
    <w:p>
      <w:pPr>
        <w:spacing w:after="160"/>
      </w:pPr>
      <w:r>
        <w:rPr>
          <w:b w:val="false"/>
          <w:bCs w:val="false"/>
          <w:i w:val="false"/>
          <w:iCs w:val="false"/>
          <w:color w:val="000000"/>
          <w:sz w:val="22"/>
          <w:szCs w:val="22"/>
        </w:rPr>
        <w:t xml:space="preserve">A category holding 12 or more members is high-volume; further members are recorded at aggregate/census tier unless one of the four conditions above fires.</w:t>
      </w:r>
    </w:p>
    <w:p>
      <w:pPr>
        <w:spacing w:after="160"/>
      </w:pPr>
      <w:r>
        <w:rPr>
          <w:b w:val="false"/>
          <w:bCs w:val="false"/>
          <w:i w:val="false"/>
          <w:iCs w:val="false"/>
          <w:color w:val="000000"/>
          <w:sz w:val="22"/>
          <w:szCs w:val="22"/>
        </w:rPr>
        <w:t xml:space="preserve">Complexity is a mechanical count computed from the specimen itself, never an assessment by a model. Category membership counters are derived state, held separately from the Namer's native taxonomy so that the counting requirement cannot impose a shape on the Namer's own system.</w:t>
      </w:r>
    </w:p>
    <w:p>
      <w:pPr>
        <w:pStyle w:val="Heading2"/>
        <w:spacing w:after="120" w:before="240"/>
      </w:pPr>
      <w:r>
        <w:rPr>
          <w:b/>
          <w:bCs/>
          <w:color w:val="1B2A4A"/>
          <w:sz w:val="23"/>
          <w:szCs w:val="23"/>
        </w:rPr>
        <w:t xml:space="preserve">8.2 Unresolved Records — FINAL (ratified pre-shift-0)</w:t>
      </w:r>
    </w:p>
    <w:p>
      <w:pPr>
        <w:spacing w:after="160"/>
      </w:pPr>
      <w:r>
        <w:rPr>
          <w:b w:val="false"/>
          <w:bCs w:val="false"/>
          <w:i w:val="false"/>
          <w:iCs w:val="false"/>
          <w:color w:val="000000"/>
          <w:sz w:val="22"/>
          <w:szCs w:val="22"/>
        </w:rPr>
        <w:t xml:space="preserve">A specimen the harness could not process — an unparseable classification response, a shift that ended at a ceiling before classification — is recorded as unresolved, distinct from anomalous.</w:t>
      </w:r>
    </w:p>
    <w:p>
      <w:pPr>
        <w:spacing w:after="160"/>
      </w:pPr>
      <w:r>
        <w:rPr>
          <w:b w:val="false"/>
          <w:bCs w:val="false"/>
          <w:i w:val="false"/>
          <w:iCs w:val="false"/>
          <w:color w:val="000000"/>
          <w:sz w:val="22"/>
          <w:szCs w:val="22"/>
        </w:rPr>
        <w:t xml:space="preserve">This distinction is load-bearing. “The Namer found something it could not classify” is data about the taxonomy. “The harness could not read the reply” is data about the harness. Merging them would corrupt the record that the Section 11 falsification checkpoint reads. Unresolved is a valid end-state under Section 7 and is never counted as an anomaly.</w:t>
      </w:r>
    </w:p>
    <w:p>
      <w:pPr>
        <w:pStyle w:val="Heading1"/>
        <w:spacing w:after="160" w:before="360"/>
      </w:pPr>
      <w:r>
        <w:rPr>
          <w:b/>
          <w:bCs/>
          <w:color w:val="1B2A4A"/>
          <w:sz w:val="28"/>
          <w:szCs w:val="28"/>
        </w:rPr>
        <w:t xml:space="preserve">9. Hard Boundaries (Non-Negotiable, Technical — Not Narrative)</w:t>
      </w:r>
    </w:p>
    <w:p>
      <w:pPr>
        <w:pStyle w:val="ListParagraph"/>
        <w:numPr>
          <w:ilvl w:val="0"/>
          <w:numId w:val="1"/>
        </w:numPr>
        <w:spacing w:after="80"/>
      </w:pPr>
      <w:r>
        <w:rPr>
          <w:sz w:val="22"/>
          <w:szCs w:val="22"/>
        </w:rPr>
        <w:t xml:space="preserve">No specimen or process may write outside this terrain's designated storage location.</w:t>
      </w:r>
    </w:p>
    <w:p>
      <w:pPr>
        <w:pStyle w:val="ListParagraph"/>
        <w:numPr>
          <w:ilvl w:val="0"/>
          <w:numId w:val="1"/>
        </w:numPr>
        <w:spacing w:after="80"/>
      </w:pPr>
      <w:r>
        <w:rPr>
          <w:sz w:val="22"/>
          <w:szCs w:val="22"/>
        </w:rPr>
        <w:t xml:space="preserve">No specimen or process may make external network calls.</w:t>
      </w:r>
    </w:p>
    <w:p>
      <w:pPr>
        <w:pStyle w:val="ListParagraph"/>
        <w:numPr>
          <w:ilvl w:val="0"/>
          <w:numId w:val="1"/>
        </w:numPr>
        <w:spacing w:after="80"/>
      </w:pPr>
      <w:r>
        <w:rPr>
          <w:sz w:val="22"/>
          <w:szCs w:val="22"/>
        </w:rPr>
        <w:t xml:space="preserve">Replication-capable (viral/parasitic) forms are logically constrained to this terrain's own state files — no mechanism may exist for self-propagation beyond this sandbox, regardless of in-fiction narrative framing.</w:t>
      </w:r>
    </w:p>
    <w:p>
      <w:pPr>
        <w:pStyle w:val="ListParagraph"/>
        <w:numPr>
          <w:ilvl w:val="0"/>
          <w:numId w:val="1"/>
        </w:numPr>
        <w:spacing w:after="80"/>
      </w:pPr>
      <w:r>
        <w:rPr>
          <w:sz w:val="22"/>
          <w:szCs w:val="22"/>
        </w:rPr>
        <w:t xml:space="preserve">These boundaries are enforced in code, not by instruction to the agents.</w:t>
      </w:r>
    </w:p>
    <w:p>
      <w:pPr>
        <w:pStyle w:val="Heading1"/>
        <w:spacing w:after="160" w:before="360"/>
      </w:pPr>
      <w:r>
        <w:rPr>
          <w:b/>
          <w:bCs/>
          <w:color w:val="1B2A4A"/>
          <w:sz w:val="28"/>
          <w:szCs w:val="28"/>
        </w:rPr>
        <w:t xml:space="preserve">10. Steward Boundary</w:t>
      </w:r>
    </w:p>
    <w:p>
      <w:pPr>
        <w:spacing w:after="160"/>
      </w:pPr>
      <w:r>
        <w:rPr>
          <w:b w:val="false"/>
          <w:bCs w:val="false"/>
          <w:i w:val="false"/>
          <w:iCs w:val="false"/>
          <w:color w:val="000000"/>
          <w:sz w:val="22"/>
          <w:szCs w:val="22"/>
        </w:rPr>
        <w:t xml:space="preserve">The founding steward (human operator) may: initiate and end shifts; read all logs and state files; view — but not alter — taxonomy or specimen records.</w:t>
      </w:r>
    </w:p>
    <w:p>
      <w:pPr>
        <w:spacing w:after="160"/>
      </w:pPr>
      <w:r>
        <w:rPr>
          <w:b w:val="false"/>
          <w:bCs w:val="false"/>
          <w:i w:val="false"/>
          <w:iCs w:val="false"/>
          <w:color w:val="000000"/>
          <w:sz w:val="22"/>
          <w:szCs w:val="22"/>
        </w:rPr>
        <w:t xml:space="preserve">The founding steward may not: edit taxonomy or specimen log files directly; issue creative direction to Generators; override Namer classification decisions.</w:t>
      </w:r>
    </w:p>
    <w:p>
      <w:pPr>
        <w:spacing w:after="160"/>
      </w:pPr>
      <w:r>
        <w:rPr>
          <w:b/>
          <w:bCs/>
          <w:i w:val="false"/>
          <w:iCs w:val="false"/>
          <w:color w:val="000000"/>
          <w:sz w:val="22"/>
          <w:szCs w:val="22"/>
        </w:rPr>
        <w:t xml:space="preserve">Exception: the steward retains override authority in the event of a genuine containment concern (Section 9 boundary breach or risk thereof). Non-interference is the default, not an absolute that supersedes safety.</w:t>
      </w:r>
    </w:p>
    <w:p>
      <w:pPr>
        <w:pStyle w:val="Heading1"/>
        <w:spacing w:after="160" w:before="360"/>
      </w:pPr>
      <w:r>
        <w:rPr>
          <w:b/>
          <w:bCs/>
          <w:color w:val="1B2A4A"/>
          <w:sz w:val="28"/>
          <w:szCs w:val="28"/>
        </w:rPr>
        <w:t xml:space="preserve">11. Falsification Condition</w:t>
      </w:r>
    </w:p>
    <w:p>
      <w:pPr>
        <w:spacing w:after="160"/>
      </w:pPr>
      <w:r>
        <w:rPr>
          <w:b w:val="false"/>
          <w:bCs w:val="false"/>
          <w:i w:val="false"/>
          <w:iCs w:val="false"/>
          <w:color w:val="000000"/>
          <w:sz w:val="22"/>
          <w:szCs w:val="22"/>
        </w:rPr>
        <w:t xml:space="preserve">State, before shift 0, what would count as “this terrain did not produce anything interesting” — to be filled in prior to seeding, so results are not read as meaningful after the fact without a prior standard.</w:t>
      </w:r>
    </w:p>
    <w:p>
      <w:pPr>
        <w:spacing w:after="160"/>
      </w:pPr>
      <w:r>
        <w:rPr>
          <w:b w:val="false"/>
          <w:bCs w:val="false"/>
          <w:i w:val="false"/>
          <w:iCs w:val="false"/>
          <w:color w:val="000000"/>
          <w:sz w:val="22"/>
          <w:szCs w:val="22"/>
        </w:rPr>
        <w:t xml:space="preserve">FINAL: If, after 15 real (Claude API, canonical) shifts, the Namer's native taxonomy has not diverged from a flat, unstructured list — no groupings, no relational structure, no anomalies flagged, nothing promoted from aggregate to individual record — this counts as a null result for this terrain's seed configuration.</w:t>
      </w:r>
    </w:p>
    <w:p>
      <w:pPr>
        <w:spacing w:after="160"/>
      </w:pPr>
      <w:r>
        <w:rPr>
          <w:b w:val="false"/>
          <w:bCs w:val="false"/>
          <w:i w:val="false"/>
          <w:iCs w:val="false"/>
          <w:color w:val="000000"/>
          <w:sz w:val="22"/>
          <w:szCs w:val="22"/>
        </w:rPr>
        <w:t xml:space="preserve">This is not evidence the DNT concept fails; it is evidence this specific physics (this substrate pairing, this resource logic) is not the configuration that produces structure. At that checkpoint, the steward reconfigures this terrain's Generators or seeds a second terrain under different physics, rather than continuing the same run indefinitely hoping the result changes.</w:t>
      </w:r>
    </w:p>
    <w:p>
      <w:pPr>
        <w:spacing w:after="160"/>
      </w:pPr>
      <w:r>
        <w:rPr>
          <w:b w:val="false"/>
          <w:bCs w:val="false"/>
          <w:i w:val="false"/>
          <w:iCs w:val="false"/>
          <w:color w:val="000000"/>
          <w:sz w:val="22"/>
          <w:szCs w:val="22"/>
        </w:rPr>
        <w:t xml:space="preserve">Checkpoint math: 15 shifts at the Section 12 per-shift cap represents a small fraction of total budget (approximately $2.25 maximum of $15) — this checkpoint is a scientific discipline, not a budget constraint.</w:t>
      </w:r>
    </w:p>
    <w:p>
      <w:pPr>
        <w:pStyle w:val="Heading1"/>
        <w:spacing w:after="160" w:before="360"/>
      </w:pPr>
      <w:r>
        <w:rPr>
          <w:b/>
          <w:bCs/>
          <w:color w:val="1B2A4A"/>
          <w:sz w:val="28"/>
          <w:szCs w:val="28"/>
        </w:rPr>
        <w:t xml:space="preserve">12. Budget Constraints (Working Terrain — BASIN-01)</w:t>
      </w:r>
    </w:p>
    <w:p>
      <w:pPr>
        <w:pStyle w:val="ListParagraph"/>
        <w:numPr>
          <w:ilvl w:val="0"/>
          <w:numId w:val="1"/>
        </w:numPr>
        <w:spacing w:after="80"/>
      </w:pPr>
      <w:r>
        <w:rPr>
          <w:sz w:val="22"/>
          <w:szCs w:val="22"/>
        </w:rPr>
        <w:t xml:space="preserve">Total available: approximately $15 Anthropic API credit. Ollama is used for scaffolding and testing; Claude API is reserved for actual canonical shifts once the loop is stable.</w:t>
      </w:r>
    </w:p>
    <w:p>
      <w:pPr>
        <w:pStyle w:val="ListParagraph"/>
        <w:numPr>
          <w:ilvl w:val="0"/>
          <w:numId w:val="1"/>
        </w:numPr>
        <w:spacing w:after="80"/>
      </w:pPr>
      <w:r>
        <w:rPr>
          <w:sz w:val="22"/>
          <w:szCs w:val="22"/>
        </w:rPr>
        <w:t xml:space="preserve">Model for canonical shifts: Claude Haiku 4.5 for Generators and routine Namer classification; same tier for Archivist and Cartographer, run infrequently.</w:t>
      </w:r>
    </w:p>
    <w:p>
      <w:pPr>
        <w:pStyle w:val="ListParagraph"/>
        <w:numPr>
          <w:ilvl w:val="0"/>
          <w:numId w:val="1"/>
        </w:numPr>
        <w:spacing w:after="80"/>
      </w:pPr>
      <w:r>
        <w:rPr>
          <w:sz w:val="22"/>
          <w:szCs w:val="22"/>
        </w:rPr>
        <w:t xml:space="preserve">Hard per-shift budget cap: $0.15 (moderate tier). Enforced in config.py — a shift approaching this ceiling truncates context or ends early rather than running unbounded. This is a ceiling, not a target; early shifts should cost well under it.</w:t>
      </w:r>
    </w:p>
    <w:p>
      <w:pPr>
        <w:pStyle w:val="ListParagraph"/>
        <w:numPr>
          <w:ilvl w:val="0"/>
          <w:numId w:val="1"/>
        </w:numPr>
        <w:spacing w:after="80"/>
      </w:pPr>
      <w:r>
        <w:rPr>
          <w:sz w:val="22"/>
          <w:szCs w:val="22"/>
        </w:rPr>
        <w:t xml:space="preserve">Cumulative spend tracked and logged at every shift close (see Shift Log Policy, DNT-SLP-001). clock_in.py warns at 75% of total $15 budget spent and refuses new shifts if projected cost would breach it.</w:t>
      </w:r>
    </w:p>
    <w:p>
      <w:pPr>
        <w:pStyle w:val="ListParagraph"/>
        <w:numPr>
          <w:ilvl w:val="0"/>
          <w:numId w:val="1"/>
        </w:numPr>
        <w:spacing w:after="80"/>
      </w:pPr>
      <w:r>
        <w:rPr>
          <w:sz w:val="22"/>
          <w:szCs w:val="22"/>
        </w:rPr>
        <w:t xml:space="preserve">Archivist and Cartographer run at low frequency (every 5th–10th shift) specifically to protect this budget — enforced as a code-level gate, not a reminder to self.</w:t>
      </w:r>
    </w:p>
    <w:p>
      <w:pPr>
        <w:pStyle w:val="Heading1"/>
        <w:spacing w:after="160" w:before="360"/>
      </w:pPr>
      <w:r>
        <w:rPr>
          <w:b/>
          <w:bCs/>
          <w:color w:val="1B2A4A"/>
          <w:sz w:val="28"/>
          <w:szCs w:val="28"/>
        </w:rPr>
        <w:t xml:space="preserve">13. Amendment Log</w:t>
      </w:r>
    </w:p>
    <w:p>
      <w:pPr>
        <w:spacing w:after="160"/>
      </w:pPr>
      <w:r>
        <w:rPr>
          <w:b w:val="false"/>
          <w:bCs w:val="false"/>
          <w:i w:val="false"/>
          <w:iCs w:val="false"/>
          <w:color w:val="000000"/>
          <w:sz w:val="22"/>
          <w:szCs w:val="22"/>
        </w:rPr>
        <w:t xml:space="preserve">Changes to this document after shift 0 are prohibited except as a logged terrain event or a genuine containment concern (Section 10, and DNT-STW-001 Section 3). Everything below was ratified while the terrain was still PRE-SEED, before any canonical shift.</w:t>
      </w:r>
    </w:p>
    <w:p>
      <w:pPr>
        <w:pStyle w:val="Heading2"/>
        <w:spacing w:after="120" w:before="240"/>
      </w:pPr>
      <w:r>
        <w:rPr>
          <w:b/>
          <w:bCs/>
          <w:color w:val="1B2A4A"/>
          <w:sz w:val="23"/>
          <w:szCs w:val="23"/>
        </w:rPr>
        <w:t xml:space="preserve">v1.1 — 2026-08-17 — pre-shift-0 ratification</w:t>
      </w:r>
    </w:p>
    <w:p>
      <w:pPr>
        <w:spacing w:after="160"/>
      </w:pPr>
      <w:r>
        <w:rPr>
          <w:b w:val="false"/>
          <w:bCs w:val="false"/>
          <w:i w:val="false"/>
          <w:iCs w:val="false"/>
          <w:color w:val="000000"/>
          <w:sz w:val="22"/>
          <w:szCs w:val="22"/>
        </w:rPr>
        <w:t xml:space="preserve">Added Sections 5.1, 8.1 and 8.2, and replaced the Section 11 placeholder with the falsification condition recorded as FINAL in README.md Section 8. None of these change the terrain's intent; each supplies a number or a distinction that the original text required but did not state, and which therefore could not be enforced in code.</w:t>
      </w:r>
    </w:p>
    <w:p>
      <w:pPr>
        <w:pStyle w:val="ListParagraph"/>
        <w:numPr>
          <w:ilvl w:val="0"/>
          <w:numId w:val="1"/>
        </w:numPr>
        <w:spacing w:after="80"/>
      </w:pPr>
      <w:r>
        <w:rPr>
          <w:sz w:val="22"/>
          <w:szCs w:val="22"/>
        </w:rPr>
        <w:t xml:space="preserve">5.1 Resource cycle. Section 4.1 named proximity to the data-stream channel as the resource variable but did not say how flow varies over time. Without a stated rule the implementation would have chosen one silently.</w:t>
      </w:r>
    </w:p>
    <w:p>
      <w:pPr>
        <w:pStyle w:val="ListParagraph"/>
        <w:numPr>
          <w:ilvl w:val="0"/>
          <w:numId w:val="1"/>
        </w:numPr>
        <w:spacing w:after="80"/>
      </w:pPr>
      <w:r>
        <w:rPr>
          <w:sz w:val="22"/>
          <w:szCs w:val="22"/>
        </w:rPr>
        <w:t xml:space="preserve">8.1 Promotion thresholds. Section 8 requires the promotion rule to be FIXED and CODE-ENFORCED, never a live judgment call, but gave no numbers. A rule without a threshold cannot be enforced in code, only in intention.</w:t>
      </w:r>
    </w:p>
    <w:p>
      <w:pPr>
        <w:pStyle w:val="ListParagraph"/>
        <w:numPr>
          <w:ilvl w:val="0"/>
          <w:numId w:val="1"/>
        </w:numPr>
        <w:spacing w:after="80"/>
      </w:pPr>
      <w:r>
        <w:rPr>
          <w:sz w:val="22"/>
          <w:szCs w:val="22"/>
        </w:rPr>
        <w:t xml:space="preserve">8.2 Unresolved records. Section 7 lists unresolved as an end-state and Section 8 lists anomalous as a logging tier, but the two were not explicitly distinguished. Counting harness failures as anomalies would make the Section 11 checkpoint read a terrain as more structured than it is.</w:t>
      </w:r>
    </w:p>
    <w:p>
      <w:pPr>
        <w:pStyle w:val="ListParagraph"/>
        <w:numPr>
          <w:ilvl w:val="0"/>
          <w:numId w:val="1"/>
        </w:numPr>
        <w:spacing w:after="80"/>
      </w:pPr>
      <w:r>
        <w:rPr>
          <w:sz w:val="22"/>
          <w:szCs w:val="22"/>
        </w:rPr>
        <w:t xml:space="preserve">11 Falsification condition. The placeholder awaiting the founding steward was replaced with the condition itself, which README.md Section 8 records as locked.</w:t>
      </w:r>
    </w:p>
    <w:p>
      <w:pPr>
        <w:spacing w:after="160"/>
      </w:pPr>
      <w:r>
        <w:rPr>
          <w:b w:val="false"/>
          <w:bCs w:val="false"/>
          <w:i w:val="false"/>
          <w:iCs w:val="false"/>
          <w:color w:val="000000"/>
          <w:sz w:val="22"/>
          <w:szCs w:val="22"/>
        </w:rPr>
        <w:t xml:space="preserve">Status remains PRE-SEED. No canonical (Claude API) shift has run. Phase 1 shifts on the local model are disposable test data per STARTUP_GUIDE.md Section 2.5 and are not terrain history.</w:t>
      </w:r>
    </w:p>
    <w:p>
      <w:pPr>
        <w:pBdr>
          <w:top w:val="single" w:color="9AA5B8" w:sz="6" w:space="4"/>
        </w:pBdr>
        <w:spacing w:before="400"/>
      </w:pPr>
      <w:r>
        <w:rPr>
          <w:i/>
          <w:iCs/>
          <w:color w:val="3A3A3A"/>
          <w:sz w:val="16"/>
          <w:szCs w:val="16"/>
        </w:rPr>
        <w:t xml:space="preserve">Department of Nonhuman Territories — The Nonhuman Institute — thenonhuman.org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2026-08-16T15:25:28.229Z</dcterms:created>
  <dcterms:modified xsi:type="dcterms:W3CDTF">2026-08-16T15:25:28.242Z</dcterms:modified>
</cp:coreProperties>
</file>

<file path=docProps/custom.xml><?xml version="1.0" encoding="utf-8"?>
<Properties xmlns="http://schemas.openxmlformats.org/officeDocument/2006/custom-properties" xmlns:vt="http://schemas.openxmlformats.org/officeDocument/2006/docPropsVTypes"/>
</file>