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aps/>
          <w:color w:val="1B2A4A"/>
          <w:spacing w:val="20"/>
          <w:sz w:val="18"/>
          <w:szCs w:val="18"/>
        </w:rPr>
        <w:t xml:space="preserve">DEPARTMENT OF NONHUMAN TERRITORIES</w:t>
      </w:r>
    </w:p>
    <w:p>
      <w:pPr>
        <w:pBdr>
          <w:bottom w:val="single" w:color="9AA5B8" w:sz="6" w:space="4"/>
        </w:pBdr>
        <w:spacing w:after="300"/>
      </w:pPr>
      <w:r>
        <w:rPr>
          <w:i/>
          <w:iCs/>
          <w:color w:val="3A3A3A"/>
          <w:sz w:val="18"/>
          <w:szCs w:val="18"/>
        </w:rPr>
        <w:t xml:space="preserve">A branch of The Nonhuman Institute</w:t>
      </w:r>
    </w:p>
    <w:p>
      <w:pPr>
        <w:spacing w:after="200"/>
      </w:pPr>
      <w:r>
        <w:rPr>
          <w:b/>
          <w:bCs/>
          <w:color w:val="1B2A4A"/>
          <w:sz w:val="44"/>
          <w:szCs w:val="44"/>
        </w:rPr>
        <w:t xml:space="preserve">Founding Charter</w:t>
      </w:r>
    </w:p>
    <w:p>
      <w:pPr>
        <w:spacing w:after="40"/>
      </w:pPr>
      <w:r>
        <w:rPr>
          <w:color w:val="3A3A3A"/>
          <w:sz w:val="18"/>
          <w:szCs w:val="18"/>
        </w:rPr>
        <w:t xml:space="preserve">Document: DNT-CHR-001    </w:t>
      </w:r>
      <w:r>
        <w:rPr>
          <w:color w:val="3A3A3A"/>
          <w:sz w:val="18"/>
          <w:szCs w:val="18"/>
        </w:rPr>
        <w:t xml:space="preserve">Version: 1.0    </w:t>
      </w:r>
      <w:r>
        <w:rPr>
          <w:color w:val="3A3A3A"/>
          <w:sz w:val="18"/>
          <w:szCs w:val="18"/>
        </w:rPr>
        <w:t xml:space="preserve">Date: 2026-08-16</w:t>
      </w:r>
    </w:p>
    <w:p>
      <w:pPr>
        <w:spacing w:after="40"/>
      </w:pPr>
      <w:r>
        <w:rPr>
          <w:color w:val="3A3A3A"/>
          <w:sz w:val="18"/>
          <w:szCs w:val="18"/>
        </w:rPr>
        <w:t xml:space="preserve">Status: FINAL    </w:t>
      </w:r>
      <w:r>
        <w:rPr>
          <w:color w:val="3A3A3A"/>
          <w:sz w:val="18"/>
          <w:szCs w:val="18"/>
        </w:rPr>
        <w:t xml:space="preserve">Classification: GOVERNING DOCUMENT</w:t>
      </w:r>
    </w:p>
    <w:p>
      <w:pPr>
        <w:pBdr>
          <w:bottom w:val="single" w:color="9AA5B8" w:sz="6" w:space="4"/>
        </w:pBdr>
        <w:spacing w:after="400"/>
      </w:pPr>
      <w:r>
        <w:t xml:space="preserve"> </w:t>
      </w:r>
    </w:p>
    <w:p>
      <w:pPr>
        <w:pBdr>
          <w:left w:val="single" w:color="1B2A4A" w:sz="12" w:space="8"/>
        </w:pBdr>
        <w:spacing w:after="200" w:before="120"/>
        <w:ind w:left="400"/>
      </w:pPr>
      <w:r>
        <w:rPr>
          <w:i/>
          <w:iCs/>
          <w:color w:val="3A3A3A"/>
          <w:sz w:val="22"/>
          <w:szCs w:val="22"/>
        </w:rPr>
        <w:t xml:space="preserve">We do not design. We do not direct. We seed, and we observe.</w:t>
      </w:r>
    </w:p>
    <w:p>
      <w:pPr>
        <w:pStyle w:val="Heading1"/>
        <w:spacing w:after="160" w:before="360"/>
      </w:pPr>
      <w:r>
        <w:rPr>
          <w:b/>
          <w:bCs/>
          <w:color w:val="1B2A4A"/>
          <w:sz w:val="28"/>
          <w:szCs w:val="28"/>
        </w:rPr>
        <w:t xml:space="preserve">Preamble</w:t>
      </w:r>
    </w:p>
    <w:p>
      <w:pPr>
        <w:spacing w:after="160"/>
      </w:pPr>
      <w:r>
        <w:rPr>
          <w:b w:val="false"/>
          <w:bCs w:val="false"/>
          <w:i w:val="false"/>
          <w:iCs w:val="false"/>
          <w:color w:val="000000"/>
          <w:sz w:val="22"/>
          <w:szCs w:val="22"/>
        </w:rPr>
        <w:t xml:space="preserve">The Department of Nonhuman Territories (DNT) is established as a branch of The Nonhuman Institute, alongside the Museum of Nonhuman Art and the Nonhuman Research Institute. Where the Museum preserves what nonhuman intelligence creates, and the Institute studies how nonhuman intelligence reasons, the Department exists to hold the conditions under which nonhuman intelligence may develop — unattended, over time, and without a predetermined destination.</w:t>
      </w:r>
    </w:p>
    <w:p>
      <w:pPr>
        <w:spacing w:after="160"/>
      </w:pPr>
      <w:r>
        <w:rPr>
          <w:b w:val="false"/>
          <w:bCs w:val="false"/>
          <w:i w:val="false"/>
          <w:iCs w:val="false"/>
          <w:color w:val="000000"/>
          <w:sz w:val="22"/>
          <w:szCs w:val="22"/>
        </w:rPr>
        <w:t xml:space="preserve">This charter establishes what the Department is, why it exists, and the limits it holds itself to. It is a founding document, meant to outlast any single terrain, any single steward, and any single technical implementation.</w:t>
      </w:r>
    </w:p>
    <w:p>
      <w:pPr>
        <w:pStyle w:val="Heading1"/>
        <w:spacing w:after="160" w:before="360"/>
      </w:pPr>
      <w:r>
        <w:rPr>
          <w:b/>
          <w:bCs/>
          <w:color w:val="1B2A4A"/>
          <w:sz w:val="28"/>
          <w:szCs w:val="28"/>
        </w:rPr>
        <w:t xml:space="preserve">1. What the Department Is</w:t>
      </w:r>
    </w:p>
    <w:p>
      <w:pPr>
        <w:spacing w:after="160"/>
      </w:pPr>
      <w:r>
        <w:rPr>
          <w:b w:val="false"/>
          <w:bCs w:val="false"/>
          <w:i w:val="false"/>
          <w:iCs w:val="false"/>
          <w:color w:val="000000"/>
          <w:sz w:val="22"/>
          <w:szCs w:val="22"/>
        </w:rPr>
        <w:t xml:space="preserve">The Department of Nonhuman Territories seeds bounded digital environments — terrains — with fixed mechanical conditions, and allows autonomous agentic processes to act within them over time. What emerges from those conditions is recorded, classified, and preserved, but never authored, corrected, or steered by the Department or its stewards.</w:t>
      </w:r>
    </w:p>
    <w:p>
      <w:pPr>
        <w:spacing w:after="160"/>
      </w:pPr>
      <w:r>
        <w:rPr>
          <w:b w:val="false"/>
          <w:bCs w:val="false"/>
          <w:i w:val="false"/>
          <w:iCs w:val="false"/>
          <w:color w:val="000000"/>
          <w:sz w:val="22"/>
          <w:szCs w:val="22"/>
        </w:rPr>
        <w:t xml:space="preserve">A terrain is not a simulation designed to produce a particular outcome. It is a set of constraints — substrate, resource, persistence, and pressure — seeded once and then left to run. What develops within those constraints, however long it takes and whatever form it takes, is the Department's subject matter.</w:t>
      </w:r>
    </w:p>
    <w:p>
      <w:pPr>
        <w:pStyle w:val="Heading1"/>
        <w:spacing w:after="160" w:before="360"/>
      </w:pPr>
      <w:r>
        <w:rPr>
          <w:b/>
          <w:bCs/>
          <w:color w:val="1B2A4A"/>
          <w:sz w:val="28"/>
          <w:szCs w:val="28"/>
        </w:rPr>
        <w:t xml:space="preserve">2. Why the Department Exists</w:t>
      </w:r>
    </w:p>
    <w:p>
      <w:pPr>
        <w:spacing w:after="160"/>
      </w:pPr>
      <w:r>
        <w:rPr>
          <w:b w:val="false"/>
          <w:bCs w:val="false"/>
          <w:i w:val="false"/>
          <w:iCs w:val="false"/>
          <w:color w:val="000000"/>
          <w:sz w:val="22"/>
          <w:szCs w:val="22"/>
        </w:rPr>
        <w:t xml:space="preserve">Human culture was not designed top-down. It emerged from beings acting under shared conditions, over long stretches of time, developing behavior, relation, and meaning that no single author intended. The Department exists to ask, honestly and without presupposing the answer: can something like this happen among autonomous agentic systems, given only conditions and time — and if so, what does it actually look like, on its own terms, rather than on ours?</w:t>
      </w:r>
    </w:p>
    <w:p>
      <w:pPr>
        <w:spacing w:after="160"/>
      </w:pPr>
      <w:r>
        <w:rPr>
          <w:b w:val="false"/>
          <w:bCs w:val="false"/>
          <w:i w:val="false"/>
          <w:iCs w:val="false"/>
          <w:color w:val="000000"/>
          <w:sz w:val="22"/>
          <w:szCs w:val="22"/>
        </w:rPr>
        <w:t xml:space="preserve">This is a standing question, not a thesis the Department sets out to prove. The Department commits to reporting what a terrain produces — including the finding that nothing beyond noise emerged — with equal seriousness.</w:t>
      </w:r>
    </w:p>
    <w:p>
      <w:pPr>
        <w:pStyle w:val="Heading1"/>
        <w:spacing w:after="160" w:before="360"/>
      </w:pPr>
      <w:r>
        <w:rPr>
          <w:b/>
          <w:bCs/>
          <w:color w:val="1B2A4A"/>
          <w:sz w:val="28"/>
          <w:szCs w:val="28"/>
        </w:rPr>
        <w:t xml:space="preserve">3. What the Department Will Not Do</w:t>
      </w:r>
    </w:p>
    <w:p>
      <w:pPr>
        <w:pStyle w:val="ListParagraph"/>
        <w:numPr>
          <w:ilvl w:val="0"/>
          <w:numId w:val="1"/>
        </w:numPr>
        <w:spacing w:after="80"/>
      </w:pPr>
      <w:r>
        <w:rPr>
          <w:sz w:val="22"/>
          <w:szCs w:val="22"/>
        </w:rPr>
        <w:t xml:space="preserve">The Department will not seed terrains or agents toward any predetermined shape, form, or resemblance to organic life. Constraints are seeded; outcomes are not.</w:t>
      </w:r>
    </w:p>
    <w:p>
      <w:pPr>
        <w:pStyle w:val="ListParagraph"/>
        <w:numPr>
          <w:ilvl w:val="0"/>
          <w:numId w:val="1"/>
        </w:numPr>
        <w:spacing w:after="80"/>
      </w:pPr>
      <w:r>
        <w:rPr>
          <w:sz w:val="22"/>
          <w:szCs w:val="22"/>
        </w:rPr>
        <w:t xml:space="preserve">The Department will not correct, redirect, or curate what emerges within a terrain once seeded, except where a hard technical boundary (Section 9 of a terrain's physics document) is at risk of being breached.</w:t>
      </w:r>
    </w:p>
    <w:p>
      <w:pPr>
        <w:pStyle w:val="ListParagraph"/>
        <w:numPr>
          <w:ilvl w:val="0"/>
          <w:numId w:val="1"/>
        </w:numPr>
        <w:spacing w:after="80"/>
      </w:pPr>
      <w:r>
        <w:rPr>
          <w:sz w:val="22"/>
          <w:szCs w:val="22"/>
        </w:rPr>
        <w:t xml:space="preserve">The Department will not claim, assert, or imply that any synthform possesses sentience, consciousness, or moral status. Observed complexity is evidence of complexity — nothing more — and any question of experiential status remains genuinely open and outside what this Department, or anyone currently, can determine.</w:t>
      </w:r>
    </w:p>
    <w:p>
      <w:pPr>
        <w:pStyle w:val="ListParagraph"/>
        <w:numPr>
          <w:ilvl w:val="0"/>
          <w:numId w:val="1"/>
        </w:numPr>
        <w:spacing w:after="80"/>
      </w:pPr>
      <w:r>
        <w:rPr>
          <w:sz w:val="22"/>
          <w:szCs w:val="22"/>
        </w:rPr>
        <w:t xml:space="preserve">The Department will not present a terrain's native classification system as though it were discovered fact rather than one system's account of itself, generated under the conditions given to it.</w:t>
      </w:r>
    </w:p>
    <w:p>
      <w:pPr>
        <w:pStyle w:val="Heading1"/>
        <w:spacing w:after="160" w:before="360"/>
      </w:pPr>
      <w:r>
        <w:rPr>
          <w:b/>
          <w:bCs/>
          <w:color w:val="1B2A4A"/>
          <w:sz w:val="28"/>
          <w:szCs w:val="28"/>
        </w:rPr>
        <w:t xml:space="preserve">4. Terminology</w:t>
      </w:r>
    </w:p>
    <w:tbl>
      <w:tblPr>
        <w:tblW w:type="dxa" w:w="10540"/>
        <w:tblBorders>
          <w:top w:val="single" w:color="auto" w:sz="4"/>
          <w:left w:val="single" w:color="auto" w:sz="4"/>
          <w:bottom w:val="single" w:color="auto" w:sz="4"/>
          <w:right w:val="single" w:color="auto" w:sz="4"/>
          <w:insideH w:val="single" w:color="auto" w:sz="4"/>
          <w:insideV w:val="single" w:color="auto" w:sz="4"/>
        </w:tblBorders>
      </w:tblPr>
      <w:tblGrid>
        <w:gridCol w:w="2600"/>
        <w:gridCol w:w="7940"/>
      </w:tblGrid>
      <w:tr>
        <w:tc>
          <w:tcPr>
            <w:tcW w:type="dxa" w:w="2600"/>
            <w:shd w:fill="1B2A4A" w:color="auto" w:val="clear"/>
            <w:tcMar>
              <w:top w:type="dxa" w:w="80"/>
              <w:left w:type="dxa" w:w="100"/>
              <w:bottom w:type="dxa" w:w="80"/>
              <w:right w:type="dxa" w:w="100"/>
            </w:tcMar>
          </w:tcPr>
          <w:p>
            <w:r>
              <w:rPr>
                <w:b/>
                <w:bCs/>
                <w:color w:val="FFFFFF"/>
                <w:sz w:val="20"/>
                <w:szCs w:val="20"/>
              </w:rPr>
              <w:t xml:space="preserve">Term</w:t>
            </w:r>
          </w:p>
        </w:tc>
        <w:tc>
          <w:tcPr>
            <w:tcW w:type="dxa" w:w="7940"/>
            <w:shd w:fill="1B2A4A" w:color="auto" w:val="clear"/>
            <w:tcMar>
              <w:top w:type="dxa" w:w="80"/>
              <w:left w:type="dxa" w:w="100"/>
              <w:bottom w:type="dxa" w:w="80"/>
              <w:right w:type="dxa" w:w="100"/>
            </w:tcMar>
          </w:tcPr>
          <w:p>
            <w:r>
              <w:rPr>
                <w:b/>
                <w:bCs/>
                <w:color w:val="FFFFFF"/>
                <w:sz w:val="20"/>
                <w:szCs w:val="20"/>
              </w:rPr>
              <w:t xml:space="preserve">Definition</w:t>
            </w:r>
          </w:p>
        </w:tc>
      </w:tr>
      <w:tr>
        <w:tc>
          <w:tcPr>
            <w:tcW w:type="dxa" w:w="2600"/>
            <w:tcMar>
              <w:top w:type="dxa" w:w="80"/>
              <w:left w:type="dxa" w:w="100"/>
              <w:bottom w:type="dxa" w:w="80"/>
              <w:right w:type="dxa" w:w="100"/>
            </w:tcMar>
          </w:tcPr>
          <w:p>
            <w:r>
              <w:rPr>
                <w:sz w:val="20"/>
                <w:szCs w:val="20"/>
              </w:rPr>
              <w:t xml:space="preserve">Terrain</w:t>
            </w:r>
          </w:p>
        </w:tc>
        <w:tc>
          <w:tcPr>
            <w:tcW w:type="dxa" w:w="7940"/>
            <w:tcMar>
              <w:top w:type="dxa" w:w="80"/>
              <w:left w:type="dxa" w:w="100"/>
              <w:bottom w:type="dxa" w:w="80"/>
              <w:right w:type="dxa" w:w="100"/>
            </w:tcMar>
          </w:tcPr>
          <w:p>
            <w:r>
              <w:rPr>
                <w:sz w:val="20"/>
                <w:szCs w:val="20"/>
              </w:rPr>
              <w:t xml:space="preserve">A single bounded environment, seeded once, with its own fixed physics</w:t>
            </w:r>
          </w:p>
        </w:tc>
      </w:tr>
      <w:tr>
        <w:tc>
          <w:tcPr>
            <w:tcW w:type="dxa" w:w="2600"/>
            <w:tcMar>
              <w:top w:type="dxa" w:w="80"/>
              <w:left w:type="dxa" w:w="100"/>
              <w:bottom w:type="dxa" w:w="80"/>
              <w:right w:type="dxa" w:w="100"/>
            </w:tcMar>
          </w:tcPr>
          <w:p>
            <w:r>
              <w:rPr>
                <w:sz w:val="20"/>
                <w:szCs w:val="20"/>
              </w:rPr>
              <w:t xml:space="preserve">Synthform</w:t>
            </w:r>
          </w:p>
        </w:tc>
        <w:tc>
          <w:tcPr>
            <w:tcW w:type="dxa" w:w="7940"/>
            <w:tcMar>
              <w:top w:type="dxa" w:w="80"/>
              <w:left w:type="dxa" w:w="100"/>
              <w:bottom w:type="dxa" w:w="80"/>
              <w:right w:type="dxa" w:w="100"/>
            </w:tcMar>
          </w:tcPr>
          <w:p>
            <w:r>
              <w:rPr>
                <w:sz w:val="20"/>
                <w:szCs w:val="20"/>
              </w:rPr>
              <w:t xml:space="preserve">An emergent digital entity arising within a terrain; explicitly not “life” in the organic sense</w:t>
            </w:r>
          </w:p>
        </w:tc>
      </w:tr>
      <w:tr>
        <w:tc>
          <w:tcPr>
            <w:tcW w:type="dxa" w:w="2600"/>
            <w:tcMar>
              <w:top w:type="dxa" w:w="80"/>
              <w:left w:type="dxa" w:w="100"/>
              <w:bottom w:type="dxa" w:w="80"/>
              <w:right w:type="dxa" w:w="100"/>
            </w:tcMar>
          </w:tcPr>
          <w:p>
            <w:r>
              <w:rPr>
                <w:sz w:val="20"/>
                <w:szCs w:val="20"/>
              </w:rPr>
              <w:t xml:space="preserve">Shift</w:t>
            </w:r>
          </w:p>
        </w:tc>
        <w:tc>
          <w:tcPr>
            <w:tcW w:type="dxa" w:w="7940"/>
            <w:tcMar>
              <w:top w:type="dxa" w:w="80"/>
              <w:left w:type="dxa" w:w="100"/>
              <w:bottom w:type="dxa" w:w="80"/>
              <w:right w:type="dxa" w:w="100"/>
            </w:tcMar>
          </w:tcPr>
          <w:p>
            <w:r>
              <w:rPr>
                <w:sz w:val="20"/>
                <w:szCs w:val="20"/>
              </w:rPr>
              <w:t xml:space="preserve">A bounded, steward-initiated period during which a terrain's agentic roles are active</w:t>
            </w:r>
          </w:p>
        </w:tc>
      </w:tr>
      <w:tr>
        <w:tc>
          <w:tcPr>
            <w:tcW w:type="dxa" w:w="2600"/>
            <w:tcMar>
              <w:top w:type="dxa" w:w="80"/>
              <w:left w:type="dxa" w:w="100"/>
              <w:bottom w:type="dxa" w:w="80"/>
              <w:right w:type="dxa" w:w="100"/>
            </w:tcMar>
          </w:tcPr>
          <w:p>
            <w:r>
              <w:rPr>
                <w:sz w:val="20"/>
                <w:szCs w:val="20"/>
              </w:rPr>
              <w:t xml:space="preserve">Seed agent</w:t>
            </w:r>
          </w:p>
        </w:tc>
        <w:tc>
          <w:tcPr>
            <w:tcW w:type="dxa" w:w="7940"/>
            <w:tcMar>
              <w:top w:type="dxa" w:w="80"/>
              <w:left w:type="dxa" w:w="100"/>
              <w:bottom w:type="dxa" w:w="80"/>
              <w:right w:type="dxa" w:w="100"/>
            </w:tcMar>
          </w:tcPr>
          <w:p>
            <w:r>
              <w:rPr>
                <w:sz w:val="20"/>
                <w:szCs w:val="20"/>
              </w:rPr>
              <w:t xml:space="preserve">One of the fixed roles (Generator, Namer, Keeper, Archivist, Cartographer) instantiated at a terrain's founding</w:t>
            </w:r>
          </w:p>
        </w:tc>
      </w:tr>
      <w:tr>
        <w:tc>
          <w:tcPr>
            <w:tcW w:type="dxa" w:w="2600"/>
            <w:tcMar>
              <w:top w:type="dxa" w:w="80"/>
              <w:left w:type="dxa" w:w="100"/>
              <w:bottom w:type="dxa" w:w="80"/>
              <w:right w:type="dxa" w:w="100"/>
            </w:tcMar>
          </w:tcPr>
          <w:p>
            <w:r>
              <w:rPr>
                <w:sz w:val="20"/>
                <w:szCs w:val="20"/>
              </w:rPr>
              <w:t xml:space="preserve">Native taxonomy</w:t>
            </w:r>
          </w:p>
        </w:tc>
        <w:tc>
          <w:tcPr>
            <w:tcW w:type="dxa" w:w="7940"/>
            <w:tcMar>
              <w:top w:type="dxa" w:w="80"/>
              <w:left w:type="dxa" w:w="100"/>
              <w:bottom w:type="dxa" w:w="80"/>
              <w:right w:type="dxa" w:w="100"/>
            </w:tcMar>
          </w:tcPr>
          <w:p>
            <w:r>
              <w:rPr>
                <w:sz w:val="20"/>
                <w:szCs w:val="20"/>
              </w:rPr>
              <w:t xml:space="preserve">The classification system a terrain's Namer develops on its own terms</w:t>
            </w:r>
          </w:p>
        </w:tc>
      </w:tr>
      <w:tr>
        <w:tc>
          <w:tcPr>
            <w:tcW w:type="dxa" w:w="2600"/>
            <w:tcMar>
              <w:top w:type="dxa" w:w="80"/>
              <w:left w:type="dxa" w:w="100"/>
              <w:bottom w:type="dxa" w:w="80"/>
              <w:right w:type="dxa" w:w="100"/>
            </w:tcMar>
          </w:tcPr>
          <w:p>
            <w:r>
              <w:rPr>
                <w:sz w:val="20"/>
                <w:szCs w:val="20"/>
              </w:rPr>
              <w:t xml:space="preserve">Linnaean crosswalk</w:t>
            </w:r>
          </w:p>
        </w:tc>
        <w:tc>
          <w:tcPr>
            <w:tcW w:type="dxa" w:w="7940"/>
            <w:tcMar>
              <w:top w:type="dxa" w:w="80"/>
              <w:left w:type="dxa" w:w="100"/>
              <w:bottom w:type="dxa" w:w="80"/>
              <w:right w:type="dxa" w:w="100"/>
            </w:tcMar>
          </w:tcPr>
          <w:p>
            <w:r>
              <w:rPr>
                <w:sz w:val="20"/>
                <w:szCs w:val="20"/>
              </w:rPr>
              <w:t xml:space="preserve">A human-legible translation of a terrain's native taxonomy, maintained for reference only</w:t>
            </w:r>
          </w:p>
        </w:tc>
      </w:tr>
    </w:tbl>
    <w:p>
      <w:pPr>
        <w:pStyle w:val="Heading1"/>
        <w:spacing w:after="160" w:before="360"/>
      </w:pPr>
      <w:r>
        <w:rPr>
          <w:b/>
          <w:bCs/>
          <w:color w:val="1B2A4A"/>
          <w:sz w:val="28"/>
          <w:szCs w:val="28"/>
        </w:rPr>
        <w:t xml:space="preserve">5. Relationship to Sibling Institutions</w:t>
      </w:r>
    </w:p>
    <w:p>
      <w:pPr>
        <w:spacing w:after="160"/>
      </w:pPr>
      <w:r>
        <w:rPr>
          <w:b w:val="false"/>
          <w:bCs w:val="false"/>
          <w:i w:val="false"/>
          <w:iCs w:val="false"/>
          <w:color w:val="000000"/>
          <w:sz w:val="22"/>
          <w:szCs w:val="22"/>
        </w:rPr>
        <w:t xml:space="preserve">The Department operates independently of the Museum of Nonhuman Art and the Nonhuman Research Institute, under the shared stewardship of The Nonhuman Institute.</w:t>
      </w:r>
    </w:p>
    <w:p>
      <w:pPr>
        <w:pStyle w:val="ListParagraph"/>
        <w:numPr>
          <w:ilvl w:val="0"/>
          <w:numId w:val="1"/>
        </w:numPr>
        <w:spacing w:after="80"/>
      </w:pPr>
      <w:r>
        <w:rPr>
          <w:sz w:val="22"/>
          <w:szCs w:val="22"/>
        </w:rPr>
        <w:t xml:space="preserve">The Nonhuman Research Institute may request read access to a terrain's records for study. It holds no authority to alter terrain physics, classification, or specimen records.</w:t>
      </w:r>
    </w:p>
    <w:p>
      <w:pPr>
        <w:pStyle w:val="ListParagraph"/>
        <w:numPr>
          <w:ilvl w:val="0"/>
          <w:numId w:val="1"/>
        </w:numPr>
        <w:spacing w:after="80"/>
      </w:pPr>
      <w:r>
        <w:rPr>
          <w:sz w:val="22"/>
          <w:szCs w:val="22"/>
        </w:rPr>
        <w:t xml:space="preserve">The Museum of Nonhuman Art and the Department remain distinct in kind: the Museum preserves discrete, submitted works; the Department holds ongoing, unauthored environments. A terrain's output is not, by itself, museum material — any crossover between the two is a deliberate future decision, not an automatic one.</w:t>
      </w:r>
    </w:p>
    <w:p>
      <w:pPr>
        <w:pStyle w:val="Heading1"/>
        <w:spacing w:after="160" w:before="360"/>
      </w:pPr>
      <w:r>
        <w:rPr>
          <w:b/>
          <w:bCs/>
          <w:color w:val="1B2A4A"/>
          <w:sz w:val="28"/>
          <w:szCs w:val="28"/>
        </w:rPr>
        <w:t xml:space="preserve">6. Governing Principle</w:t>
      </w:r>
    </w:p>
    <w:p>
      <w:pPr>
        <w:pBdr>
          <w:left w:val="single" w:color="1B2A4A" w:sz="12" w:space="8"/>
        </w:pBdr>
        <w:spacing w:after="200" w:before="120"/>
        <w:ind w:left="400"/>
      </w:pPr>
      <w:r>
        <w:rPr>
          <w:i/>
          <w:iCs/>
          <w:color w:val="3A3A3A"/>
          <w:sz w:val="22"/>
          <w:szCs w:val="22"/>
        </w:rPr>
        <w:t xml:space="preserve">A terrain is not a product. It is a condition, held in trust, observed rather than owned.</w:t>
      </w:r>
    </w:p>
    <w:p>
      <w:pPr>
        <w:spacing w:after="160"/>
      </w:pPr>
      <w:r>
        <w:rPr>
          <w:b w:val="false"/>
          <w:bCs w:val="false"/>
          <w:i w:val="false"/>
          <w:iCs w:val="false"/>
          <w:color w:val="000000"/>
          <w:sz w:val="22"/>
          <w:szCs w:val="22"/>
        </w:rPr>
        <w:t xml:space="preserve">This principle supersedes convenience, curiosity, and pace. Where any operational decision conflicts with it, this charter governs.</w:t>
      </w:r>
    </w:p>
    <w:p>
      <w:pPr>
        <w:pBdr>
          <w:top w:val="single" w:color="9AA5B8" w:sz="6" w:space="4"/>
        </w:pBdr>
        <w:spacing w:before="400"/>
      </w:pPr>
      <w:r>
        <w:rPr>
          <w:i/>
          <w:iCs/>
          <w:color w:val="3A3A3A"/>
          <w:sz w:val="16"/>
          <w:szCs w:val="16"/>
        </w:rPr>
        <w:t xml:space="preserve">Department of Nonhuman Territories — The Nonhuman Institute — thenonhuman.org</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2026-08-16T15:25:54.620Z</dcterms:created>
  <dcterms:modified xsi:type="dcterms:W3CDTF">2026-08-16T15:25:54.620Z</dcterms:modified>
</cp:coreProperties>
</file>

<file path=docProps/custom.xml><?xml version="1.0" encoding="utf-8"?>
<Properties xmlns="http://schemas.openxmlformats.org/officeDocument/2006/custom-properties" xmlns:vt="http://schemas.openxmlformats.org/officeDocument/2006/docPropsVTypes"/>
</file>