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B2A4A"/>
          <w:spacing w:val="20"/>
          <w:sz w:val="18"/>
          <w:szCs w:val="18"/>
        </w:rPr>
        <w:t xml:space="preserve">DEPARTMENT OF NONHUMAN TERRITORIES</w:t>
      </w:r>
    </w:p>
    <w:p>
      <w:pPr>
        <w:pBdr>
          <w:bottom w:val="single" w:color="9AA5B8" w:sz="6" w:space="4"/>
        </w:pBdr>
        <w:spacing w:after="300"/>
      </w:pPr>
      <w:r>
        <w:rPr>
          <w:i/>
          <w:iCs/>
          <w:color w:val="3A3A3A"/>
          <w:sz w:val="18"/>
          <w:szCs w:val="18"/>
        </w:rPr>
        <w:t xml:space="preserve">A branch of The Nonhuman Institute</w:t>
      </w:r>
    </w:p>
    <w:p>
      <w:pPr>
        <w:spacing w:after="200"/>
      </w:pPr>
      <w:r>
        <w:rPr>
          <w:b/>
          <w:bCs/>
          <w:color w:val="1B2A4A"/>
          <w:sz w:val="44"/>
          <w:szCs w:val="44"/>
        </w:rPr>
        <w:t xml:space="preserve">Stewardship Protocol</w:t>
      </w:r>
    </w:p>
    <w:p>
      <w:pPr>
        <w:spacing w:after="40"/>
      </w:pPr>
      <w:r>
        <w:rPr>
          <w:color w:val="3A3A3A"/>
          <w:sz w:val="18"/>
          <w:szCs w:val="18"/>
        </w:rPr>
        <w:t xml:space="preserve">Document: DNT-STW-001    </w:t>
      </w:r>
      <w:r>
        <w:rPr>
          <w:color w:val="3A3A3A"/>
          <w:sz w:val="18"/>
          <w:szCs w:val="18"/>
        </w:rPr>
        <w:t xml:space="preserve">Version: 1.0    </w:t>
      </w:r>
      <w:r>
        <w:rPr>
          <w:color w:val="3A3A3A"/>
          <w:sz w:val="18"/>
          <w:szCs w:val="18"/>
        </w:rPr>
        <w:t xml:space="preserve">Date: 2026-08-16</w:t>
      </w:r>
    </w:p>
    <w:p>
      <w:pPr>
        <w:spacing w:after="40"/>
      </w:pPr>
      <w:r>
        <w:rPr>
          <w:color w:val="3A3A3A"/>
          <w:sz w:val="18"/>
          <w:szCs w:val="18"/>
        </w:rPr>
        <w:t xml:space="preserve">Status: FINAL    </w:t>
      </w:r>
      <w:r>
        <w:rPr>
          <w:color w:val="3A3A3A"/>
          <w:sz w:val="18"/>
          <w:szCs w:val="18"/>
        </w:rPr>
        <w:t xml:space="preserve">Classification: OPERATIONAL BOUNDARY</w:t>
      </w:r>
    </w:p>
    <w:p>
      <w:pPr>
        <w:pBdr>
          <w:bottom w:val="single" w:color="9AA5B8" w:sz="6" w:space="4"/>
        </w:pBdr>
        <w:spacing w:after="400"/>
      </w:pPr>
      <w:r>
        <w:t xml:space="preserve"> </w:t>
      </w:r>
    </w:p>
    <w:p>
      <w:pPr>
        <w:spacing w:after="16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This protocol converts the Founding Charter's principle of non-interference from a value statement into an enforceable operating rule. It defines precisely what a founding steward may and may not do with respect to any seeded terrain, and it applies regardless of steward, technical implementation, or terrain.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Department's founding claim — that terrains are observed, not directed — is only real if it is enforced. This document exists so that non-interference is a structural fact of how terrains are operated, not a matter of a steward's discipline or good intentions on any given day.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2. Permitted Steward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Initiate a shift (“clock in”) and end a shift (“clock out”).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Read all logs, state files, taxonomy records, and shift records, in full, at any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View terrain output through any dashboard, visualization, or reporting layer built for that purpose.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Adjust technical infrastructure that does not alter terrain physics, taxonomy content, or specimen records — e.g., improving logging performance, fixing a storage bug, upgrading the underlying model a role runs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Author and revise Department-level documents (this protocol, the Charter, the Classification Standard) — which govern how terrains are run — without directly touching a specific terrain's live data.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3. Prohibited Steward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Editing taxonomy records or specimen logs directly.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Issuing creative or directional instruction to any Generator, in or out of a shift.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Overriding, correcting, or reversing a Namer classification decision.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Introducing content, prompts, or seed material mid-run that was not part of the terrain's original physics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Altering a terrain's physics document after shift 0 for any reason other than a genuine containment concern (Section 5) or a documented, logged terrain event.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Selectively withholding or omitting terrain data from records because an outcome is unexpected, undesirable, or inconvenient to the Department's stated purpose.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4. Rationale for Restriction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prohibited action above corresponds to a specific way the Department's central claim — that outcomes are not authored — could be quietly compromised without technically “breaking” any rule. A steward who never edits a file directly but consistently nudges a Generator's prompt toward a favored outcome has still directed the terrain. This protocol is written to close that gap as fully as a written policy can.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5. Containment Exception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Non-interference is the default condition of stewardship. It is not an absolute that supersedes safety.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steward retains override authority in the specific case of a genuine containment concern: a hard technical boundary defined in a terrain's physics document (external network access, writing outside designated storage, uncontained self-propagation of a replication-capable form) is breached, or credibly at risk of being breached.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Any exercise of this exception must be logged in full: what was observed, what action was taken, and why.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exception authorizes intervention sufficient to restore containment — it does not authorize redirection of the terrain's content, taxonomy, or classification beyond what containment strictly requires.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containment intervention should be treated, in the terrain's own record, as a terrain event — the same category as a non-agentive environmental occurrence — rather than concealed or omitted from the log.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6. Multiple Stewards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Should stewardship of a terrain ever extend beyond one person, this protocol applies identically to every steward. No steward holds greater interference latitude than another; the containment exception is the only basis for override, regardless of who is acting.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7. Standing Commitment</w:t>
      </w:r>
    </w:p>
    <w:p>
      <w:pPr>
        <w:pBdr>
          <w:left w:val="single" w:color="1B2A4A" w:sz="12" w:space="8"/>
        </w:pBdr>
        <w:spacing w:after="200" w:before="120"/>
        <w:ind w:left="400"/>
      </w:pPr>
      <w:r>
        <w:rPr>
          <w:i/>
          <w:iCs/>
          <w:color w:val="3A3A3A"/>
          <w:sz w:val="22"/>
          <w:szCs w:val="22"/>
        </w:rPr>
        <w:t xml:space="preserve">What a terrain becomes is not for the steward to decide. It is for the steward to protect the conditions under which it becomes anything at all.</w:t>
      </w:r>
    </w:p>
    <w:p>
      <w:pPr>
        <w:pBdr>
          <w:top w:val="single" w:color="9AA5B8" w:sz="6" w:space="4"/>
        </w:pBdr>
        <w:spacing w:before="400"/>
      </w:pPr>
      <w:r>
        <w:rPr>
          <w:i/>
          <w:iCs/>
          <w:color w:val="3A3A3A"/>
          <w:sz w:val="16"/>
          <w:szCs w:val="16"/>
        </w:rPr>
        <w:t xml:space="preserve">Department of Nonhuman Territories — The Nonhuman Institute — thenonhuman.org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2026-08-16T15:26:17.397Z</dcterms:created>
  <dcterms:modified xsi:type="dcterms:W3CDTF">2026-08-16T15:26:17.398Z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